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3332" w14:textId="77777777" w:rsidR="00A57505" w:rsidRPr="00A57505" w:rsidRDefault="00F150B5" w:rsidP="00A57505">
      <w:pPr>
        <w:rPr>
          <w:rFonts w:ascii="Inter" w:hAnsi="Inter"/>
          <w:b/>
          <w:bCs/>
          <w:sz w:val="22"/>
          <w:szCs w:val="22"/>
          <w:lang w:val="en-US" w:eastAsia="pl-PL"/>
        </w:rPr>
      </w:pPr>
      <w:proofErr w:type="spellStart"/>
      <w:r w:rsidRPr="00A57505">
        <w:rPr>
          <w:rFonts w:ascii="Inter" w:hAnsi="Inter"/>
          <w:b/>
          <w:bCs/>
          <w:sz w:val="22"/>
          <w:szCs w:val="22"/>
          <w:lang w:val="en-US" w:eastAsia="pl-PL"/>
        </w:rPr>
        <w:t>Artykuł</w:t>
      </w:r>
      <w:proofErr w:type="spellEnd"/>
      <w:r w:rsidRPr="00A57505">
        <w:rPr>
          <w:rFonts w:ascii="Inter" w:hAnsi="Inter"/>
          <w:b/>
          <w:bCs/>
          <w:sz w:val="22"/>
          <w:szCs w:val="22"/>
          <w:lang w:val="en-US" w:eastAsia="pl-PL"/>
        </w:rPr>
        <w:t xml:space="preserve"> </w:t>
      </w:r>
      <w:proofErr w:type="spellStart"/>
      <w:r w:rsidRPr="00A57505">
        <w:rPr>
          <w:rFonts w:ascii="Inter" w:hAnsi="Inter"/>
          <w:b/>
          <w:bCs/>
          <w:sz w:val="22"/>
          <w:szCs w:val="22"/>
          <w:lang w:val="en-US" w:eastAsia="pl-PL"/>
        </w:rPr>
        <w:t>ekspercki</w:t>
      </w:r>
      <w:proofErr w:type="spellEnd"/>
      <w:r w:rsidRPr="00A57505">
        <w:rPr>
          <w:rFonts w:ascii="Inter" w:hAnsi="Inter"/>
          <w:b/>
          <w:bCs/>
          <w:sz w:val="22"/>
          <w:szCs w:val="22"/>
          <w:lang w:val="en-US" w:eastAsia="pl-PL"/>
        </w:rPr>
        <w:t xml:space="preserve">: </w:t>
      </w:r>
      <w:r w:rsidR="00A57505" w:rsidRPr="00A57505">
        <w:rPr>
          <w:rFonts w:ascii="Inter" w:hAnsi="Inter"/>
          <w:b/>
          <w:bCs/>
          <w:sz w:val="22"/>
          <w:szCs w:val="22"/>
          <w:lang w:val="en-US" w:eastAsia="pl-PL"/>
        </w:rPr>
        <w:t>Karolina Kiljańczyk, Manufacturing Industry Lead, DXC Technology Poland</w:t>
      </w:r>
    </w:p>
    <w:p w14:paraId="74B8783C" w14:textId="1D96683E" w:rsidR="004220B9" w:rsidRPr="00B9598F" w:rsidRDefault="004220B9" w:rsidP="00E7723F">
      <w:pPr>
        <w:jc w:val="center"/>
        <w:rPr>
          <w:rFonts w:ascii="Inter" w:hAnsi="Inter"/>
          <w:b/>
          <w:bCs/>
          <w:sz w:val="22"/>
          <w:szCs w:val="22"/>
          <w:lang w:eastAsia="pl-PL"/>
        </w:rPr>
      </w:pPr>
      <w:r w:rsidRPr="00B9598F">
        <w:rPr>
          <w:rFonts w:ascii="Inter" w:hAnsi="Inter"/>
          <w:b/>
          <w:bCs/>
          <w:sz w:val="22"/>
          <w:szCs w:val="22"/>
          <w:lang w:eastAsia="pl-PL"/>
        </w:rPr>
        <w:t>Fabryka produkuje szybciej. Dlaczego klient nadal czeka?</w:t>
      </w:r>
    </w:p>
    <w:p w14:paraId="0241622F" w14:textId="055CA371" w:rsidR="00B9598F" w:rsidRPr="00B9598F" w:rsidRDefault="005769EF" w:rsidP="00B9598F">
      <w:pPr>
        <w:jc w:val="both"/>
        <w:rPr>
          <w:rFonts w:ascii="Inter" w:hAnsi="Inter"/>
          <w:b/>
          <w:bCs/>
          <w:sz w:val="22"/>
          <w:szCs w:val="22"/>
          <w:lang w:eastAsia="pl-PL"/>
        </w:rPr>
      </w:pPr>
      <w:r>
        <w:rPr>
          <w:rFonts w:ascii="Inter" w:hAnsi="Inter"/>
          <w:b/>
          <w:bCs/>
          <w:sz w:val="22"/>
          <w:szCs w:val="22"/>
          <w:lang w:eastAsia="pl-PL"/>
        </w:rPr>
        <w:t>K</w:t>
      </w:r>
      <w:r w:rsidR="00B9598F" w:rsidRPr="00B9598F">
        <w:rPr>
          <w:rFonts w:ascii="Inter" w:hAnsi="Inter"/>
          <w:b/>
          <w:bCs/>
          <w:sz w:val="22"/>
          <w:szCs w:val="22"/>
          <w:lang w:eastAsia="pl-PL"/>
        </w:rPr>
        <w:t>olejne inwestycje w technologie nie przekładają się na szybsze decyzje, mniejsze ryzyko i wyższe marże?</w:t>
      </w:r>
      <w:r>
        <w:rPr>
          <w:rFonts w:ascii="Inter" w:hAnsi="Inter"/>
          <w:b/>
          <w:bCs/>
          <w:sz w:val="22"/>
          <w:szCs w:val="22"/>
          <w:lang w:eastAsia="pl-PL"/>
        </w:rPr>
        <w:t xml:space="preserve"> To </w:t>
      </w:r>
      <w:r w:rsidR="00411B7F">
        <w:rPr>
          <w:rFonts w:ascii="Inter" w:hAnsi="Inter"/>
          <w:b/>
          <w:bCs/>
          <w:sz w:val="22"/>
          <w:szCs w:val="22"/>
          <w:lang w:eastAsia="pl-PL"/>
        </w:rPr>
        <w:t>wyzwanie</w:t>
      </w:r>
      <w:r>
        <w:rPr>
          <w:rFonts w:ascii="Inter" w:hAnsi="Inter"/>
          <w:b/>
          <w:bCs/>
          <w:sz w:val="22"/>
          <w:szCs w:val="22"/>
          <w:lang w:eastAsia="pl-PL"/>
        </w:rPr>
        <w:t xml:space="preserve">, z którym mierzy się wiele firm. </w:t>
      </w:r>
      <w:r w:rsidR="00B9598F" w:rsidRPr="00B9598F">
        <w:rPr>
          <w:rFonts w:ascii="Inter" w:hAnsi="Inter"/>
          <w:b/>
          <w:bCs/>
          <w:sz w:val="22"/>
          <w:szCs w:val="22"/>
          <w:lang w:eastAsia="pl-PL"/>
        </w:rPr>
        <w:t xml:space="preserve">O przewadze konkurencyjnej w przemyśle będzie decydować nie tyle skala inwestycji w automatyzację, ile integracja – </w:t>
      </w:r>
      <w:r w:rsidR="00F150B5">
        <w:rPr>
          <w:rFonts w:ascii="Inter" w:hAnsi="Inter"/>
          <w:b/>
          <w:bCs/>
          <w:sz w:val="22"/>
          <w:szCs w:val="22"/>
          <w:lang w:eastAsia="pl-PL"/>
        </w:rPr>
        <w:t>skuteczne</w:t>
      </w:r>
      <w:r w:rsidR="00B9598F" w:rsidRPr="00B9598F">
        <w:rPr>
          <w:rFonts w:ascii="Inter" w:hAnsi="Inter"/>
          <w:b/>
          <w:bCs/>
          <w:sz w:val="22"/>
          <w:szCs w:val="22"/>
          <w:lang w:eastAsia="pl-PL"/>
        </w:rPr>
        <w:t xml:space="preserve"> połączeni</w:t>
      </w:r>
      <w:r w:rsidR="00F150B5">
        <w:rPr>
          <w:rFonts w:ascii="Inter" w:hAnsi="Inter"/>
          <w:b/>
          <w:bCs/>
          <w:sz w:val="22"/>
          <w:szCs w:val="22"/>
          <w:lang w:eastAsia="pl-PL"/>
        </w:rPr>
        <w:t xml:space="preserve">e </w:t>
      </w:r>
      <w:r w:rsidR="00B9598F" w:rsidRPr="00B9598F">
        <w:rPr>
          <w:rFonts w:ascii="Inter" w:hAnsi="Inter"/>
          <w:b/>
          <w:bCs/>
          <w:sz w:val="22"/>
          <w:szCs w:val="22"/>
          <w:lang w:eastAsia="pl-PL"/>
        </w:rPr>
        <w:t>procesów, systemów i danych, by automatyzacja przynosiła korzyści w skali całej organizacji.</w:t>
      </w:r>
    </w:p>
    <w:p w14:paraId="0CCA2BE6" w14:textId="0468D644" w:rsidR="0091145D" w:rsidRDefault="00F150B5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Problemem firm produkcyjnych nie są zbyt małe nakłady na technologię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. </w:t>
      </w:r>
      <w:r w:rsid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J</w:t>
      </w:r>
      <w:r w:rsidR="0091145D" w:rsidRP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ak wynika z raportu Deloitte „2026 Manufacturing Industry Outlook”, 80% przedstawicieli kadry zarządzającej w przemyśle planuje przeznaczyć co najmniej 20% środków przewidzianych na usprawnienia na inteligentną produkcję. Inwestycje te obejmują </w:t>
      </w:r>
      <w:r w:rsid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między innymi</w:t>
      </w:r>
      <w:r w:rsidR="0091145D" w:rsidRP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</w:t>
      </w:r>
      <w:r w:rsidR="00A2486C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narzędzia</w:t>
      </w:r>
      <w:r w:rsidR="00714053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do automatyzacji, </w:t>
      </w:r>
      <w:r w:rsidR="00BB4F70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analitykę</w:t>
      </w:r>
      <w:r w:rsidR="0091145D" w:rsidRP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, czujniki i rozwiązania chmurowe</w:t>
      </w:r>
      <w:r w:rsidR="00B9598F" w:rsidRPr="00B9598F">
        <w:rPr>
          <w:rStyle w:val="Odwoanieprzypisudolnego"/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footnoteReference w:id="1"/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. </w:t>
      </w:r>
    </w:p>
    <w:p w14:paraId="3E3F324F" w14:textId="086672F4" w:rsidR="00B9598F" w:rsidRPr="00B9598F" w:rsidRDefault="0091145D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B</w:t>
      </w:r>
      <w:r w:rsidRP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ez integracji produkcji z pozostałymi obszarami </w:t>
      </w:r>
      <w:r w:rsidR="00A5461C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sam</w:t>
      </w:r>
      <w:r w:rsidR="009D7BE3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a automatyzacja</w:t>
      </w:r>
      <w:r w:rsidRP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może jednak utrwalać istniejące podziały w organizacji.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W takim przypadku</w:t>
      </w:r>
      <w:r w:rsidR="00EE18F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,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</w:t>
      </w:r>
      <w:r w:rsidR="009D7BE3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nawet jeśli 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linia produkcyjna </w:t>
      </w:r>
      <w:r w:rsidR="009D7BE3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będzie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działać wydajniej, planowanie nadal będzie opierało się na nieaktualnych danych. Zespoły utrzymania ruchu mogą lepiej przewidywać awarie, ale informacje o potencjalnych ryzykach nie dotrą do działu </w:t>
      </w:r>
      <w:r>
        <w:rPr>
          <w:rFonts w:ascii="Inter" w:eastAsia="Times New Roman" w:hAnsi="Inter" w:cs="Arial" w:hint="eastAsia"/>
          <w:color w:val="1D2833"/>
          <w:kern w:val="0"/>
          <w:sz w:val="22"/>
          <w:szCs w:val="22"/>
          <w:lang w:eastAsia="pl-PL"/>
          <w14:ligatures w14:val="none"/>
        </w:rPr>
        <w:t>zakupów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. Zakład zwiększy swoją wydajność, ale obsługa klienta nie </w:t>
      </w:r>
      <w:r>
        <w:rPr>
          <w:rFonts w:ascii="Inter" w:eastAsia="Times New Roman" w:hAnsi="Inter" w:cs="Arial" w:hint="eastAsia"/>
          <w:color w:val="1D2833"/>
          <w:kern w:val="0"/>
          <w:sz w:val="22"/>
          <w:szCs w:val="22"/>
          <w:lang w:eastAsia="pl-PL"/>
          <w14:ligatures w14:val="none"/>
        </w:rPr>
        <w:t>będzie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potrafiła wiarygodnie informować o terminach dostaw. 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W tym kontekście szczególnego znaczenia nabierają wyniki badania Gartnera z 2025 roku: 66% liderów odpowiedzialnych za produkcję i łańcuch dostaw wskazało integrację tych dwóch obszarów jako najważniejsze wyzwanie na najbliższe trzy lata</w:t>
      </w:r>
      <w:r w:rsidR="005769EF">
        <w:rPr>
          <w:rStyle w:val="Odwoanieprzypisudolnego"/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footnoteReference w:id="2"/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.</w:t>
      </w:r>
    </w:p>
    <w:p w14:paraId="084075ED" w14:textId="77777777" w:rsidR="00B9598F" w:rsidRPr="00B9598F" w:rsidRDefault="00B9598F" w:rsidP="00B9598F">
      <w:pPr>
        <w:shd w:val="clear" w:color="auto" w:fill="FFFFFF"/>
        <w:spacing w:after="100" w:afterAutospacing="1" w:line="294" w:lineRule="atLeast"/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</w:pPr>
      <w:r w:rsidRPr="00B9598F"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  <w:t>Innowacje w silosach generują ukryte straty</w:t>
      </w:r>
    </w:p>
    <w:p w14:paraId="083ADEDD" w14:textId="408EBA50" w:rsidR="00CE6468" w:rsidRDefault="00CE6468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W rzeczywistości, k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ażdy nowy projekt może mieć racjonalne uzasadnienie biznesowe</w:t>
      </w:r>
      <w:r w:rsidR="00F150B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. </w:t>
      </w:r>
      <w:r w:rsidR="00BA08D1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Wyobraźmy sobie sytuację, w której </w:t>
      </w:r>
      <w:r w:rsidR="00F150B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dyrektor zakładu </w:t>
      </w:r>
      <w:r w:rsid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inicjuje</w:t>
      </w:r>
      <w:r w:rsidR="00F150B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projekt automatyzacji</w:t>
      </w:r>
      <w:r w:rsid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, z</w:t>
      </w:r>
      <w:r w:rsidR="00F150B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espół zarządzający łańcuchem dostaw w tym samym czasie wdraża narzędzie do planowania. Dział finansowy modernizuje raportowanie, a inżynieryjny – tworzy środowisko zarządzania danymi produktowymi. 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Potencjalne korzyści </w:t>
      </w:r>
      <w:r w:rsidR="00F150B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z tych rozwiązań 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maleją jednak wtedy, gdy dane, przepływy pracy i zakresy odpowiedzialności nie są ze sobą spójne. </w:t>
      </w:r>
    </w:p>
    <w:p w14:paraId="4686241B" w14:textId="04A33D8A" w:rsidR="00B9598F" w:rsidRPr="00B9598F" w:rsidRDefault="005769EF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I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nicjatywy związane z 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inteligentną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produkcją 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często 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są realizowane w odrębnych silosach, bez priorytetów wynikających z potrzeb biznesowych, pomiaru efektów i uzgodnień między 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poszczególnymi działami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. Skutkiem są 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dublujące 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się rozwiązania i narastający dług technologiczny.</w:t>
      </w:r>
    </w:p>
    <w:p w14:paraId="358F0E17" w14:textId="17066707" w:rsidR="00B9598F" w:rsidRPr="00B9598F" w:rsidRDefault="00B9598F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Z perspektywy zarządu pytanie</w:t>
      </w:r>
      <w:r w:rsidR="005769E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: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„Czy potrzebujemy więcej automatyzacji?” 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powinno ust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ą</w:t>
      </w: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p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ić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miejsca innemu: „W których obszarach brak integracji utrudnia podejmowanie decyzji?”. Właśnie tam 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połączenie systemów, danych i zespołów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najszybciej przynosi 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lastRenderedPageBreak/>
        <w:t xml:space="preserve">korzyści: gdy zmiany konstrukcyjne </w:t>
      </w:r>
      <w:r w:rsid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nie są sprawnie wdrażane w produkcji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, zakłócenia po stronie dostawców są wykrywane zbyt późno, a </w:t>
      </w:r>
      <w:r w:rsidR="0091145D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zespoły projektowe nie otrzymują informacji o problemach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.</w:t>
      </w:r>
    </w:p>
    <w:p w14:paraId="775790B0" w14:textId="56ED9368" w:rsidR="00B9598F" w:rsidRPr="00B9598F" w:rsidRDefault="0091145D" w:rsidP="00B9598F">
      <w:pPr>
        <w:shd w:val="clear" w:color="auto" w:fill="FFFFFF"/>
        <w:spacing w:after="100" w:afterAutospacing="1" w:line="294" w:lineRule="atLeast"/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</w:pPr>
      <w:r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  <w:t>Zintegrowana</w:t>
      </w:r>
      <w:r w:rsidR="00B9598F" w:rsidRPr="00B9598F"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  <w:t xml:space="preserve"> fabryka to model zarządzania</w:t>
      </w:r>
    </w:p>
    <w:p w14:paraId="7556A3EC" w14:textId="53475D4D" w:rsidR="00B9598F" w:rsidRPr="00B9598F" w:rsidRDefault="00B9598F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Global Lighthouse Network Światowego Forum Ekonomicznego obejmuje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ponad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20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0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wiodących zakładów produkcyjnych</w:t>
      </w:r>
      <w:r w:rsidR="005769EF">
        <w:rPr>
          <w:rStyle w:val="Odwoanieprzypisudolnego"/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footnoteReference w:id="3"/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. </w:t>
      </w:r>
      <w:r w:rsidR="00CE6468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C</w:t>
      </w:r>
      <w:r w:rsidR="005769E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złonkowie sieci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wykorzystuj</w:t>
      </w:r>
      <w:r w:rsidR="005769E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ą 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technologie cyfrowe na dużą skalę, aby zwiększać produktywność, wzmacniać odporność łańcuchów dostaw, realizować cele zrównoważonego rozwoju, rozwijać kompetencje pracowników i lepiej odpowiadać na potrzeby klientów. </w:t>
      </w:r>
      <w:r w:rsidR="00F8412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Na ich przykładzie widać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, że źródłem tych efektów jest całościowa transformacja, a nie pojedyncze wdrożenia automatyzacji.</w:t>
      </w:r>
    </w:p>
    <w:p w14:paraId="5EF60109" w14:textId="20F0A59E" w:rsidR="00B9598F" w:rsidRPr="00B9598F" w:rsidRDefault="00CE6468" w:rsidP="00B9598F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Zintegrowana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fabryka jest zarówno architekturą technologiczną, jak i modelem zarządzania. Łączy projektowanie, produkcję, logistykę, </w:t>
      </w:r>
      <w:r w:rsidR="005769E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usługi serwisowe</w:t>
      </w:r>
      <w:r w:rsidR="00B9598F"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, finanse i planowanie zatrudnienia wokół wspólnych zasobów informacji. W praktyce zapewnia kadrze zarządzającej bardziej wiarygodny obraz zdolności produkcyjnych, ograniczeń, ryzyka i wpływu działalności operacyjnej na klientów.</w:t>
      </w:r>
    </w:p>
    <w:p w14:paraId="20E739D7" w14:textId="77777777" w:rsidR="00A57505" w:rsidRDefault="00A57505" w:rsidP="00833F52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 w:rsidRPr="00A5750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Wraz z rozwojem AI rośnie znaczenie integracji danych w przemyśle. Spójne połączenie danych produkcyjnych, biznesowych i informacji od dostawców pozwala wykorzystać AI nie tylko do analiz, ale przede wszystkim do podejmowania lepszych decyzji biznesowych dotyczących kosztów, przychodów i odporności firmy.</w:t>
      </w:r>
    </w:p>
    <w:p w14:paraId="5E81F23C" w14:textId="0A134914" w:rsidR="00F150B5" w:rsidRPr="00B9598F" w:rsidRDefault="00F150B5" w:rsidP="00F150B5">
      <w:pPr>
        <w:shd w:val="clear" w:color="auto" w:fill="FFFFFF"/>
        <w:spacing w:after="100" w:afterAutospacing="1" w:line="294" w:lineRule="atLeast"/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</w:pPr>
      <w:r w:rsidRPr="00B9598F"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  <w:t>Połąc</w:t>
      </w:r>
      <w:r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  <w:t>zone</w:t>
      </w:r>
      <w:r w:rsidRPr="00B9598F">
        <w:rPr>
          <w:rFonts w:ascii="Inter" w:eastAsia="Times New Roman" w:hAnsi="Inter" w:cs="Arial"/>
          <w:b/>
          <w:bCs/>
          <w:color w:val="1D2833"/>
          <w:kern w:val="0"/>
          <w:sz w:val="22"/>
          <w:szCs w:val="22"/>
          <w:lang w:eastAsia="pl-PL"/>
          <w14:ligatures w14:val="none"/>
        </w:rPr>
        <w:t xml:space="preserve"> systemy, dane i zespoły</w:t>
      </w:r>
    </w:p>
    <w:p w14:paraId="2141D4C8" w14:textId="5A6DF5A7" w:rsidR="00F150B5" w:rsidRPr="00B9598F" w:rsidRDefault="00B9598F" w:rsidP="00F150B5">
      <w:pPr>
        <w:shd w:val="clear" w:color="auto" w:fill="FFFFFF"/>
        <w:spacing w:after="100" w:afterAutospacing="1" w:line="294" w:lineRule="atLeast"/>
        <w:jc w:val="both"/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</w:pP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Wniosek dla liderów przemysłu jest jasny: przed zatwierdzeniem kolejn</w:t>
      </w:r>
      <w:r w:rsidR="00207E7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ych inwestycji w 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automatyzacj</w:t>
      </w:r>
      <w:r w:rsidR="00207E7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ę 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należy wskazać decyzje, które mają największy wpływ na marżę, odporność operacyjną i zaufanie klientów. Następnie wokół </w:t>
      </w:r>
      <w:r w:rsidR="004B44A1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nich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zintegrować systemy, dane i zespoły.</w:t>
      </w:r>
      <w:r w:rsidR="00F150B5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 xml:space="preserve"> </w:t>
      </w:r>
      <w:r w:rsidRPr="00B9598F">
        <w:rPr>
          <w:rFonts w:ascii="Inter" w:eastAsia="Times New Roman" w:hAnsi="Inter" w:cs="Arial"/>
          <w:color w:val="1D2833"/>
          <w:kern w:val="0"/>
          <w:sz w:val="22"/>
          <w:szCs w:val="22"/>
          <w:lang w:eastAsia="pl-PL"/>
          <w14:ligatures w14:val="none"/>
        </w:rPr>
        <w:t>Takie podejście pozwoli producentom lepiej wykorzystać każdego robota, model AI i każdą złotówkę przeznaczoną na transformację.</w:t>
      </w:r>
    </w:p>
    <w:sectPr w:rsidR="00F150B5" w:rsidRPr="00B9598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8609" w14:textId="77777777" w:rsidR="0099592A" w:rsidRDefault="0099592A" w:rsidP="00B9598F">
      <w:pPr>
        <w:spacing w:after="0" w:line="240" w:lineRule="auto"/>
      </w:pPr>
      <w:r>
        <w:separator/>
      </w:r>
    </w:p>
  </w:endnote>
  <w:endnote w:type="continuationSeparator" w:id="0">
    <w:p w14:paraId="13070427" w14:textId="77777777" w:rsidR="0099592A" w:rsidRDefault="0099592A" w:rsidP="00B95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modern"/>
    <w:notTrueType/>
    <w:pitch w:val="variable"/>
    <w:sig w:usb0="E0000AFF" w:usb1="5200A1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F9BC" w14:textId="77777777" w:rsidR="0099592A" w:rsidRDefault="0099592A" w:rsidP="00B9598F">
      <w:pPr>
        <w:spacing w:after="0" w:line="240" w:lineRule="auto"/>
      </w:pPr>
      <w:r>
        <w:separator/>
      </w:r>
    </w:p>
  </w:footnote>
  <w:footnote w:type="continuationSeparator" w:id="0">
    <w:p w14:paraId="72527A02" w14:textId="77777777" w:rsidR="0099592A" w:rsidRDefault="0099592A" w:rsidP="00B9598F">
      <w:pPr>
        <w:spacing w:after="0" w:line="240" w:lineRule="auto"/>
      </w:pPr>
      <w:r>
        <w:continuationSeparator/>
      </w:r>
    </w:p>
  </w:footnote>
  <w:footnote w:id="1">
    <w:p w14:paraId="5F6862A2" w14:textId="7A358456" w:rsidR="00B9598F" w:rsidRPr="00A57505" w:rsidRDefault="00B9598F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57505">
        <w:rPr>
          <w:lang w:val="en-US"/>
        </w:rPr>
        <w:t xml:space="preserve"> </w:t>
      </w:r>
      <w:hyperlink r:id="rId1" w:history="1">
        <w:r w:rsidRPr="00A57505">
          <w:rPr>
            <w:rStyle w:val="Hipercze"/>
            <w:lang w:val="en-US"/>
          </w:rPr>
          <w:t>2026 Manufacturing Industry Outlook | Deloitte Insights</w:t>
        </w:r>
      </w:hyperlink>
    </w:p>
  </w:footnote>
  <w:footnote w:id="2">
    <w:p w14:paraId="55E461F2" w14:textId="21D08B1D" w:rsidR="005769EF" w:rsidRPr="005769EF" w:rsidRDefault="005769EF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5769EF">
        <w:rPr>
          <w:lang w:val="en-US"/>
        </w:rPr>
        <w:t xml:space="preserve"> </w:t>
      </w:r>
      <w:hyperlink r:id="rId2" w:history="1">
        <w:r w:rsidRPr="005769EF">
          <w:rPr>
            <w:rStyle w:val="Hipercze"/>
            <w:lang w:val="en-US"/>
          </w:rPr>
          <w:t>Gartner Survey Shows 49% of Organizations Lack Confidence in Future Manufacturing Strategy</w:t>
        </w:r>
      </w:hyperlink>
    </w:p>
  </w:footnote>
  <w:footnote w:id="3">
    <w:p w14:paraId="37250138" w14:textId="0D747B96" w:rsidR="005769EF" w:rsidRPr="005769EF" w:rsidRDefault="005769EF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5769EF">
        <w:rPr>
          <w:lang w:val="en-US"/>
        </w:rPr>
        <w:t xml:space="preserve"> </w:t>
      </w:r>
      <w:hyperlink r:id="rId3" w:history="1">
        <w:r w:rsidRPr="005769EF">
          <w:rPr>
            <w:rStyle w:val="Hipercze"/>
            <w:lang w:val="en-US"/>
          </w:rPr>
          <w:t>Global Lighthouse Network 2025: World Economic Forum Recognizes 12 new sites driving holistic transformation in manufacturing | World Economic Forum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95953" w14:textId="0FC3A971" w:rsidR="00305A82" w:rsidRPr="00305A82" w:rsidRDefault="00305A82" w:rsidP="00305A82">
    <w:pPr>
      <w:pStyle w:val="Nagwek"/>
    </w:pPr>
    <w:r>
      <w:rPr>
        <w:noProof/>
      </w:rPr>
      <w:drawing>
        <wp:inline distT="0" distB="0" distL="0" distR="0" wp14:anchorId="60480B32" wp14:editId="08B2CA28">
          <wp:extent cx="1125822" cy="314094"/>
          <wp:effectExtent l="0" t="0" r="0" b="0"/>
          <wp:docPr id="133817439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174397" name="Obraz 13381743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056" cy="321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9622E"/>
    <w:multiLevelType w:val="multilevel"/>
    <w:tmpl w:val="96B8B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7F10EC"/>
    <w:multiLevelType w:val="hybridMultilevel"/>
    <w:tmpl w:val="CE8C5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30B02"/>
    <w:multiLevelType w:val="hybridMultilevel"/>
    <w:tmpl w:val="F2E03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03558">
    <w:abstractNumId w:val="0"/>
  </w:num>
  <w:num w:numId="2" w16cid:durableId="841971038">
    <w:abstractNumId w:val="2"/>
  </w:num>
  <w:num w:numId="3" w16cid:durableId="1578512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B9"/>
    <w:rsid w:val="00030F1A"/>
    <w:rsid w:val="00100559"/>
    <w:rsid w:val="00207E7F"/>
    <w:rsid w:val="00305A82"/>
    <w:rsid w:val="00334B5C"/>
    <w:rsid w:val="00411B7F"/>
    <w:rsid w:val="00412ED9"/>
    <w:rsid w:val="004220B9"/>
    <w:rsid w:val="00447474"/>
    <w:rsid w:val="004B44A1"/>
    <w:rsid w:val="004E03BB"/>
    <w:rsid w:val="004E45DF"/>
    <w:rsid w:val="00574B2A"/>
    <w:rsid w:val="005769EF"/>
    <w:rsid w:val="00714053"/>
    <w:rsid w:val="007F781E"/>
    <w:rsid w:val="00833F52"/>
    <w:rsid w:val="008B25DB"/>
    <w:rsid w:val="008D56EC"/>
    <w:rsid w:val="0091145D"/>
    <w:rsid w:val="0099592A"/>
    <w:rsid w:val="009D7BE3"/>
    <w:rsid w:val="00A064A7"/>
    <w:rsid w:val="00A2486C"/>
    <w:rsid w:val="00A370D5"/>
    <w:rsid w:val="00A5461C"/>
    <w:rsid w:val="00A57505"/>
    <w:rsid w:val="00B4085E"/>
    <w:rsid w:val="00B61476"/>
    <w:rsid w:val="00B9598F"/>
    <w:rsid w:val="00BA08D1"/>
    <w:rsid w:val="00BB4F70"/>
    <w:rsid w:val="00C45041"/>
    <w:rsid w:val="00CE6468"/>
    <w:rsid w:val="00CF318B"/>
    <w:rsid w:val="00D51DEE"/>
    <w:rsid w:val="00DE0D3E"/>
    <w:rsid w:val="00E2075A"/>
    <w:rsid w:val="00E7723F"/>
    <w:rsid w:val="00EC07F4"/>
    <w:rsid w:val="00EE18F8"/>
    <w:rsid w:val="00F150B5"/>
    <w:rsid w:val="00F8412F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C3DB6"/>
  <w15:chartTrackingRefBased/>
  <w15:docId w15:val="{2B7AAC99-7E78-4989-809A-AA22A2E6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2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20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2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20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2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2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2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2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2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22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2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20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20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20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20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20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20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2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2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2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2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2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20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20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20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2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20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20B9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2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4220B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9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98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9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2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75A"/>
  </w:style>
  <w:style w:type="paragraph" w:styleId="Stopka">
    <w:name w:val="footer"/>
    <w:basedOn w:val="Normalny"/>
    <w:link w:val="StopkaZnak"/>
    <w:uiPriority w:val="99"/>
    <w:unhideWhenUsed/>
    <w:rsid w:val="00E2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75A"/>
  </w:style>
  <w:style w:type="character" w:styleId="UyteHipercze">
    <w:name w:val="FollowedHyperlink"/>
    <w:basedOn w:val="Domylnaczcionkaakapitu"/>
    <w:uiPriority w:val="99"/>
    <w:semiHidden/>
    <w:unhideWhenUsed/>
    <w:rsid w:val="004E03B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weforum.org/media/global-lighthouse-network-2025-world-economic-forum-recognizes-12-new-sites-driving-holistic-transformation-in-manufacturing" TargetMode="External"/><Relationship Id="rId2" Type="http://schemas.openxmlformats.org/officeDocument/2006/relationships/hyperlink" Target="https://www.gartner.com/en/newsroom/press-releases/2025-10-28-gartner-survey-shows-49-percent-of-organizations-lack-confidence-in-future-manufacturing-strategy" TargetMode="External"/><Relationship Id="rId1" Type="http://schemas.openxmlformats.org/officeDocument/2006/relationships/hyperlink" Target="https://www.deloitte.com/us/en/insights/industry/manufacturing-industrial-products/manufacturing-industry-outlook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20f79-f69b-4b91-b2ac-cb32db5740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09AB9363CEB4A8EDE372AB120A8CF" ma:contentTypeVersion="9" ma:contentTypeDescription="Create a new document." ma:contentTypeScope="" ma:versionID="0a6d32dc93700f0fa45e523c9b31479b">
  <xsd:schema xmlns:xsd="http://www.w3.org/2001/XMLSchema" xmlns:xs="http://www.w3.org/2001/XMLSchema" xmlns:p="http://schemas.microsoft.com/office/2006/metadata/properties" xmlns:ns2="59620f79-f69b-4b91-b2ac-cb32db5740b7" targetNamespace="http://schemas.microsoft.com/office/2006/metadata/properties" ma:root="true" ma:fieldsID="299b3b40c26caf86e2465cdc8c3f3e67" ns2:_="">
    <xsd:import namespace="59620f79-f69b-4b91-b2ac-cb32db57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20f79-f69b-4b91-b2ac-cb32db574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7371D-8E8D-4C7B-B91A-A65FDABB51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F4F74B-971A-4FAB-83A8-DA7D546A3458}">
  <ds:schemaRefs>
    <ds:schemaRef ds:uri="http://schemas.microsoft.com/office/2006/metadata/properties"/>
    <ds:schemaRef ds:uri="http://schemas.microsoft.com/office/infopath/2007/PartnerControls"/>
    <ds:schemaRef ds:uri="59620f79-f69b-4b91-b2ac-cb32db5740b7"/>
  </ds:schemaRefs>
</ds:datastoreItem>
</file>

<file path=customXml/itemProps3.xml><?xml version="1.0" encoding="utf-8"?>
<ds:datastoreItem xmlns:ds="http://schemas.openxmlformats.org/officeDocument/2006/customXml" ds:itemID="{59C7D52C-273D-4333-A8AE-71C3ECE2D4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6D7ADD-743E-4454-99D6-2C383E1EB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20f79-f69b-4b91-b2ac-cb32db57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652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Zlot CCG</dc:creator>
  <cp:keywords/>
  <dc:description/>
  <cp:lastModifiedBy>Magdalena Zlot CCG</cp:lastModifiedBy>
  <cp:revision>5</cp:revision>
  <dcterms:created xsi:type="dcterms:W3CDTF">2026-11-06T09:30:00Z</dcterms:created>
  <dcterms:modified xsi:type="dcterms:W3CDTF">2026-11-06T10:29:00Z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0x010100B3609AB9363CEB4A8EDE372AB120A8CF</vt:lpwstr>
  </property>
  <property fmtid="{D5CDD505-2E9C-101B-9397-08002B2CF9AE}" pid="3" name="MSIP_Label_15394ae5-69af-439d-af88-cb521c31c0c5_Enabled">
    <vt:lpwstr>true</vt:lpwstr>
  </property>
  <property fmtid="{D5CDD505-2E9C-101B-9397-08002B2CF9AE}" pid="4" name="MSIP_Label_15394ae5-69af-439d-af88-cb521c31c0c5_SetDate">
    <vt:lpwstr>2026-11-06T09:30:20Z</vt:lpwstr>
  </property>
  <property fmtid="{D5CDD505-2E9C-101B-9397-08002B2CF9AE}" pid="5" name="MSIP_Label_15394ae5-69af-439d-af88-cb521c31c0c5_Method">
    <vt:lpwstr>Standard</vt:lpwstr>
  </property>
  <property fmtid="{D5CDD505-2E9C-101B-9397-08002B2CF9AE}" pid="6" name="MSIP_Label_15394ae5-69af-439d-af88-cb521c31c0c5_Name">
    <vt:lpwstr>DXC Internal</vt:lpwstr>
  </property>
  <property fmtid="{D5CDD505-2E9C-101B-9397-08002B2CF9AE}" pid="7" name="MSIP_Label_15394ae5-69af-439d-af88-cb521c31c0c5_SiteId">
    <vt:lpwstr>93f33571-550f-43cf-b09f-cd331338d086</vt:lpwstr>
  </property>
  <property fmtid="{D5CDD505-2E9C-101B-9397-08002B2CF9AE}" pid="8" name="MSIP_Label_15394ae5-69af-439d-af88-cb521c31c0c5_ActionId">
    <vt:lpwstr>aca9acfe-3506-45b3-8ed0-0988b2bef381</vt:lpwstr>
  </property>
  <property fmtid="{D5CDD505-2E9C-101B-9397-08002B2CF9AE}" pid="9" name="MSIP_Label_15394ae5-69af-439d-af88-cb521c31c0c5_ContentBits">
    <vt:lpwstr>0</vt:lpwstr>
  </property>
  <property fmtid="{D5CDD505-2E9C-101B-9397-08002B2CF9AE}" pid="10" name="MSIP_Label_15394ae5-69af-439d-af88-cb521c31c0c5_Tag">
    <vt:lpwstr>10, 3, 0, 1</vt:lpwstr>
  </property>
  <property fmtid="{D5CDD505-2E9C-101B-9397-08002B2CF9AE}" pid="11" name="MediaServiceImageTags">
    <vt:lpwstr/>
  </property>
</Properties>
</file>