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93E28" w14:textId="6334FCF9" w:rsidR="00BB7359" w:rsidRPr="0001727C" w:rsidRDefault="00247BE1" w:rsidP="00247BE1">
      <w:pPr>
        <w:jc w:val="center"/>
        <w:rPr>
          <w:b/>
          <w:bCs/>
          <w:sz w:val="32"/>
          <w:szCs w:val="32"/>
        </w:rPr>
      </w:pPr>
      <w:r w:rsidRPr="0001727C">
        <w:rPr>
          <w:b/>
          <w:bCs/>
          <w:sz w:val="32"/>
          <w:szCs w:val="32"/>
        </w:rPr>
        <w:t>NTT DATA reforça estratégia de crescimento no Sector Público e Saúde com a entrada de Marta Martins</w:t>
      </w:r>
    </w:p>
    <w:p w14:paraId="7317765B" w14:textId="05600131" w:rsidR="00561573" w:rsidRDefault="00561573" w:rsidP="00EB427A">
      <w:pPr>
        <w:jc w:val="center"/>
        <w:rPr>
          <w:b/>
          <w:bCs/>
          <w:sz w:val="20"/>
          <w:szCs w:val="20"/>
        </w:rPr>
      </w:pPr>
      <w:r w:rsidRPr="00EB427A">
        <w:rPr>
          <w:b/>
          <w:bCs/>
          <w:sz w:val="20"/>
          <w:szCs w:val="20"/>
        </w:rPr>
        <w:t xml:space="preserve">A nova Principal </w:t>
      </w:r>
      <w:proofErr w:type="spellStart"/>
      <w:r w:rsidRPr="00EB427A">
        <w:rPr>
          <w:b/>
          <w:bCs/>
          <w:sz w:val="20"/>
          <w:szCs w:val="20"/>
        </w:rPr>
        <w:t>Director</w:t>
      </w:r>
      <w:proofErr w:type="spellEnd"/>
      <w:r w:rsidRPr="00EB427A">
        <w:rPr>
          <w:b/>
          <w:bCs/>
          <w:sz w:val="20"/>
          <w:szCs w:val="20"/>
        </w:rPr>
        <w:t xml:space="preserve"> terá uma atuação transversal no desenvolvimento de negócio, com foco no crescimento, na proximidade aos clientes e na mobilização das diferentes capacidades da NTT DATA para responder aos desafios do Sector Público e Saúde.</w:t>
      </w:r>
    </w:p>
    <w:p w14:paraId="16EE4F35" w14:textId="77777777" w:rsidR="0001727C" w:rsidRPr="00EB427A" w:rsidRDefault="0001727C" w:rsidP="00EB427A">
      <w:pPr>
        <w:jc w:val="center"/>
        <w:rPr>
          <w:b/>
          <w:bCs/>
          <w:sz w:val="20"/>
          <w:szCs w:val="20"/>
        </w:rPr>
      </w:pPr>
    </w:p>
    <w:p w14:paraId="5F1B12DB" w14:textId="64EF9DEF" w:rsidR="002B576A" w:rsidRPr="00EB427A" w:rsidRDefault="003B7E8F" w:rsidP="003B06F5">
      <w:pPr>
        <w:jc w:val="both"/>
        <w:rPr>
          <w:sz w:val="20"/>
          <w:szCs w:val="20"/>
        </w:rPr>
      </w:pPr>
      <w:r w:rsidRPr="00EB427A">
        <w:rPr>
          <w:b/>
          <w:bCs/>
          <w:sz w:val="20"/>
          <w:szCs w:val="20"/>
        </w:rPr>
        <w:t xml:space="preserve">Lisboa, </w:t>
      </w:r>
      <w:r w:rsidR="00A877B2">
        <w:rPr>
          <w:b/>
          <w:bCs/>
          <w:sz w:val="20"/>
          <w:szCs w:val="20"/>
        </w:rPr>
        <w:t>05</w:t>
      </w:r>
      <w:r w:rsidRPr="00EB427A">
        <w:rPr>
          <w:b/>
          <w:bCs/>
          <w:sz w:val="20"/>
          <w:szCs w:val="20"/>
        </w:rPr>
        <w:t xml:space="preserve"> de novembro de 2026 –</w:t>
      </w:r>
      <w:r w:rsidRPr="00EB427A">
        <w:rPr>
          <w:sz w:val="20"/>
          <w:szCs w:val="20"/>
        </w:rPr>
        <w:t xml:space="preserve"> A consultora NTT DATA Portugal reforça a sua estratégia de crescimento no Sector Público e Saúde com a entrada de Marta Martins como Principal Director, numa função transversal orientada para o desenvolvimento de negócio neste mercado. Com uma vasta experiência em desenvolvimento de negócio, gestão de clientes e liderança comercial, aliada a um profundo conhecimento do Sector Público, Marta Martins terá como missão identificar novas oportunidades e potenciar uma abordagem cada vez mais integrada aos desafios dos clientes.</w:t>
      </w:r>
    </w:p>
    <w:p w14:paraId="04CFB4D4" w14:textId="52C20E72" w:rsidR="00561573" w:rsidRPr="00EB427A" w:rsidRDefault="00561573" w:rsidP="00247BE1">
      <w:pPr>
        <w:jc w:val="both"/>
        <w:rPr>
          <w:sz w:val="20"/>
          <w:szCs w:val="20"/>
        </w:rPr>
      </w:pPr>
      <w:r w:rsidRPr="00EB427A">
        <w:rPr>
          <w:sz w:val="20"/>
          <w:szCs w:val="20"/>
        </w:rPr>
        <w:t>N</w:t>
      </w:r>
      <w:r w:rsidR="003124AE" w:rsidRPr="00EB427A">
        <w:rPr>
          <w:sz w:val="20"/>
          <w:szCs w:val="20"/>
        </w:rPr>
        <w:t>este</w:t>
      </w:r>
      <w:r w:rsidRPr="00EB427A">
        <w:rPr>
          <w:sz w:val="20"/>
          <w:szCs w:val="20"/>
        </w:rPr>
        <w:t xml:space="preserve"> novo desafio, Marta Martins trabalhará em estreita colaboração com os responsáveis das diferentes </w:t>
      </w:r>
      <w:r w:rsidR="003124AE" w:rsidRPr="00EB427A">
        <w:rPr>
          <w:sz w:val="20"/>
          <w:szCs w:val="20"/>
        </w:rPr>
        <w:t>áreas</w:t>
      </w:r>
      <w:r w:rsidRPr="00EB427A">
        <w:rPr>
          <w:sz w:val="20"/>
          <w:szCs w:val="20"/>
        </w:rPr>
        <w:t xml:space="preserve"> de Sector Público e Saúde</w:t>
      </w:r>
      <w:r w:rsidR="003124AE" w:rsidRPr="00EB427A">
        <w:rPr>
          <w:sz w:val="20"/>
          <w:szCs w:val="20"/>
        </w:rPr>
        <w:t xml:space="preserve"> da empresa</w:t>
      </w:r>
      <w:r w:rsidRPr="00EB427A">
        <w:rPr>
          <w:sz w:val="20"/>
          <w:szCs w:val="20"/>
        </w:rPr>
        <w:t>, assumindo um papel transversal na ligação entre as prioridades dos clientes e o conjunto de competências que a NTT DATA pode mobilizar para lhes dar resposta.</w:t>
      </w:r>
    </w:p>
    <w:p w14:paraId="37928129" w14:textId="4F1A697A" w:rsidR="00561573" w:rsidRPr="00EB427A" w:rsidDel="003124AE" w:rsidRDefault="00561573" w:rsidP="00247BE1">
      <w:pPr>
        <w:jc w:val="both"/>
        <w:rPr>
          <w:sz w:val="20"/>
          <w:szCs w:val="20"/>
        </w:rPr>
      </w:pPr>
      <w:r w:rsidRPr="00EB427A">
        <w:rPr>
          <w:sz w:val="20"/>
          <w:szCs w:val="20"/>
        </w:rPr>
        <w:t xml:space="preserve">Esta abordagem pretende potenciar uma das principais vantagens da NTT DATA: a capacidade de combinar conhecimento setorial com um portefólio alargado de competências em áreas como consultoria, inteligência artificial e dados, </w:t>
      </w:r>
      <w:proofErr w:type="spellStart"/>
      <w:r w:rsidRPr="00EB427A">
        <w:rPr>
          <w:sz w:val="20"/>
          <w:szCs w:val="20"/>
        </w:rPr>
        <w:t>cloud</w:t>
      </w:r>
      <w:proofErr w:type="spellEnd"/>
      <w:r w:rsidRPr="00EB427A">
        <w:rPr>
          <w:sz w:val="20"/>
          <w:szCs w:val="20"/>
        </w:rPr>
        <w:t xml:space="preserve">, </w:t>
      </w:r>
      <w:proofErr w:type="spellStart"/>
      <w:r w:rsidRPr="00EB427A">
        <w:rPr>
          <w:sz w:val="20"/>
          <w:szCs w:val="20"/>
        </w:rPr>
        <w:t>cibersegurança</w:t>
      </w:r>
      <w:proofErr w:type="spellEnd"/>
      <w:r w:rsidRPr="00EB427A">
        <w:rPr>
          <w:sz w:val="20"/>
          <w:szCs w:val="20"/>
        </w:rPr>
        <w:t>, aplicações e infraestrutura. O objetivo é acelerar a mobilização destas capacidades para o mercado e construir respostas integradas para desafios de transformação cada vez mais transversais.</w:t>
      </w:r>
    </w:p>
    <w:p w14:paraId="45920052" w14:textId="313FA6B6" w:rsidR="00247BE1" w:rsidRPr="00EB427A" w:rsidRDefault="00247BE1" w:rsidP="00247BE1">
      <w:pPr>
        <w:jc w:val="both"/>
        <w:rPr>
          <w:i/>
          <w:iCs/>
          <w:sz w:val="20"/>
          <w:szCs w:val="20"/>
        </w:rPr>
      </w:pPr>
      <w:r w:rsidRPr="00EB427A">
        <w:rPr>
          <w:b/>
          <w:bCs/>
          <w:sz w:val="20"/>
          <w:szCs w:val="20"/>
        </w:rPr>
        <w:t>Marta Martins</w:t>
      </w:r>
      <w:r w:rsidRPr="00EB427A">
        <w:rPr>
          <w:sz w:val="20"/>
          <w:szCs w:val="20"/>
        </w:rPr>
        <w:t xml:space="preserve"> afirma</w:t>
      </w:r>
      <w:r w:rsidR="00EB427A">
        <w:rPr>
          <w:sz w:val="20"/>
          <w:szCs w:val="20"/>
        </w:rPr>
        <w:t xml:space="preserve"> que</w:t>
      </w:r>
      <w:r w:rsidRPr="00EB427A">
        <w:rPr>
          <w:sz w:val="20"/>
          <w:szCs w:val="20"/>
        </w:rPr>
        <w:t xml:space="preserve"> </w:t>
      </w:r>
      <w:r w:rsidRPr="00EB427A">
        <w:rPr>
          <w:i/>
          <w:iCs/>
          <w:sz w:val="20"/>
          <w:szCs w:val="20"/>
        </w:rPr>
        <w:t xml:space="preserve">“É com grande entusiasmo que me junto à NTT DATA e a uma equipa com um conhecimento e uma presença muito relevantes no Sector Público e Saúde. Este novo desafio representa a oportunidade de trabalhar de forma próxima com os nossos clientes, compreender as suas prioridades e colocar ao seu serviço a amplitude das capacidades da NTT DATA. Acredito que é da combinação entre conhecimento do setor, inovação, tecnologia e relações de confiança que nascem soluções capazes de criar valor e transformar efetivamente as organizações. </w:t>
      </w:r>
      <w:r w:rsidR="00EB427A">
        <w:rPr>
          <w:i/>
          <w:iCs/>
          <w:sz w:val="20"/>
          <w:szCs w:val="20"/>
        </w:rPr>
        <w:t>Além disso,</w:t>
      </w:r>
      <w:r w:rsidRPr="00EB427A">
        <w:rPr>
          <w:i/>
          <w:iCs/>
          <w:sz w:val="20"/>
          <w:szCs w:val="20"/>
        </w:rPr>
        <w:t xml:space="preserve"> trabalhar com o Sector Público e </w:t>
      </w:r>
      <w:r w:rsidR="00EB427A">
        <w:rPr>
          <w:i/>
          <w:iCs/>
          <w:sz w:val="20"/>
          <w:szCs w:val="20"/>
        </w:rPr>
        <w:t xml:space="preserve">a área da </w:t>
      </w:r>
      <w:r w:rsidRPr="00EB427A">
        <w:rPr>
          <w:i/>
          <w:iCs/>
          <w:sz w:val="20"/>
          <w:szCs w:val="20"/>
        </w:rPr>
        <w:t>Saúde significa também contribuir para uma transformação com impacto na vida dos cidadãos.”</w:t>
      </w:r>
    </w:p>
    <w:p w14:paraId="4B488B28" w14:textId="268F250A" w:rsidR="00247BE1" w:rsidRPr="00EB427A" w:rsidRDefault="00247BE1" w:rsidP="00247BE1">
      <w:pPr>
        <w:jc w:val="both"/>
        <w:rPr>
          <w:sz w:val="20"/>
          <w:szCs w:val="20"/>
        </w:rPr>
      </w:pPr>
      <w:r w:rsidRPr="00EB427A">
        <w:rPr>
          <w:b/>
          <w:bCs/>
          <w:sz w:val="20"/>
          <w:szCs w:val="20"/>
        </w:rPr>
        <w:t xml:space="preserve">Ricardo Constantino, </w:t>
      </w:r>
      <w:proofErr w:type="spellStart"/>
      <w:r w:rsidRPr="00EB427A">
        <w:rPr>
          <w:b/>
          <w:bCs/>
          <w:sz w:val="20"/>
          <w:szCs w:val="20"/>
        </w:rPr>
        <w:t>Partner</w:t>
      </w:r>
      <w:proofErr w:type="spellEnd"/>
      <w:r w:rsidRPr="00EB427A">
        <w:rPr>
          <w:b/>
          <w:bCs/>
          <w:sz w:val="20"/>
          <w:szCs w:val="20"/>
        </w:rPr>
        <w:t xml:space="preserve">, </w:t>
      </w:r>
      <w:proofErr w:type="spellStart"/>
      <w:r w:rsidRPr="00EB427A">
        <w:rPr>
          <w:b/>
          <w:bCs/>
          <w:sz w:val="20"/>
          <w:szCs w:val="20"/>
        </w:rPr>
        <w:t>Head</w:t>
      </w:r>
      <w:proofErr w:type="spellEnd"/>
      <w:r w:rsidRPr="00EB427A">
        <w:rPr>
          <w:b/>
          <w:bCs/>
          <w:sz w:val="20"/>
          <w:szCs w:val="20"/>
        </w:rPr>
        <w:t xml:space="preserve"> </w:t>
      </w:r>
      <w:proofErr w:type="spellStart"/>
      <w:r w:rsidRPr="00EB427A">
        <w:rPr>
          <w:b/>
          <w:bCs/>
          <w:sz w:val="20"/>
          <w:szCs w:val="20"/>
        </w:rPr>
        <w:t>of</w:t>
      </w:r>
      <w:proofErr w:type="spellEnd"/>
      <w:r w:rsidRPr="00EB427A">
        <w:rPr>
          <w:b/>
          <w:bCs/>
          <w:sz w:val="20"/>
          <w:szCs w:val="20"/>
        </w:rPr>
        <w:t xml:space="preserve"> </w:t>
      </w:r>
      <w:proofErr w:type="spellStart"/>
      <w:r w:rsidRPr="00EB427A">
        <w:rPr>
          <w:b/>
          <w:bCs/>
          <w:sz w:val="20"/>
          <w:szCs w:val="20"/>
        </w:rPr>
        <w:t>Public</w:t>
      </w:r>
      <w:proofErr w:type="spellEnd"/>
      <w:r w:rsidRPr="00EB427A">
        <w:rPr>
          <w:b/>
          <w:bCs/>
          <w:sz w:val="20"/>
          <w:szCs w:val="20"/>
        </w:rPr>
        <w:t xml:space="preserve"> Sector &amp; </w:t>
      </w:r>
      <w:proofErr w:type="spellStart"/>
      <w:r w:rsidRPr="00EB427A">
        <w:rPr>
          <w:b/>
          <w:bCs/>
          <w:sz w:val="20"/>
          <w:szCs w:val="20"/>
        </w:rPr>
        <w:t>Health</w:t>
      </w:r>
      <w:proofErr w:type="spellEnd"/>
      <w:r w:rsidRPr="00EB427A">
        <w:rPr>
          <w:b/>
          <w:bCs/>
          <w:sz w:val="20"/>
          <w:szCs w:val="20"/>
        </w:rPr>
        <w:t xml:space="preserve"> da NTT DATA Portugal</w:t>
      </w:r>
      <w:r w:rsidRPr="00EB427A">
        <w:rPr>
          <w:sz w:val="20"/>
          <w:szCs w:val="20"/>
        </w:rPr>
        <w:t xml:space="preserve">, </w:t>
      </w:r>
      <w:r w:rsidR="003124AE" w:rsidRPr="00EB427A">
        <w:rPr>
          <w:sz w:val="20"/>
          <w:szCs w:val="20"/>
        </w:rPr>
        <w:t>acrescenta</w:t>
      </w:r>
      <w:r w:rsidRPr="00EB427A">
        <w:rPr>
          <w:sz w:val="20"/>
          <w:szCs w:val="20"/>
        </w:rPr>
        <w:t xml:space="preserve"> que </w:t>
      </w:r>
      <w:r w:rsidRPr="00EB427A">
        <w:rPr>
          <w:i/>
          <w:iCs/>
          <w:sz w:val="20"/>
          <w:szCs w:val="20"/>
        </w:rPr>
        <w:t>“a entrada da Marta reforça a nossa ambição de crescimento em Sector Público e Saúde. O seu profundo conhecimento do mercado, a experiência no desenvolvimento de negócio e a capacidade de construir relações de longo prazo serão fundamentais para estarmos ainda mais próximos dos nossos clientes. Em articulação com os responsáveis de cada indústria, queremos mobilizar de forma cada vez mais eficaz todas as capacidades da NTT DATA, combinando conhecimento setorial, tecnologia e inovação para responder aos desafios de transformação das organizações.”</w:t>
      </w:r>
    </w:p>
    <w:p w14:paraId="0840282F" w14:textId="71EB6D81" w:rsidR="00D03562" w:rsidRPr="00EB427A" w:rsidRDefault="00247BE1" w:rsidP="003B06F5">
      <w:pPr>
        <w:jc w:val="both"/>
        <w:rPr>
          <w:sz w:val="20"/>
          <w:szCs w:val="20"/>
        </w:rPr>
      </w:pPr>
      <w:r w:rsidRPr="00EB427A">
        <w:rPr>
          <w:sz w:val="20"/>
          <w:szCs w:val="20"/>
        </w:rPr>
        <w:t>Com uma longa experiência profissional ligada ao desenvolvimento de negócio e à gestão de clientes</w:t>
      </w:r>
      <w:r w:rsidR="00CE703A" w:rsidRPr="00EB427A">
        <w:rPr>
          <w:sz w:val="20"/>
          <w:szCs w:val="20"/>
        </w:rPr>
        <w:t xml:space="preserve"> em consultoras nacionais e internacionais</w:t>
      </w:r>
      <w:r w:rsidRPr="00EB427A">
        <w:rPr>
          <w:sz w:val="20"/>
          <w:szCs w:val="20"/>
        </w:rPr>
        <w:t xml:space="preserve">, </w:t>
      </w:r>
      <w:r w:rsidR="003124AE" w:rsidRPr="00EB427A">
        <w:rPr>
          <w:sz w:val="20"/>
          <w:szCs w:val="20"/>
        </w:rPr>
        <w:t>Marta Martins</w:t>
      </w:r>
      <w:r w:rsidR="00CE703A" w:rsidRPr="00EB427A">
        <w:rPr>
          <w:sz w:val="20"/>
          <w:szCs w:val="20"/>
        </w:rPr>
        <w:t xml:space="preserve"> é licenciada em Gestão pelo ISEG, onde fez também uma pós-graduação em Economia e Marketing.</w:t>
      </w:r>
      <w:r w:rsidR="003124AE" w:rsidRPr="00EB427A">
        <w:rPr>
          <w:sz w:val="20"/>
          <w:szCs w:val="20"/>
        </w:rPr>
        <w:t xml:space="preserve"> </w:t>
      </w:r>
    </w:p>
    <w:p w14:paraId="0C1689FC" w14:textId="6896E3A8" w:rsidR="00141C1D" w:rsidRDefault="00141C1D" w:rsidP="00141C1D">
      <w:pPr>
        <w:jc w:val="center"/>
      </w:pPr>
      <w:r>
        <w:t>***</w:t>
      </w:r>
    </w:p>
    <w:p w14:paraId="2B45A282" w14:textId="77777777" w:rsidR="00EB427A" w:rsidRDefault="00EB427A" w:rsidP="00942E3E">
      <w:pPr>
        <w:jc w:val="both"/>
        <w:rPr>
          <w:b/>
          <w:bCs/>
          <w:sz w:val="18"/>
          <w:szCs w:val="18"/>
        </w:rPr>
      </w:pPr>
    </w:p>
    <w:p w14:paraId="468A6E78" w14:textId="77777777" w:rsidR="00EC5973" w:rsidRPr="005F2D21" w:rsidRDefault="00EC5973" w:rsidP="00EC5973">
      <w:pPr>
        <w:spacing w:after="0"/>
      </w:pPr>
      <w:r w:rsidRPr="356B243E">
        <w:rPr>
          <w:rFonts w:ascii="Arial" w:hAnsi="Arial" w:cs="Arial"/>
          <w:b/>
          <w:bCs/>
          <w:sz w:val="18"/>
          <w:szCs w:val="18"/>
        </w:rPr>
        <w:t>Para mais informações, favor contactar</w:t>
      </w:r>
      <w:r w:rsidRPr="356B243E">
        <w:rPr>
          <w:rFonts w:ascii="Arial" w:hAnsi="Arial" w:cs="Arial"/>
          <w:sz w:val="18"/>
          <w:szCs w:val="18"/>
        </w:rPr>
        <w:t>:</w:t>
      </w:r>
    </w:p>
    <w:p w14:paraId="47BCCCB5" w14:textId="77777777" w:rsidR="00EC5973" w:rsidRDefault="00EC5973" w:rsidP="00EC5973">
      <w:pPr>
        <w:spacing w:after="0"/>
      </w:pPr>
      <w:r>
        <w:rPr>
          <w:noProof/>
        </w:rPr>
        <w:drawing>
          <wp:inline distT="0" distB="0" distL="0" distR="0" wp14:anchorId="255E5A98" wp14:editId="2FC6402D">
            <wp:extent cx="2085975" cy="326803"/>
            <wp:effectExtent l="0" t="0" r="0" b="0"/>
            <wp:docPr id="9529627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62730" name="Picture 952962730"/>
                    <pic:cNvPicPr/>
                  </pic:nvPicPr>
                  <pic:blipFill>
                    <a:blip r:embed="rId9">
                      <a:extLst>
                        <a:ext uri="{28A0092B-C50C-407E-A947-70E740481C1C}">
                          <a14:useLocalDpi xmlns:a14="http://schemas.microsoft.com/office/drawing/2010/main"/>
                        </a:ext>
                      </a:extLst>
                    </a:blip>
                    <a:stretch>
                      <a:fillRect/>
                    </a:stretch>
                  </pic:blipFill>
                  <pic:spPr>
                    <a:xfrm>
                      <a:off x="0" y="0"/>
                      <a:ext cx="2085975" cy="326803"/>
                    </a:xfrm>
                    <a:prstGeom prst="rect">
                      <a:avLst/>
                    </a:prstGeom>
                  </pic:spPr>
                </pic:pic>
              </a:graphicData>
            </a:graphic>
          </wp:inline>
        </w:drawing>
      </w:r>
    </w:p>
    <w:p w14:paraId="310610CC" w14:textId="77777777" w:rsidR="00EC5973" w:rsidRPr="000734D7" w:rsidRDefault="00EC5973" w:rsidP="00EC5973">
      <w:pPr>
        <w:spacing w:after="0"/>
        <w:rPr>
          <w:rFonts w:ascii="Arial" w:hAnsi="Arial" w:cs="Arial"/>
          <w:b/>
          <w:bCs/>
          <w:sz w:val="18"/>
          <w:szCs w:val="18"/>
        </w:rPr>
      </w:pPr>
    </w:p>
    <w:p w14:paraId="545A4037" w14:textId="0223108C" w:rsidR="00EC5973" w:rsidRPr="000734D7" w:rsidRDefault="00EC5973" w:rsidP="00EC5973">
      <w:pPr>
        <w:tabs>
          <w:tab w:val="left" w:pos="0"/>
        </w:tabs>
        <w:spacing w:after="0" w:line="360" w:lineRule="auto"/>
        <w:rPr>
          <w:rFonts w:ascii="Arial" w:hAnsi="Arial" w:cs="Arial"/>
          <w:sz w:val="18"/>
          <w:szCs w:val="18"/>
        </w:rPr>
      </w:pPr>
      <w:r>
        <w:rPr>
          <w:rFonts w:ascii="Arial" w:hAnsi="Arial" w:cs="Arial"/>
          <w:sz w:val="18"/>
          <w:szCs w:val="18"/>
        </w:rPr>
        <w:lastRenderedPageBreak/>
        <w:t>Eunice Gaspar</w:t>
      </w:r>
      <w:r w:rsidRPr="000734D7">
        <w:rPr>
          <w:rFonts w:ascii="Arial" w:hAnsi="Arial" w:cs="Arial"/>
          <w:sz w:val="18"/>
          <w:szCs w:val="18"/>
        </w:rPr>
        <w:t xml:space="preserve"> | </w:t>
      </w:r>
      <w:hyperlink r:id="rId10" w:history="1">
        <w:r w:rsidRPr="005F2D21">
          <w:rPr>
            <w:rStyle w:val="Hiperligao"/>
            <w:rFonts w:ascii="Arial" w:eastAsiaTheme="majorEastAsia" w:hAnsi="Arial" w:cs="Arial"/>
            <w:sz w:val="18"/>
            <w:szCs w:val="18"/>
          </w:rPr>
          <w:t>eunice.gaspar@lift.com.pt</w:t>
        </w:r>
      </w:hyperlink>
      <w:r w:rsidR="00CE61C7">
        <w:t xml:space="preserve"> </w:t>
      </w:r>
      <w:r w:rsidRPr="000734D7">
        <w:rPr>
          <w:rFonts w:ascii="Arial" w:hAnsi="Arial" w:cs="Arial"/>
          <w:sz w:val="18"/>
          <w:szCs w:val="18"/>
        </w:rPr>
        <w:t xml:space="preserve">| </w:t>
      </w:r>
      <w:r w:rsidRPr="00F17032">
        <w:rPr>
          <w:rFonts w:ascii="Arial" w:hAnsi="Arial" w:cs="Arial"/>
          <w:sz w:val="18"/>
          <w:szCs w:val="18"/>
        </w:rPr>
        <w:t>911 774</w:t>
      </w:r>
      <w:r>
        <w:rPr>
          <w:rFonts w:ascii="Arial" w:hAnsi="Arial" w:cs="Arial"/>
          <w:sz w:val="18"/>
          <w:szCs w:val="18"/>
        </w:rPr>
        <w:t> </w:t>
      </w:r>
      <w:r w:rsidRPr="00F17032">
        <w:rPr>
          <w:rFonts w:ascii="Arial" w:hAnsi="Arial" w:cs="Arial"/>
          <w:sz w:val="18"/>
          <w:szCs w:val="18"/>
        </w:rPr>
        <w:t>428</w:t>
      </w:r>
    </w:p>
    <w:p w14:paraId="602CE96F" w14:textId="0A570DDC" w:rsidR="00B43733" w:rsidRPr="00B43733" w:rsidRDefault="00CE61C7" w:rsidP="00B43733">
      <w:pPr>
        <w:jc w:val="both"/>
        <w:rPr>
          <w:rFonts w:ascii="Arial" w:hAnsi="Arial" w:cs="Arial"/>
          <w:sz w:val="18"/>
          <w:szCs w:val="18"/>
        </w:rPr>
      </w:pPr>
      <w:r w:rsidRPr="00B43733">
        <w:rPr>
          <w:rFonts w:ascii="Arial" w:hAnsi="Arial" w:cs="Arial"/>
          <w:sz w:val="18"/>
          <w:szCs w:val="18"/>
        </w:rPr>
        <w:t xml:space="preserve">Erica Macieira | </w:t>
      </w:r>
      <w:hyperlink r:id="rId11" w:history="1">
        <w:r w:rsidR="00B43733" w:rsidRPr="00B43733">
          <w:rPr>
            <w:rStyle w:val="Hiperligao"/>
            <w:rFonts w:ascii="Arial" w:eastAsiaTheme="majorEastAsia" w:hAnsi="Arial" w:cs="Arial"/>
            <w:sz w:val="18"/>
            <w:szCs w:val="18"/>
          </w:rPr>
          <w:t>e</w:t>
        </w:r>
        <w:r w:rsidR="00B43733" w:rsidRPr="00B43733">
          <w:rPr>
            <w:rStyle w:val="Hiperligao"/>
            <w:rFonts w:ascii="Arial" w:eastAsiaTheme="majorEastAsia" w:hAnsi="Arial" w:cs="Arial"/>
            <w:sz w:val="18"/>
            <w:szCs w:val="18"/>
          </w:rPr>
          <w:t>rica</w:t>
        </w:r>
        <w:r w:rsidR="00B43733" w:rsidRPr="00B43733">
          <w:rPr>
            <w:rStyle w:val="Hiperligao"/>
            <w:rFonts w:ascii="Arial" w:eastAsiaTheme="majorEastAsia" w:hAnsi="Arial" w:cs="Arial"/>
            <w:sz w:val="18"/>
            <w:szCs w:val="18"/>
          </w:rPr>
          <w:t>.</w:t>
        </w:r>
        <w:r w:rsidR="00B43733" w:rsidRPr="00B43733">
          <w:rPr>
            <w:rStyle w:val="Hiperligao"/>
            <w:rFonts w:ascii="Arial" w:eastAsiaTheme="majorEastAsia" w:hAnsi="Arial" w:cs="Arial"/>
            <w:sz w:val="18"/>
            <w:szCs w:val="18"/>
          </w:rPr>
          <w:t>macieira</w:t>
        </w:r>
        <w:r w:rsidR="00B43733" w:rsidRPr="00B43733">
          <w:rPr>
            <w:rStyle w:val="Hiperligao"/>
            <w:rFonts w:ascii="Arial" w:eastAsiaTheme="majorEastAsia" w:hAnsi="Arial" w:cs="Arial"/>
            <w:sz w:val="18"/>
            <w:szCs w:val="18"/>
          </w:rPr>
          <w:t>@lift.com.pt</w:t>
        </w:r>
      </w:hyperlink>
      <w:r w:rsidRPr="00B43733">
        <w:rPr>
          <w:rFonts w:ascii="Arial" w:hAnsi="Arial" w:cs="Arial"/>
        </w:rPr>
        <w:t xml:space="preserve"> </w:t>
      </w:r>
      <w:r w:rsidRPr="00B43733">
        <w:rPr>
          <w:rFonts w:ascii="Arial" w:hAnsi="Arial" w:cs="Arial"/>
          <w:sz w:val="18"/>
          <w:szCs w:val="18"/>
        </w:rPr>
        <w:t>|</w:t>
      </w:r>
      <w:r w:rsidR="00B43733" w:rsidRPr="00B43733">
        <w:rPr>
          <w:rFonts w:ascii="Arial" w:hAnsi="Arial" w:cs="Arial"/>
          <w:sz w:val="18"/>
          <w:szCs w:val="18"/>
        </w:rPr>
        <w:t xml:space="preserve"> </w:t>
      </w:r>
      <w:r w:rsidR="00B43733" w:rsidRPr="00B43733">
        <w:rPr>
          <w:rFonts w:ascii="Arial" w:hAnsi="Arial" w:cs="Arial"/>
          <w:sz w:val="18"/>
          <w:szCs w:val="18"/>
        </w:rPr>
        <w:t>910</w:t>
      </w:r>
      <w:r w:rsidR="00B43733">
        <w:rPr>
          <w:rFonts w:ascii="Arial" w:hAnsi="Arial" w:cs="Arial"/>
          <w:sz w:val="18"/>
          <w:szCs w:val="18"/>
        </w:rPr>
        <w:t> </w:t>
      </w:r>
      <w:r w:rsidR="00B43733" w:rsidRPr="00B43733">
        <w:rPr>
          <w:rFonts w:ascii="Arial" w:hAnsi="Arial" w:cs="Arial"/>
          <w:sz w:val="18"/>
          <w:szCs w:val="18"/>
        </w:rPr>
        <w:t>549</w:t>
      </w:r>
      <w:r w:rsidR="00B43733">
        <w:rPr>
          <w:rFonts w:ascii="Arial" w:hAnsi="Arial" w:cs="Arial"/>
          <w:sz w:val="18"/>
          <w:szCs w:val="18"/>
        </w:rPr>
        <w:t xml:space="preserve"> </w:t>
      </w:r>
      <w:r w:rsidR="00B43733" w:rsidRPr="00B43733">
        <w:rPr>
          <w:rFonts w:ascii="Arial" w:hAnsi="Arial" w:cs="Arial"/>
          <w:sz w:val="18"/>
          <w:szCs w:val="18"/>
        </w:rPr>
        <w:t>515</w:t>
      </w:r>
    </w:p>
    <w:p w14:paraId="01B3548F" w14:textId="36042463" w:rsidR="00A877B2" w:rsidRDefault="00A877B2" w:rsidP="00942E3E">
      <w:pPr>
        <w:jc w:val="both"/>
        <w:rPr>
          <w:b/>
          <w:bCs/>
          <w:sz w:val="18"/>
          <w:szCs w:val="18"/>
        </w:rPr>
      </w:pPr>
    </w:p>
    <w:p w14:paraId="6F39ECC2" w14:textId="77777777" w:rsidR="00A877B2" w:rsidRDefault="00A877B2" w:rsidP="00942E3E">
      <w:pPr>
        <w:jc w:val="both"/>
        <w:rPr>
          <w:b/>
          <w:bCs/>
          <w:sz w:val="18"/>
          <w:szCs w:val="18"/>
        </w:rPr>
      </w:pPr>
    </w:p>
    <w:p w14:paraId="39A53C88" w14:textId="05402217" w:rsidR="00942E3E" w:rsidRPr="00942E3E" w:rsidRDefault="00942E3E" w:rsidP="00942E3E">
      <w:pPr>
        <w:jc w:val="both"/>
        <w:rPr>
          <w:b/>
          <w:bCs/>
          <w:sz w:val="18"/>
          <w:szCs w:val="18"/>
        </w:rPr>
      </w:pPr>
      <w:r w:rsidRPr="00942E3E">
        <w:rPr>
          <w:b/>
          <w:bCs/>
          <w:sz w:val="18"/>
          <w:szCs w:val="18"/>
        </w:rPr>
        <w:t>Sobre a NTT DATA:</w:t>
      </w:r>
    </w:p>
    <w:p w14:paraId="7E2496F3" w14:textId="77777777" w:rsidR="003124AE" w:rsidRPr="00EB427A" w:rsidRDefault="003124AE" w:rsidP="003124AE">
      <w:pPr>
        <w:spacing w:before="240" w:after="240" w:line="240" w:lineRule="auto"/>
        <w:jc w:val="both"/>
        <w:rPr>
          <w:rFonts w:ascii="Aptos" w:eastAsia="Calibri" w:hAnsi="Aptos" w:cs="Calibri"/>
          <w:sz w:val="18"/>
          <w:szCs w:val="18"/>
        </w:rPr>
      </w:pPr>
      <w:r w:rsidRPr="00EB427A">
        <w:rPr>
          <w:rFonts w:ascii="Aptos" w:eastAsia="Calibri" w:hAnsi="Aptos" w:cs="Calibri"/>
          <w:sz w:val="18"/>
          <w:szCs w:val="18"/>
        </w:rPr>
        <w:t>A NTT DATA é uma empresa líder em serviços de negócio e tecnologia, com receitas superiores a 30 mil milhões de dólares, que presta serviços a 75% das empresas do Fortune Global 100. Estamos comprometidos em acelerar o sucesso dos clientes e em ter um impacto positivo na sociedade através da inovação responsável. </w:t>
      </w:r>
    </w:p>
    <w:p w14:paraId="5CBFE8B4" w14:textId="77777777" w:rsidR="003124AE" w:rsidRPr="00EB427A" w:rsidRDefault="003124AE" w:rsidP="003124AE">
      <w:pPr>
        <w:spacing w:before="240" w:after="240" w:line="240" w:lineRule="auto"/>
        <w:jc w:val="both"/>
        <w:rPr>
          <w:rFonts w:ascii="Aptos" w:eastAsia="Calibri" w:hAnsi="Aptos" w:cs="Calibri"/>
          <w:sz w:val="18"/>
          <w:szCs w:val="18"/>
        </w:rPr>
      </w:pPr>
      <w:r w:rsidRPr="00EB427A">
        <w:rPr>
          <w:rFonts w:ascii="Aptos" w:eastAsia="Calibri" w:hAnsi="Aptos" w:cs="Calibri"/>
          <w:sz w:val="18"/>
          <w:szCs w:val="18"/>
        </w:rPr>
        <w:t xml:space="preserve">Somos um dos principais fornecedores mundiais de infraestruturas digitais e inteligência artificial, com capacidades incomparáveis em IA à escala empresarial, </w:t>
      </w:r>
      <w:proofErr w:type="spellStart"/>
      <w:r w:rsidRPr="00EB427A">
        <w:rPr>
          <w:rFonts w:ascii="Aptos" w:eastAsia="Calibri" w:hAnsi="Aptos" w:cs="Calibri"/>
          <w:i/>
          <w:iCs/>
          <w:sz w:val="18"/>
          <w:szCs w:val="18"/>
        </w:rPr>
        <w:t>cloud</w:t>
      </w:r>
      <w:proofErr w:type="spellEnd"/>
      <w:r w:rsidRPr="00EB427A">
        <w:rPr>
          <w:rFonts w:ascii="Aptos" w:eastAsia="Calibri" w:hAnsi="Aptos" w:cs="Calibri"/>
          <w:i/>
          <w:iCs/>
          <w:sz w:val="18"/>
          <w:szCs w:val="18"/>
        </w:rPr>
        <w:t>,</w:t>
      </w:r>
      <w:r w:rsidRPr="00EB427A">
        <w:rPr>
          <w:rFonts w:ascii="Aptos" w:eastAsia="Calibri" w:hAnsi="Aptos" w:cs="Calibri"/>
          <w:sz w:val="18"/>
          <w:szCs w:val="18"/>
        </w:rPr>
        <w:t xml:space="preserve"> segurança, conectividade, centros de dados e serviços de aplicações. As nossas soluções de consultoria e de especialização setorial ajudam organizações e comunidades a avançar com confiança e sustentabilidade em direção ao futuro digital. </w:t>
      </w:r>
    </w:p>
    <w:p w14:paraId="494F281E" w14:textId="77777777" w:rsidR="003124AE" w:rsidRPr="00EB427A" w:rsidRDefault="003124AE" w:rsidP="003124AE">
      <w:pPr>
        <w:spacing w:before="240" w:after="240" w:line="240" w:lineRule="auto"/>
        <w:jc w:val="both"/>
        <w:rPr>
          <w:rFonts w:ascii="Aptos" w:eastAsia="Calibri" w:hAnsi="Aptos" w:cs="Calibri"/>
          <w:sz w:val="18"/>
          <w:szCs w:val="18"/>
        </w:rPr>
      </w:pPr>
      <w:r w:rsidRPr="00EB427A">
        <w:rPr>
          <w:rFonts w:ascii="Aptos" w:eastAsia="Calibri" w:hAnsi="Aptos" w:cs="Calibri"/>
          <w:sz w:val="18"/>
          <w:szCs w:val="18"/>
        </w:rPr>
        <w:t xml:space="preserve">Como </w:t>
      </w:r>
      <w:r w:rsidRPr="00EB427A">
        <w:rPr>
          <w:rFonts w:ascii="Aptos" w:eastAsia="Calibri" w:hAnsi="Aptos" w:cs="Calibri"/>
          <w:i/>
          <w:iCs/>
          <w:sz w:val="18"/>
          <w:szCs w:val="18"/>
        </w:rPr>
        <w:t xml:space="preserve">Global Top </w:t>
      </w:r>
      <w:proofErr w:type="spellStart"/>
      <w:r w:rsidRPr="00EB427A">
        <w:rPr>
          <w:rFonts w:ascii="Aptos" w:eastAsia="Calibri" w:hAnsi="Aptos" w:cs="Calibri"/>
          <w:i/>
          <w:iCs/>
          <w:sz w:val="18"/>
          <w:szCs w:val="18"/>
        </w:rPr>
        <w:t>Employer</w:t>
      </w:r>
      <w:proofErr w:type="spellEnd"/>
      <w:r w:rsidRPr="00EB427A">
        <w:rPr>
          <w:rFonts w:ascii="Aptos" w:eastAsia="Calibri" w:hAnsi="Aptos" w:cs="Calibri"/>
          <w:sz w:val="18"/>
          <w:szCs w:val="18"/>
        </w:rPr>
        <w:t xml:space="preserve">, contamos com especialistas em mais de 70 países. Oferecemos também aos nossos clientes acesso a um ecossistema robusto de centros de inovação, bem como a parceiros consolidados e </w:t>
      </w:r>
      <w:proofErr w:type="spellStart"/>
      <w:r w:rsidRPr="00EB427A">
        <w:rPr>
          <w:rFonts w:ascii="Aptos" w:eastAsia="Calibri" w:hAnsi="Aptos" w:cs="Calibri"/>
          <w:i/>
          <w:iCs/>
          <w:sz w:val="18"/>
          <w:szCs w:val="18"/>
        </w:rPr>
        <w:t>startups</w:t>
      </w:r>
      <w:proofErr w:type="spellEnd"/>
      <w:r w:rsidRPr="00EB427A">
        <w:rPr>
          <w:rFonts w:ascii="Aptos" w:eastAsia="Calibri" w:hAnsi="Aptos" w:cs="Calibri"/>
          <w:sz w:val="18"/>
          <w:szCs w:val="18"/>
        </w:rPr>
        <w:t>. A NTT DATA faz parte do Grupo NTT, que investe mais de 3 mil milhões de dólares por ano em investigação e desenvolvimento. </w:t>
      </w:r>
    </w:p>
    <w:p w14:paraId="7CC2E1DC" w14:textId="77777777" w:rsidR="003124AE" w:rsidRPr="00EB427A" w:rsidRDefault="003124AE" w:rsidP="003124AE">
      <w:pPr>
        <w:spacing w:before="240" w:after="240" w:line="240" w:lineRule="auto"/>
        <w:jc w:val="both"/>
        <w:rPr>
          <w:rFonts w:ascii="Aptos" w:eastAsia="Calibri" w:hAnsi="Aptos" w:cs="Calibri"/>
          <w:sz w:val="18"/>
          <w:szCs w:val="18"/>
        </w:rPr>
      </w:pPr>
      <w:r w:rsidRPr="00EB427A">
        <w:rPr>
          <w:rFonts w:ascii="Aptos" w:eastAsia="Calibri" w:hAnsi="Aptos" w:cs="Calibri"/>
          <w:sz w:val="18"/>
          <w:szCs w:val="18"/>
        </w:rPr>
        <w:t>Saiba mais em nttdata.com </w:t>
      </w:r>
    </w:p>
    <w:p w14:paraId="736B007D" w14:textId="52229D4C" w:rsidR="00942E3E" w:rsidRPr="00942E3E" w:rsidRDefault="00942E3E" w:rsidP="00531D6C">
      <w:pPr>
        <w:jc w:val="both"/>
        <w:rPr>
          <w:sz w:val="18"/>
          <w:szCs w:val="18"/>
        </w:rPr>
      </w:pPr>
    </w:p>
    <w:sectPr w:rsidR="00942E3E" w:rsidRPr="00942E3E">
      <w:head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00E09" w14:textId="77777777" w:rsidR="00E24876" w:rsidRDefault="00E24876" w:rsidP="00942E3E">
      <w:pPr>
        <w:spacing w:after="0" w:line="240" w:lineRule="auto"/>
      </w:pPr>
      <w:r>
        <w:separator/>
      </w:r>
    </w:p>
  </w:endnote>
  <w:endnote w:type="continuationSeparator" w:id="0">
    <w:p w14:paraId="11294BE1" w14:textId="77777777" w:rsidR="00E24876" w:rsidRDefault="00E24876" w:rsidP="00942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509B0" w14:textId="77777777" w:rsidR="00E24876" w:rsidRDefault="00E24876" w:rsidP="00942E3E">
      <w:pPr>
        <w:spacing w:after="0" w:line="240" w:lineRule="auto"/>
      </w:pPr>
      <w:r>
        <w:separator/>
      </w:r>
    </w:p>
  </w:footnote>
  <w:footnote w:type="continuationSeparator" w:id="0">
    <w:p w14:paraId="584F50F7" w14:textId="77777777" w:rsidR="00E24876" w:rsidRDefault="00E24876" w:rsidP="00942E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CF633" w14:textId="38F04D02" w:rsidR="00942E3E" w:rsidRDefault="00942E3E">
    <w:pPr>
      <w:pStyle w:val="Cabealho"/>
    </w:pPr>
    <w:r w:rsidRPr="00A3304A">
      <w:rPr>
        <w:noProof/>
      </w:rPr>
      <w:drawing>
        <wp:anchor distT="0" distB="0" distL="114300" distR="114300" simplePos="0" relativeHeight="251659264" behindDoc="0" locked="0" layoutInCell="1" allowOverlap="1" wp14:anchorId="2AB0B816" wp14:editId="17779E3D">
          <wp:simplePos x="0" y="0"/>
          <wp:positionH relativeFrom="column">
            <wp:posOffset>3834765</wp:posOffset>
          </wp:positionH>
          <wp:positionV relativeFrom="paragraph">
            <wp:posOffset>-214630</wp:posOffset>
          </wp:positionV>
          <wp:extent cx="1482725" cy="406400"/>
          <wp:effectExtent l="0" t="0" r="0" b="0"/>
          <wp:wrapSquare wrapText="bothSides"/>
          <wp:docPr id="489064745"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64745" name="Imagen 1" descr="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2725" cy="406400"/>
                  </a:xfrm>
                  <a:prstGeom prst="rect">
                    <a:avLst/>
                  </a:prstGeom>
                  <a:noFill/>
                  <a:ln>
                    <a:noFill/>
                  </a:ln>
                </pic:spPr>
              </pic:pic>
            </a:graphicData>
          </a:graphic>
          <wp14:sizeRelH relativeFrom="margin">
            <wp14:pctWidth>0</wp14:pctWidth>
          </wp14:sizeRelH>
          <wp14:sizeRelV relativeFrom="margin">
            <wp14:pctHeight>0</wp14:pctHeight>
          </wp14:sizeRelV>
        </wp:anchor>
      </w:drawing>
    </w:r>
    <w:r>
      <w:t>Comunicado de imprensa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359"/>
    <w:rsid w:val="0001727C"/>
    <w:rsid w:val="0004634D"/>
    <w:rsid w:val="00060AC6"/>
    <w:rsid w:val="00071ABD"/>
    <w:rsid w:val="00073739"/>
    <w:rsid w:val="000812A6"/>
    <w:rsid w:val="000A1A51"/>
    <w:rsid w:val="000E1FA3"/>
    <w:rsid w:val="00103E77"/>
    <w:rsid w:val="00107022"/>
    <w:rsid w:val="001347F5"/>
    <w:rsid w:val="00141C1D"/>
    <w:rsid w:val="00191294"/>
    <w:rsid w:val="001E1CDE"/>
    <w:rsid w:val="001F2424"/>
    <w:rsid w:val="002056D9"/>
    <w:rsid w:val="00211FB4"/>
    <w:rsid w:val="00217823"/>
    <w:rsid w:val="00235F12"/>
    <w:rsid w:val="00247BE1"/>
    <w:rsid w:val="002544AB"/>
    <w:rsid w:val="002A702C"/>
    <w:rsid w:val="002A7684"/>
    <w:rsid w:val="002B576A"/>
    <w:rsid w:val="002C4DD2"/>
    <w:rsid w:val="002F6418"/>
    <w:rsid w:val="00301560"/>
    <w:rsid w:val="003124AE"/>
    <w:rsid w:val="003741A4"/>
    <w:rsid w:val="003B06F5"/>
    <w:rsid w:val="003B7E8F"/>
    <w:rsid w:val="003E1987"/>
    <w:rsid w:val="003E63FE"/>
    <w:rsid w:val="004C181B"/>
    <w:rsid w:val="004D64EB"/>
    <w:rsid w:val="004F0D03"/>
    <w:rsid w:val="00531D6C"/>
    <w:rsid w:val="00561573"/>
    <w:rsid w:val="00561F6D"/>
    <w:rsid w:val="005B1C14"/>
    <w:rsid w:val="005C14EF"/>
    <w:rsid w:val="005E4B79"/>
    <w:rsid w:val="005F6128"/>
    <w:rsid w:val="00677AB6"/>
    <w:rsid w:val="00680049"/>
    <w:rsid w:val="00693497"/>
    <w:rsid w:val="00695FD7"/>
    <w:rsid w:val="006C2418"/>
    <w:rsid w:val="006F18E5"/>
    <w:rsid w:val="006F605A"/>
    <w:rsid w:val="00702A89"/>
    <w:rsid w:val="00750C80"/>
    <w:rsid w:val="00762C9B"/>
    <w:rsid w:val="00785C3E"/>
    <w:rsid w:val="00795653"/>
    <w:rsid w:val="007C221C"/>
    <w:rsid w:val="007C34B0"/>
    <w:rsid w:val="007F0BF7"/>
    <w:rsid w:val="007F181F"/>
    <w:rsid w:val="007F2229"/>
    <w:rsid w:val="00823359"/>
    <w:rsid w:val="00847383"/>
    <w:rsid w:val="00897906"/>
    <w:rsid w:val="008B652C"/>
    <w:rsid w:val="008C0F1A"/>
    <w:rsid w:val="008E43C3"/>
    <w:rsid w:val="00905BE5"/>
    <w:rsid w:val="009354CB"/>
    <w:rsid w:val="00942E3E"/>
    <w:rsid w:val="009651B2"/>
    <w:rsid w:val="00993E86"/>
    <w:rsid w:val="009C2731"/>
    <w:rsid w:val="009D44AE"/>
    <w:rsid w:val="009E0CB9"/>
    <w:rsid w:val="00A44F88"/>
    <w:rsid w:val="00A54CA5"/>
    <w:rsid w:val="00A75F89"/>
    <w:rsid w:val="00A77230"/>
    <w:rsid w:val="00A877B2"/>
    <w:rsid w:val="00B27185"/>
    <w:rsid w:val="00B30FA0"/>
    <w:rsid w:val="00B43733"/>
    <w:rsid w:val="00B67F96"/>
    <w:rsid w:val="00B973E7"/>
    <w:rsid w:val="00BA3F13"/>
    <w:rsid w:val="00BB7359"/>
    <w:rsid w:val="00C07FBF"/>
    <w:rsid w:val="00C17F4C"/>
    <w:rsid w:val="00C35632"/>
    <w:rsid w:val="00C67039"/>
    <w:rsid w:val="00CD0A7F"/>
    <w:rsid w:val="00CE4727"/>
    <w:rsid w:val="00CE61C7"/>
    <w:rsid w:val="00CE703A"/>
    <w:rsid w:val="00CE7BB6"/>
    <w:rsid w:val="00CF248D"/>
    <w:rsid w:val="00CF4CDC"/>
    <w:rsid w:val="00D03562"/>
    <w:rsid w:val="00D44B0C"/>
    <w:rsid w:val="00D52AC8"/>
    <w:rsid w:val="00D53928"/>
    <w:rsid w:val="00D620DD"/>
    <w:rsid w:val="00DA6A17"/>
    <w:rsid w:val="00DC44CC"/>
    <w:rsid w:val="00DD29F7"/>
    <w:rsid w:val="00E24876"/>
    <w:rsid w:val="00E56AF9"/>
    <w:rsid w:val="00E85F33"/>
    <w:rsid w:val="00E9181E"/>
    <w:rsid w:val="00EA6B72"/>
    <w:rsid w:val="00EB427A"/>
    <w:rsid w:val="00EC2587"/>
    <w:rsid w:val="00EC5973"/>
    <w:rsid w:val="00ED2881"/>
    <w:rsid w:val="00F07AC6"/>
    <w:rsid w:val="00F434A7"/>
    <w:rsid w:val="00FC7909"/>
    <w:rsid w:val="00FF3899"/>
    <w:rsid w:val="02214CF5"/>
    <w:rsid w:val="0C75EEA5"/>
    <w:rsid w:val="21258E52"/>
    <w:rsid w:val="25474C0A"/>
    <w:rsid w:val="4E94AB24"/>
    <w:rsid w:val="5C225287"/>
    <w:rsid w:val="5C6C8D67"/>
    <w:rsid w:val="6C07D0CC"/>
    <w:rsid w:val="6F3B9AB7"/>
    <w:rsid w:val="7893930B"/>
    <w:rsid w:val="7C71C9EB"/>
    <w:rsid w:val="7D3A55C4"/>
    <w:rsid w:val="7E00E86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3D2BE"/>
  <w15:chartTrackingRefBased/>
  <w15:docId w15:val="{087BFBDE-863C-4BF8-9879-0609A2525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BB7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BB7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BB735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BB735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BB735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BB735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BB735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BB735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BB7359"/>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BB7359"/>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BB7359"/>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BB7359"/>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BB7359"/>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BB7359"/>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BB7359"/>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BB7359"/>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BB7359"/>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BB7359"/>
    <w:rPr>
      <w:rFonts w:eastAsiaTheme="majorEastAsia" w:cstheme="majorBidi"/>
      <w:color w:val="272727" w:themeColor="text1" w:themeTint="D8"/>
    </w:rPr>
  </w:style>
  <w:style w:type="paragraph" w:styleId="Ttulo">
    <w:name w:val="Title"/>
    <w:basedOn w:val="Normal"/>
    <w:next w:val="Normal"/>
    <w:link w:val="TtuloCarter"/>
    <w:uiPriority w:val="10"/>
    <w:qFormat/>
    <w:rsid w:val="00BB73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BB735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BB7359"/>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BB7359"/>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BB7359"/>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BB7359"/>
    <w:rPr>
      <w:i/>
      <w:iCs/>
      <w:color w:val="404040" w:themeColor="text1" w:themeTint="BF"/>
    </w:rPr>
  </w:style>
  <w:style w:type="paragraph" w:styleId="PargrafodaLista">
    <w:name w:val="List Paragraph"/>
    <w:basedOn w:val="Normal"/>
    <w:uiPriority w:val="34"/>
    <w:qFormat/>
    <w:rsid w:val="00BB7359"/>
    <w:pPr>
      <w:ind w:left="720"/>
      <w:contextualSpacing/>
    </w:pPr>
  </w:style>
  <w:style w:type="character" w:styleId="nfaseIntensa">
    <w:name w:val="Intense Emphasis"/>
    <w:basedOn w:val="Tipodeletrapredefinidodopargrafo"/>
    <w:uiPriority w:val="21"/>
    <w:qFormat/>
    <w:rsid w:val="00BB7359"/>
    <w:rPr>
      <w:i/>
      <w:iCs/>
      <w:color w:val="0F4761" w:themeColor="accent1" w:themeShade="BF"/>
    </w:rPr>
  </w:style>
  <w:style w:type="paragraph" w:styleId="CitaoIntensa">
    <w:name w:val="Intense Quote"/>
    <w:basedOn w:val="Normal"/>
    <w:next w:val="Normal"/>
    <w:link w:val="CitaoIntensaCarter"/>
    <w:uiPriority w:val="30"/>
    <w:qFormat/>
    <w:rsid w:val="00BB7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BB7359"/>
    <w:rPr>
      <w:i/>
      <w:iCs/>
      <w:color w:val="0F4761" w:themeColor="accent1" w:themeShade="BF"/>
    </w:rPr>
  </w:style>
  <w:style w:type="character" w:styleId="RefernciaIntensa">
    <w:name w:val="Intense Reference"/>
    <w:basedOn w:val="Tipodeletrapredefinidodopargrafo"/>
    <w:uiPriority w:val="32"/>
    <w:qFormat/>
    <w:rsid w:val="00BB7359"/>
    <w:rPr>
      <w:b/>
      <w:bCs/>
      <w:smallCaps/>
      <w:color w:val="0F4761" w:themeColor="accent1" w:themeShade="BF"/>
      <w:spacing w:val="5"/>
    </w:rPr>
  </w:style>
  <w:style w:type="character" w:styleId="Hiperligao">
    <w:name w:val="Hyperlink"/>
    <w:basedOn w:val="Tipodeletrapredefinidodopargrafo"/>
    <w:uiPriority w:val="99"/>
    <w:unhideWhenUsed/>
    <w:rsid w:val="00BB7359"/>
    <w:rPr>
      <w:color w:val="0000FF"/>
      <w:u w:val="single"/>
    </w:rPr>
  </w:style>
  <w:style w:type="paragraph" w:styleId="Cabealho">
    <w:name w:val="header"/>
    <w:basedOn w:val="Normal"/>
    <w:link w:val="CabealhoCarter"/>
    <w:uiPriority w:val="99"/>
    <w:unhideWhenUsed/>
    <w:rsid w:val="00942E3E"/>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942E3E"/>
  </w:style>
  <w:style w:type="paragraph" w:styleId="Rodap">
    <w:name w:val="footer"/>
    <w:basedOn w:val="Normal"/>
    <w:link w:val="RodapCarter"/>
    <w:uiPriority w:val="99"/>
    <w:unhideWhenUsed/>
    <w:rsid w:val="00942E3E"/>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942E3E"/>
  </w:style>
  <w:style w:type="paragraph" w:styleId="Reviso">
    <w:name w:val="Revision"/>
    <w:hidden/>
    <w:uiPriority w:val="99"/>
    <w:semiHidden/>
    <w:rsid w:val="00EA6B72"/>
    <w:pPr>
      <w:spacing w:after="0" w:line="240" w:lineRule="auto"/>
    </w:pPr>
  </w:style>
  <w:style w:type="character" w:styleId="Refdecomentrio">
    <w:name w:val="annotation reference"/>
    <w:basedOn w:val="Tipodeletrapredefinidodopargrafo"/>
    <w:uiPriority w:val="99"/>
    <w:semiHidden/>
    <w:unhideWhenUsed/>
    <w:rsid w:val="00847383"/>
    <w:rPr>
      <w:sz w:val="16"/>
      <w:szCs w:val="16"/>
    </w:rPr>
  </w:style>
  <w:style w:type="paragraph" w:styleId="Textodecomentrio">
    <w:name w:val="annotation text"/>
    <w:basedOn w:val="Normal"/>
    <w:link w:val="TextodecomentrioCarter"/>
    <w:uiPriority w:val="99"/>
    <w:semiHidden/>
    <w:unhideWhenUsed/>
    <w:rsid w:val="00847383"/>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847383"/>
    <w:rPr>
      <w:sz w:val="20"/>
      <w:szCs w:val="20"/>
    </w:rPr>
  </w:style>
  <w:style w:type="paragraph" w:styleId="Assuntodecomentrio">
    <w:name w:val="annotation subject"/>
    <w:basedOn w:val="Textodecomentrio"/>
    <w:next w:val="Textodecomentrio"/>
    <w:link w:val="AssuntodecomentrioCarter"/>
    <w:uiPriority w:val="99"/>
    <w:semiHidden/>
    <w:unhideWhenUsed/>
    <w:rsid w:val="00847383"/>
    <w:rPr>
      <w:b/>
      <w:bCs/>
    </w:rPr>
  </w:style>
  <w:style w:type="character" w:customStyle="1" w:styleId="AssuntodecomentrioCarter">
    <w:name w:val="Assunto de comentário Caráter"/>
    <w:basedOn w:val="TextodecomentrioCarter"/>
    <w:link w:val="Assuntodecomentrio"/>
    <w:uiPriority w:val="99"/>
    <w:semiHidden/>
    <w:rsid w:val="00847383"/>
    <w:rPr>
      <w:b/>
      <w:bCs/>
      <w:sz w:val="20"/>
      <w:szCs w:val="20"/>
    </w:rPr>
  </w:style>
  <w:style w:type="paragraph" w:styleId="NormalWeb">
    <w:name w:val="Normal (Web)"/>
    <w:basedOn w:val="Normal"/>
    <w:uiPriority w:val="99"/>
    <w:unhideWhenUsed/>
    <w:rsid w:val="00EC5973"/>
    <w:pPr>
      <w:spacing w:before="100" w:beforeAutospacing="1" w:after="100" w:afterAutospacing="1" w:line="240" w:lineRule="auto"/>
    </w:pPr>
    <w:rPr>
      <w:rFonts w:ascii="Times New Roman" w:eastAsia="Times New Roman" w:hAnsi="Times New Roman" w:cs="Times New Roman"/>
      <w:kern w:val="0"/>
      <w:sz w:val="24"/>
      <w:szCs w:val="24"/>
      <w:lang w:eastAsia="pt-PT"/>
      <w14:ligatures w14:val="none"/>
    </w:rPr>
  </w:style>
  <w:style w:type="character" w:styleId="MenoNoResolvida">
    <w:name w:val="Unresolved Mention"/>
    <w:basedOn w:val="Tipodeletrapredefinidodopargrafo"/>
    <w:uiPriority w:val="99"/>
    <w:semiHidden/>
    <w:unhideWhenUsed/>
    <w:rsid w:val="00B437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rica.macieira@lift.com.pt" TargetMode="External"/><Relationship Id="rId5" Type="http://schemas.openxmlformats.org/officeDocument/2006/relationships/settings" Target="settings.xml"/><Relationship Id="rId10" Type="http://schemas.openxmlformats.org/officeDocument/2006/relationships/hyperlink" Target="mailto:eunice.gaspar@lift.com.pt"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4439792540114CACC1B0E6A3C20D03" ma:contentTypeVersion="19" ma:contentTypeDescription="Crear nuevo documento." ma:contentTypeScope="" ma:versionID="032d8def886905847ff33a68b16c0547">
  <xsd:schema xmlns:xsd="http://www.w3.org/2001/XMLSchema" xmlns:xs="http://www.w3.org/2001/XMLSchema" xmlns:p="http://schemas.microsoft.com/office/2006/metadata/properties" xmlns:ns2="92d4967f-e124-43f3-a68f-dac69c34bad6" xmlns:ns3="c17badae-82f5-44c6-a5ed-7d84be8fc952" targetNamespace="http://schemas.microsoft.com/office/2006/metadata/properties" ma:root="true" ma:fieldsID="d2df5a76d406c773c32b231da038a376" ns2:_="" ns3:_="">
    <xsd:import namespace="92d4967f-e124-43f3-a68f-dac69c34bad6"/>
    <xsd:import namespace="c17badae-82f5-44c6-a5ed-7d84be8fc9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d4967f-e124-43f3-a68f-dac69c34b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85e823d-31db-440c-980d-283f89df7c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7badae-82f5-44c6-a5ed-7d84be8fc952"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c1bd9501-ea29-4620-9619-61cd4248534c}" ma:internalName="TaxCatchAll" ma:showField="CatchAllData" ma:web="c17badae-82f5-44c6-a5ed-7d84be8fc9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2d4967f-e124-43f3-a68f-dac69c34bad6">
      <Terms xmlns="http://schemas.microsoft.com/office/infopath/2007/PartnerControls"/>
    </lcf76f155ced4ddcb4097134ff3c332f>
    <TaxCatchAll xmlns="c17badae-82f5-44c6-a5ed-7d84be8fc952" xsi:nil="true"/>
    <SharedWithUsers xmlns="c17badae-82f5-44c6-a5ed-7d84be8fc952">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9CE334-B3D2-4D44-BD31-A74753E96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d4967f-e124-43f3-a68f-dac69c34bad6"/>
    <ds:schemaRef ds:uri="c17badae-82f5-44c6-a5ed-7d84be8fc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798819-21C2-45A8-9455-5A8780A7EFA1}">
  <ds:schemaRefs>
    <ds:schemaRef ds:uri="http://schemas.microsoft.com/office/2006/metadata/properties"/>
    <ds:schemaRef ds:uri="http://schemas.microsoft.com/office/infopath/2007/PartnerControls"/>
    <ds:schemaRef ds:uri="92d4967f-e124-43f3-a68f-dac69c34bad6"/>
    <ds:schemaRef ds:uri="c17badae-82f5-44c6-a5ed-7d84be8fc952"/>
  </ds:schemaRefs>
</ds:datastoreItem>
</file>

<file path=customXml/itemProps3.xml><?xml version="1.0" encoding="utf-8"?>
<ds:datastoreItem xmlns:ds="http://schemas.openxmlformats.org/officeDocument/2006/customXml" ds:itemID="{9F1C9DED-892F-45F1-9187-DA150C28BB5C}">
  <ds:schemaRefs>
    <ds:schemaRef ds:uri="http://schemas.microsoft.com/sharepoint/v3/contenttype/forms"/>
  </ds:schemaRefs>
</ds:datastoreItem>
</file>

<file path=docMetadata/LabelInfo.xml><?xml version="1.0" encoding="utf-8"?>
<clbl:labelList xmlns:clbl="http://schemas.microsoft.com/office/2020/mipLabelMetadata">
  <clbl:label id="{3048dc87-43f0-4100-9acb-ae1971c79395}" enabled="0" method="" siteId="{3048dc87-43f0-4100-9acb-ae1971c79395}"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703</Words>
  <Characters>3925</Characters>
  <Application>Microsoft Office Word</Application>
  <DocSecurity>0</DocSecurity>
  <Lines>63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Cruz Martins</dc:creator>
  <cp:keywords/>
  <dc:description/>
  <cp:lastModifiedBy>Ana Santos</cp:lastModifiedBy>
  <cp:revision>13</cp:revision>
  <dcterms:created xsi:type="dcterms:W3CDTF">2026-11-02T15:46:00Z</dcterms:created>
  <dcterms:modified xsi:type="dcterms:W3CDTF">2026-11-05T11:54:00Z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0x010100C64439792540114CACC1B0E6A3C20D03</vt:lpwstr>
  </property>
  <property fmtid="{D5CDD505-2E9C-101B-9397-08002B2CF9AE}" pid="3" name="MediaServiceImageTags">
    <vt:lpwstr/>
  </property>
  <property fmtid="{D5CDD505-2E9C-101B-9397-08002B2CF9AE}" pid="4" name="docLang">
    <vt:lpwstr>pt</vt:lpwstr>
  </property>
</Properties>
</file>