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406EB" w14:textId="79DC3975" w:rsidR="005567F3" w:rsidRPr="00E71F48" w:rsidRDefault="005567F3" w:rsidP="005567F3">
      <w:pPr>
        <w:rPr>
          <w:rFonts w:ascii="Aptos" w:hAnsi="Aptos" w:cstheme="minorHAnsi"/>
        </w:rPr>
      </w:pPr>
      <w:r w:rsidRPr="00E71F48">
        <w:rPr>
          <w:rFonts w:ascii="Aptos" w:hAnsi="Aptos" w:cstheme="minorHAnsi"/>
        </w:rPr>
        <w:t>INFORMACJA PRASOWA</w:t>
      </w:r>
    </w:p>
    <w:p w14:paraId="44719652" w14:textId="60ADE869" w:rsidR="005567F3" w:rsidRPr="00E71F48" w:rsidRDefault="005567F3" w:rsidP="005567F3">
      <w:pPr>
        <w:jc w:val="right"/>
        <w:rPr>
          <w:rFonts w:ascii="Aptos" w:hAnsi="Aptos" w:cstheme="minorHAnsi"/>
        </w:rPr>
      </w:pPr>
      <w:r w:rsidRPr="00E71F48">
        <w:rPr>
          <w:rFonts w:ascii="Aptos" w:hAnsi="Aptos" w:cstheme="minorHAnsi"/>
        </w:rPr>
        <w:t xml:space="preserve">Warszawa, </w:t>
      </w:r>
      <w:r w:rsidR="009F1124">
        <w:rPr>
          <w:rFonts w:ascii="Aptos" w:hAnsi="Aptos" w:cstheme="minorHAnsi"/>
        </w:rPr>
        <w:t>4</w:t>
      </w:r>
      <w:r w:rsidR="000F5B37">
        <w:rPr>
          <w:rFonts w:ascii="Aptos" w:hAnsi="Aptos" w:cstheme="minorHAnsi"/>
        </w:rPr>
        <w:t xml:space="preserve"> </w:t>
      </w:r>
      <w:r w:rsidR="009F1124">
        <w:rPr>
          <w:rFonts w:ascii="Aptos" w:hAnsi="Aptos" w:cstheme="minorHAnsi"/>
        </w:rPr>
        <w:t>listopada</w:t>
      </w:r>
      <w:r w:rsidR="006C2DD1">
        <w:rPr>
          <w:rFonts w:ascii="Aptos" w:hAnsi="Aptos" w:cstheme="minorHAnsi"/>
        </w:rPr>
        <w:t xml:space="preserve"> </w:t>
      </w:r>
      <w:r w:rsidR="002938C5" w:rsidRPr="00E71F48">
        <w:rPr>
          <w:rFonts w:ascii="Aptos" w:hAnsi="Aptos" w:cstheme="minorHAnsi"/>
        </w:rPr>
        <w:t>202</w:t>
      </w:r>
      <w:r w:rsidR="00392F6A">
        <w:rPr>
          <w:rFonts w:ascii="Aptos" w:hAnsi="Aptos" w:cstheme="minorHAnsi"/>
        </w:rPr>
        <w:t>6</w:t>
      </w:r>
      <w:r w:rsidR="002938C5" w:rsidRPr="00E71F48">
        <w:rPr>
          <w:rFonts w:ascii="Aptos" w:hAnsi="Aptos" w:cstheme="minorHAnsi"/>
        </w:rPr>
        <w:t xml:space="preserve"> r.</w:t>
      </w:r>
    </w:p>
    <w:p w14:paraId="1EE3379F" w14:textId="4EC722B1" w:rsidR="00034619" w:rsidRDefault="00A355B1" w:rsidP="00034619">
      <w:pPr>
        <w:jc w:val="center"/>
        <w:rPr>
          <w:rFonts w:ascii="Aptos" w:hAnsi="Aptos" w:cstheme="minorHAnsi"/>
          <w:b/>
          <w:sz w:val="28"/>
          <w:szCs w:val="28"/>
        </w:rPr>
      </w:pPr>
      <w:r>
        <w:rPr>
          <w:rFonts w:ascii="Aptos" w:hAnsi="Aptos" w:cstheme="minorHAnsi"/>
          <w:b/>
          <w:sz w:val="28"/>
          <w:szCs w:val="28"/>
        </w:rPr>
        <w:t xml:space="preserve">Liczba transakcji BLIKIEM wyniosła w trzecim kwartale ponad 800 mln </w:t>
      </w:r>
    </w:p>
    <w:p w14:paraId="454F6AFD" w14:textId="19795639" w:rsidR="00F53BDC" w:rsidRPr="00F53BDC" w:rsidRDefault="00467D38" w:rsidP="00F53BDC">
      <w:pPr>
        <w:jc w:val="both"/>
        <w:rPr>
          <w:rFonts w:ascii="Aptos" w:hAnsi="Aptos" w:cstheme="minorHAnsi"/>
          <w:b/>
        </w:rPr>
      </w:pPr>
      <w:r>
        <w:rPr>
          <w:rFonts w:ascii="Aptos" w:hAnsi="Aptos" w:cstheme="minorHAnsi"/>
          <w:b/>
          <w:bCs/>
        </w:rPr>
        <w:t>Między</w:t>
      </w:r>
      <w:r w:rsidR="00F53BDC">
        <w:rPr>
          <w:rFonts w:ascii="Aptos" w:hAnsi="Aptos" w:cstheme="minorHAnsi"/>
          <w:b/>
          <w:bCs/>
        </w:rPr>
        <w:t xml:space="preserve"> lipc</w:t>
      </w:r>
      <w:r>
        <w:rPr>
          <w:rFonts w:ascii="Aptos" w:hAnsi="Aptos" w:cstheme="minorHAnsi"/>
          <w:b/>
          <w:bCs/>
        </w:rPr>
        <w:t>em</w:t>
      </w:r>
      <w:r w:rsidR="00F53BDC">
        <w:rPr>
          <w:rFonts w:ascii="Aptos" w:hAnsi="Aptos" w:cstheme="minorHAnsi"/>
          <w:b/>
          <w:bCs/>
        </w:rPr>
        <w:t xml:space="preserve"> </w:t>
      </w:r>
      <w:r>
        <w:rPr>
          <w:rFonts w:ascii="Aptos" w:hAnsi="Aptos" w:cstheme="minorHAnsi"/>
          <w:b/>
          <w:bCs/>
        </w:rPr>
        <w:t>a</w:t>
      </w:r>
      <w:r w:rsidR="00F53BDC">
        <w:rPr>
          <w:rFonts w:ascii="Aptos" w:hAnsi="Aptos" w:cstheme="minorHAnsi"/>
          <w:b/>
          <w:bCs/>
        </w:rPr>
        <w:t xml:space="preserve"> wrześni</w:t>
      </w:r>
      <w:r>
        <w:rPr>
          <w:rFonts w:ascii="Aptos" w:hAnsi="Aptos" w:cstheme="minorHAnsi"/>
          <w:b/>
          <w:bCs/>
        </w:rPr>
        <w:t>em</w:t>
      </w:r>
      <w:r w:rsidR="003507A7">
        <w:rPr>
          <w:rFonts w:ascii="Aptos" w:hAnsi="Aptos" w:cstheme="minorHAnsi"/>
          <w:b/>
          <w:bCs/>
        </w:rPr>
        <w:t xml:space="preserve"> br.</w:t>
      </w:r>
      <w:r w:rsidR="00F53BDC" w:rsidRPr="00F53BDC">
        <w:rPr>
          <w:rFonts w:ascii="Aptos" w:hAnsi="Aptos" w:cstheme="minorHAnsi"/>
          <w:b/>
          <w:bCs/>
        </w:rPr>
        <w:t xml:space="preserve"> użytkownicy BLIKA zrealizowali 822 mln transakcji o łącznej wartości 131,8 mld zł. Oznacza to wzrost odpowiednio o 10 proc. i 17 proc. w porównaniu z analogicznym okresem ubiegłego roku. Blisko połowa wszystkich operacji przypadła na handel internetowy, </w:t>
      </w:r>
      <w:r w:rsidR="00E27281">
        <w:rPr>
          <w:rFonts w:ascii="Aptos" w:hAnsi="Aptos" w:cstheme="minorHAnsi"/>
          <w:b/>
          <w:bCs/>
        </w:rPr>
        <w:t>gdzie</w:t>
      </w:r>
      <w:r w:rsidR="00F53BDC" w:rsidRPr="00F53BDC">
        <w:rPr>
          <w:rFonts w:ascii="Aptos" w:hAnsi="Aptos" w:cstheme="minorHAnsi"/>
          <w:b/>
          <w:bCs/>
        </w:rPr>
        <w:t xml:space="preserve"> </w:t>
      </w:r>
      <w:r w:rsidR="00B90B0E">
        <w:rPr>
          <w:rFonts w:ascii="Aptos" w:hAnsi="Aptos" w:cstheme="minorHAnsi"/>
          <w:b/>
          <w:bCs/>
        </w:rPr>
        <w:t>BLIKIEM zapłacono</w:t>
      </w:r>
      <w:r w:rsidR="00510C73">
        <w:rPr>
          <w:rFonts w:ascii="Aptos" w:hAnsi="Aptos" w:cstheme="minorHAnsi"/>
          <w:b/>
          <w:bCs/>
        </w:rPr>
        <w:t xml:space="preserve"> </w:t>
      </w:r>
      <w:r w:rsidR="00F53BDC" w:rsidRPr="00F53BDC">
        <w:rPr>
          <w:rFonts w:ascii="Aptos" w:hAnsi="Aptos" w:cstheme="minorHAnsi"/>
          <w:b/>
          <w:bCs/>
        </w:rPr>
        <w:t xml:space="preserve">384,3 mln </w:t>
      </w:r>
      <w:r w:rsidR="00B90B0E">
        <w:rPr>
          <w:rFonts w:ascii="Aptos" w:hAnsi="Aptos" w:cstheme="minorHAnsi"/>
          <w:b/>
          <w:bCs/>
        </w:rPr>
        <w:t xml:space="preserve">razy </w:t>
      </w:r>
      <w:r w:rsidR="000C0F26">
        <w:rPr>
          <w:rFonts w:ascii="Aptos" w:hAnsi="Aptos" w:cstheme="minorHAnsi"/>
          <w:b/>
          <w:bCs/>
        </w:rPr>
        <w:t>na kwotę</w:t>
      </w:r>
      <w:r w:rsidR="00F53BDC" w:rsidRPr="00F53BDC">
        <w:rPr>
          <w:rFonts w:ascii="Aptos" w:hAnsi="Aptos" w:cstheme="minorHAnsi"/>
          <w:b/>
          <w:bCs/>
        </w:rPr>
        <w:t xml:space="preserve"> 64 mld zł. Coraz większą popularnością cieszą się przy tym nowe usługi – liczba Płatności powtarzalnych BLIK osiągnęła 2,9 mln, ponad dwukrotnie więcej niż rok wcześniej. </w:t>
      </w:r>
      <w:r w:rsidR="00510C73" w:rsidRPr="004162B3">
        <w:rPr>
          <w:rFonts w:ascii="Aptos" w:hAnsi="Aptos" w:cstheme="minorHAnsi"/>
          <w:b/>
          <w:bCs/>
        </w:rPr>
        <w:t>Systematycznie</w:t>
      </w:r>
      <w:r w:rsidR="00F53BDC" w:rsidRPr="004162B3">
        <w:rPr>
          <w:rFonts w:ascii="Aptos" w:hAnsi="Aptos" w:cstheme="minorHAnsi"/>
          <w:b/>
          <w:bCs/>
        </w:rPr>
        <w:t xml:space="preserve"> zwiększa się także liczba aktywnych użytkowników – na koniec września było ich </w:t>
      </w:r>
      <w:r w:rsidR="00510C73" w:rsidRPr="004162B3">
        <w:rPr>
          <w:rFonts w:ascii="Aptos" w:hAnsi="Aptos" w:cstheme="minorHAnsi"/>
          <w:b/>
          <w:bCs/>
        </w:rPr>
        <w:t xml:space="preserve">już </w:t>
      </w:r>
      <w:r w:rsidR="00C2349F">
        <w:rPr>
          <w:rFonts w:ascii="Aptos" w:hAnsi="Aptos" w:cstheme="minorHAnsi"/>
          <w:b/>
          <w:bCs/>
        </w:rPr>
        <w:t>21,9</w:t>
      </w:r>
      <w:r w:rsidR="00F53BDC" w:rsidRPr="004162B3">
        <w:rPr>
          <w:rFonts w:ascii="Aptos" w:hAnsi="Aptos" w:cstheme="minorHAnsi"/>
          <w:b/>
          <w:bCs/>
        </w:rPr>
        <w:t xml:space="preserve"> mln.</w:t>
      </w:r>
      <w:r w:rsidR="00F53BDC">
        <w:rPr>
          <w:rFonts w:ascii="Aptos" w:hAnsi="Aptos" w:cstheme="minorHAnsi"/>
          <w:b/>
          <w:bCs/>
        </w:rPr>
        <w:t xml:space="preserve"> </w:t>
      </w:r>
    </w:p>
    <w:p w14:paraId="12C84A66" w14:textId="68843317" w:rsidR="00F53BDC" w:rsidRPr="00F53BDC" w:rsidRDefault="00F53BDC" w:rsidP="00F53BDC">
      <w:pPr>
        <w:jc w:val="both"/>
        <w:rPr>
          <w:rFonts w:ascii="Aptos" w:hAnsi="Aptos" w:cstheme="minorHAnsi"/>
          <w:bCs/>
        </w:rPr>
      </w:pPr>
      <w:r w:rsidRPr="00F53BDC">
        <w:rPr>
          <w:rFonts w:ascii="Aptos" w:hAnsi="Aptos" w:cstheme="minorHAnsi"/>
          <w:bCs/>
        </w:rPr>
        <w:t xml:space="preserve">Od początku 2026 roku Polacy </w:t>
      </w:r>
      <w:r w:rsidR="00B90B0E">
        <w:rPr>
          <w:rFonts w:ascii="Aptos" w:hAnsi="Aptos" w:cstheme="minorHAnsi"/>
          <w:bCs/>
        </w:rPr>
        <w:t xml:space="preserve">wykonali </w:t>
      </w:r>
      <w:r w:rsidR="00510C73" w:rsidRPr="00F53BDC">
        <w:rPr>
          <w:rFonts w:ascii="Aptos" w:hAnsi="Aptos" w:cstheme="minorHAnsi"/>
          <w:bCs/>
        </w:rPr>
        <w:t xml:space="preserve">2,4 mld </w:t>
      </w:r>
      <w:r w:rsidR="00B90B0E">
        <w:rPr>
          <w:rFonts w:ascii="Aptos" w:hAnsi="Aptos" w:cstheme="minorHAnsi"/>
          <w:bCs/>
        </w:rPr>
        <w:t>transakcji BLIKIEM</w:t>
      </w:r>
      <w:r w:rsidRPr="00F53BDC">
        <w:rPr>
          <w:rFonts w:ascii="Aptos" w:hAnsi="Aptos" w:cstheme="minorHAnsi"/>
          <w:bCs/>
        </w:rPr>
        <w:t xml:space="preserve">. W samym trzecim kwartale korzystali z systemu średnio 8,9 mln razy dziennie, realizując ponad 100 operacji w każdej sekundzie. W najbardziej intensywnym dniu tego okresu liczba </w:t>
      </w:r>
      <w:r w:rsidR="00FF593C">
        <w:rPr>
          <w:rFonts w:ascii="Aptos" w:hAnsi="Aptos" w:cstheme="minorHAnsi"/>
          <w:bCs/>
        </w:rPr>
        <w:t>płatności</w:t>
      </w:r>
      <w:r w:rsidRPr="00F53BDC">
        <w:rPr>
          <w:rFonts w:ascii="Aptos" w:hAnsi="Aptos" w:cstheme="minorHAnsi"/>
          <w:bCs/>
        </w:rPr>
        <w:t xml:space="preserve"> sięgnęła 13 mln, a ich średnia wartość w całym kwartale wyniosła 160 zł.</w:t>
      </w:r>
    </w:p>
    <w:p w14:paraId="28DAE068" w14:textId="435C1F19" w:rsidR="00F53BDC" w:rsidRPr="00F53BDC" w:rsidRDefault="00C010A7" w:rsidP="00F53BDC">
      <w:pPr>
        <w:jc w:val="both"/>
        <w:rPr>
          <w:rFonts w:ascii="Aptos" w:hAnsi="Aptos" w:cstheme="minorHAnsi"/>
          <w:bCs/>
        </w:rPr>
      </w:pPr>
      <w:r w:rsidRPr="00C010A7">
        <w:rPr>
          <w:rFonts w:ascii="Aptos" w:hAnsi="Aptos" w:cstheme="minorHAnsi"/>
          <w:bCs/>
        </w:rPr>
        <w:t>Wartość transakcji realizowanych BLIKIEM rośnie szybciej niż ich liczba. W porównaniu z analogicznym okresem ubiegłego roku zwiększyła się o 19,5 mld zł. Trend ten jest szczególnie widoczny w handlu internetowym, który pozostaje największym pod względem liczby operacji kanałem wykorzystania systemu.</w:t>
      </w:r>
    </w:p>
    <w:p w14:paraId="3C373304" w14:textId="4BDA3E07" w:rsidR="009F3080" w:rsidRDefault="00D071A4" w:rsidP="00F53BDC">
      <w:pPr>
        <w:jc w:val="both"/>
        <w:rPr>
          <w:rFonts w:ascii="Aptos" w:hAnsi="Aptos" w:cstheme="minorHAnsi"/>
          <w:b/>
          <w:bCs/>
        </w:rPr>
      </w:pPr>
      <w:r>
        <w:rPr>
          <w:rFonts w:ascii="Aptos" w:hAnsi="Aptos" w:cstheme="minorHAnsi"/>
          <w:b/>
          <w:bCs/>
        </w:rPr>
        <w:t>E-commerce</w:t>
      </w:r>
      <w:r w:rsidR="009F3080" w:rsidRPr="009F3080">
        <w:rPr>
          <w:rFonts w:ascii="Aptos" w:hAnsi="Aptos" w:cstheme="minorHAnsi"/>
          <w:b/>
          <w:bCs/>
        </w:rPr>
        <w:t xml:space="preserve"> </w:t>
      </w:r>
      <w:r w:rsidR="00306F18">
        <w:rPr>
          <w:rFonts w:ascii="Aptos" w:hAnsi="Aptos" w:cstheme="minorHAnsi"/>
          <w:b/>
          <w:bCs/>
        </w:rPr>
        <w:t>dynamicznie rośnie dzięki</w:t>
      </w:r>
      <w:r w:rsidR="009F3080" w:rsidRPr="009F3080">
        <w:rPr>
          <w:rFonts w:ascii="Aptos" w:hAnsi="Aptos" w:cstheme="minorHAnsi"/>
          <w:b/>
          <w:bCs/>
        </w:rPr>
        <w:t xml:space="preserve"> nowy</w:t>
      </w:r>
      <w:r w:rsidR="00306F18">
        <w:rPr>
          <w:rFonts w:ascii="Aptos" w:hAnsi="Aptos" w:cstheme="minorHAnsi"/>
          <w:b/>
          <w:bCs/>
        </w:rPr>
        <w:t>m</w:t>
      </w:r>
      <w:r w:rsidR="009F3080" w:rsidRPr="009F3080">
        <w:rPr>
          <w:rFonts w:ascii="Aptos" w:hAnsi="Aptos" w:cstheme="minorHAnsi"/>
          <w:b/>
          <w:bCs/>
        </w:rPr>
        <w:t xml:space="preserve"> usług</w:t>
      </w:r>
      <w:r w:rsidR="00306F18">
        <w:rPr>
          <w:rFonts w:ascii="Aptos" w:hAnsi="Aptos" w:cstheme="minorHAnsi"/>
          <w:b/>
          <w:bCs/>
        </w:rPr>
        <w:t>om</w:t>
      </w:r>
      <w:r w:rsidR="009F3080" w:rsidRPr="009F3080">
        <w:rPr>
          <w:rFonts w:ascii="Aptos" w:hAnsi="Aptos" w:cstheme="minorHAnsi"/>
          <w:b/>
          <w:bCs/>
        </w:rPr>
        <w:t xml:space="preserve"> BLIKA</w:t>
      </w:r>
    </w:p>
    <w:p w14:paraId="745004EB" w14:textId="3AFD1E26" w:rsidR="00F53BDC" w:rsidRPr="00467D38" w:rsidRDefault="00CF4EF2" w:rsidP="00F53BDC">
      <w:pPr>
        <w:jc w:val="both"/>
        <w:rPr>
          <w:rFonts w:ascii="Aptos" w:hAnsi="Aptos" w:cstheme="minorHAnsi"/>
          <w:bCs/>
        </w:rPr>
      </w:pPr>
      <w:r w:rsidRPr="00467D38">
        <w:rPr>
          <w:rFonts w:ascii="Aptos" w:hAnsi="Aptos" w:cstheme="minorHAnsi"/>
          <w:bCs/>
        </w:rPr>
        <w:t xml:space="preserve">Płatności internetowe odpowiadały </w:t>
      </w:r>
      <w:r w:rsidR="00462486">
        <w:rPr>
          <w:rFonts w:ascii="Aptos" w:hAnsi="Aptos" w:cstheme="minorHAnsi"/>
          <w:bCs/>
        </w:rPr>
        <w:t xml:space="preserve">w trzecim kwartale </w:t>
      </w:r>
      <w:r w:rsidRPr="00467D38">
        <w:rPr>
          <w:rFonts w:ascii="Aptos" w:hAnsi="Aptos" w:cstheme="minorHAnsi"/>
          <w:bCs/>
        </w:rPr>
        <w:t>za 46,7 proc. wszystkich operacji w systemie.</w:t>
      </w:r>
      <w:r>
        <w:rPr>
          <w:rFonts w:ascii="Aptos" w:hAnsi="Aptos" w:cstheme="minorHAnsi"/>
          <w:bCs/>
        </w:rPr>
        <w:t xml:space="preserve"> </w:t>
      </w:r>
      <w:r w:rsidR="00462486">
        <w:rPr>
          <w:rFonts w:ascii="Aptos" w:hAnsi="Aptos" w:cstheme="minorHAnsi"/>
          <w:bCs/>
        </w:rPr>
        <w:t xml:space="preserve">W tym czasie </w:t>
      </w:r>
      <w:r w:rsidR="00F53BDC" w:rsidRPr="00467D38">
        <w:rPr>
          <w:rFonts w:ascii="Aptos" w:hAnsi="Aptos" w:cstheme="minorHAnsi"/>
          <w:bCs/>
        </w:rPr>
        <w:t xml:space="preserve">użytkownicy zapłacili BLIKIEM w </w:t>
      </w:r>
      <w:r>
        <w:rPr>
          <w:rFonts w:ascii="Aptos" w:hAnsi="Aptos" w:cstheme="minorHAnsi"/>
          <w:bCs/>
        </w:rPr>
        <w:t>sklepach online</w:t>
      </w:r>
      <w:r w:rsidR="00F53BDC" w:rsidRPr="00467D38">
        <w:rPr>
          <w:rFonts w:ascii="Aptos" w:hAnsi="Aptos" w:cstheme="minorHAnsi"/>
          <w:bCs/>
        </w:rPr>
        <w:t xml:space="preserve"> 384,3 mln razy, </w:t>
      </w:r>
      <w:r w:rsidR="00CA1630">
        <w:rPr>
          <w:rFonts w:ascii="Aptos" w:hAnsi="Aptos" w:cstheme="minorHAnsi"/>
          <w:bCs/>
        </w:rPr>
        <w:t xml:space="preserve">czyli </w:t>
      </w:r>
      <w:r w:rsidR="00F53BDC" w:rsidRPr="00467D38">
        <w:rPr>
          <w:rFonts w:ascii="Aptos" w:hAnsi="Aptos" w:cstheme="minorHAnsi"/>
          <w:bCs/>
        </w:rPr>
        <w:t xml:space="preserve">o 10 proc. więcej niż rok wcześniej. Wartość tych transakcji wzrosła o 18 proc., osiągając 64 mld zł. </w:t>
      </w:r>
      <w:r w:rsidR="00EB5DA0">
        <w:rPr>
          <w:rFonts w:ascii="Aptos" w:hAnsi="Aptos" w:cstheme="minorHAnsi"/>
          <w:bCs/>
        </w:rPr>
        <w:t>Z kolei ś</w:t>
      </w:r>
      <w:r w:rsidR="00F53BDC" w:rsidRPr="00467D38">
        <w:rPr>
          <w:rFonts w:ascii="Aptos" w:hAnsi="Aptos" w:cstheme="minorHAnsi"/>
          <w:bCs/>
        </w:rPr>
        <w:t xml:space="preserve">rednia kwota pojedynczego zakupu wyniosła 167 zł. </w:t>
      </w:r>
    </w:p>
    <w:p w14:paraId="29EDB63B" w14:textId="72182222" w:rsidR="00DC6D4B" w:rsidRDefault="00467D38" w:rsidP="00F53BDC">
      <w:pPr>
        <w:jc w:val="both"/>
        <w:rPr>
          <w:rFonts w:ascii="Aptos" w:hAnsi="Aptos" w:cstheme="minorHAnsi"/>
          <w:bCs/>
        </w:rPr>
      </w:pPr>
      <w:r w:rsidRPr="00467D38">
        <w:rPr>
          <w:rFonts w:ascii="Aptos" w:hAnsi="Aptos" w:cstheme="minorHAnsi"/>
          <w:bCs/>
        </w:rPr>
        <w:t xml:space="preserve">Rozwój BLIKA w e-commerce coraz wyraźniej wykracza poza tradycyjne, jednorazowe </w:t>
      </w:r>
      <w:r w:rsidR="003D5381">
        <w:rPr>
          <w:rFonts w:ascii="Aptos" w:hAnsi="Aptos" w:cstheme="minorHAnsi"/>
          <w:bCs/>
        </w:rPr>
        <w:t>opłaty</w:t>
      </w:r>
      <w:r w:rsidRPr="00467D38">
        <w:rPr>
          <w:rFonts w:ascii="Aptos" w:hAnsi="Aptos" w:cstheme="minorHAnsi"/>
          <w:bCs/>
        </w:rPr>
        <w:t xml:space="preserve"> za zakupy</w:t>
      </w:r>
      <w:r w:rsidR="003D5381">
        <w:rPr>
          <w:rFonts w:ascii="Aptos" w:hAnsi="Aptos" w:cstheme="minorHAnsi"/>
          <w:bCs/>
        </w:rPr>
        <w:t xml:space="preserve"> czy rachunki</w:t>
      </w:r>
      <w:r w:rsidRPr="00467D38">
        <w:rPr>
          <w:rFonts w:ascii="Aptos" w:hAnsi="Aptos" w:cstheme="minorHAnsi"/>
          <w:bCs/>
        </w:rPr>
        <w:t>. Obok nich rośnie znaczenie rozwiązań pozwalających regulować cykliczne zobowiązania czy odroczyć termin zapłaty. Poszerzanie oferty o kolejne usługi sprawia, że BLIK znajduje zastosowanie w różnych modelach zakupowych.</w:t>
      </w:r>
      <w:r w:rsidR="00ED6E9E">
        <w:rPr>
          <w:rFonts w:ascii="Aptos" w:hAnsi="Aptos" w:cstheme="minorHAnsi"/>
          <w:bCs/>
        </w:rPr>
        <w:t xml:space="preserve"> </w:t>
      </w:r>
      <w:r w:rsidR="00DC6D4B" w:rsidRPr="00DC6D4B">
        <w:rPr>
          <w:rFonts w:ascii="Aptos" w:hAnsi="Aptos" w:cstheme="minorHAnsi"/>
          <w:bCs/>
        </w:rPr>
        <w:t>Szczególnie dynamicznie rozwijają się Płatności powtarzalne BLIK. W trzecim kwartale użytkownicy zrealizowali 2,9 mln takich operacji</w:t>
      </w:r>
      <w:r w:rsidR="00D770B7">
        <w:rPr>
          <w:rFonts w:ascii="Aptos" w:hAnsi="Aptos" w:cstheme="minorHAnsi"/>
          <w:bCs/>
        </w:rPr>
        <w:t xml:space="preserve"> </w:t>
      </w:r>
      <w:r w:rsidR="005917DC" w:rsidRPr="00DF1982">
        <w:rPr>
          <w:rFonts w:ascii="Aptos" w:hAnsi="Aptos"/>
          <w:iCs/>
        </w:rPr>
        <w:t>–</w:t>
      </w:r>
      <w:r w:rsidR="007A34E0">
        <w:rPr>
          <w:rFonts w:ascii="Aptos" w:hAnsi="Aptos" w:cstheme="minorHAnsi"/>
          <w:bCs/>
        </w:rPr>
        <w:t xml:space="preserve"> to</w:t>
      </w:r>
      <w:r w:rsidR="00DC6D4B" w:rsidRPr="00DC6D4B">
        <w:rPr>
          <w:rFonts w:ascii="Aptos" w:hAnsi="Aptos" w:cstheme="minorHAnsi"/>
          <w:bCs/>
        </w:rPr>
        <w:t xml:space="preserve"> </w:t>
      </w:r>
      <w:r w:rsidR="003F14B8">
        <w:rPr>
          <w:rFonts w:ascii="Aptos" w:hAnsi="Aptos" w:cstheme="minorHAnsi"/>
          <w:bCs/>
        </w:rPr>
        <w:t>dwa razy</w:t>
      </w:r>
      <w:r w:rsidR="00DC6D4B" w:rsidRPr="00DC6D4B">
        <w:rPr>
          <w:rFonts w:ascii="Aptos" w:hAnsi="Aptos" w:cstheme="minorHAnsi"/>
          <w:bCs/>
        </w:rPr>
        <w:t xml:space="preserve"> więcej niż rok wcześniej. </w:t>
      </w:r>
    </w:p>
    <w:p w14:paraId="2FA64895" w14:textId="365B15D2" w:rsidR="00F53BDC" w:rsidRPr="00467D38" w:rsidRDefault="00F53BDC" w:rsidP="00F53BDC">
      <w:pPr>
        <w:jc w:val="both"/>
        <w:rPr>
          <w:rFonts w:ascii="Aptos" w:hAnsi="Aptos"/>
        </w:rPr>
      </w:pPr>
      <w:r w:rsidRPr="60798EEC">
        <w:rPr>
          <w:rFonts w:ascii="Aptos" w:hAnsi="Aptos"/>
        </w:rPr>
        <w:t xml:space="preserve">– </w:t>
      </w:r>
      <w:r w:rsidRPr="60798EEC">
        <w:rPr>
          <w:rFonts w:ascii="Aptos" w:hAnsi="Aptos"/>
          <w:i/>
        </w:rPr>
        <w:t xml:space="preserve">Przez ostatnie lata rozwój płatności w e-commerce polegał przede wszystkim na upraszczaniu procesu zakupowego i skracaniu drogi od wyboru produktu do sfinalizowania transakcji. </w:t>
      </w:r>
      <w:r w:rsidR="00685069" w:rsidRPr="60798EEC">
        <w:rPr>
          <w:rFonts w:ascii="Aptos" w:hAnsi="Aptos"/>
          <w:i/>
        </w:rPr>
        <w:t>Teraz</w:t>
      </w:r>
      <w:r w:rsidRPr="60798EEC">
        <w:rPr>
          <w:rFonts w:ascii="Aptos" w:hAnsi="Aptos"/>
          <w:i/>
        </w:rPr>
        <w:t xml:space="preserve"> technologia otwiera przed nami kolejne możliwości. W modelu agentic commerce</w:t>
      </w:r>
      <w:r w:rsidR="00481C41" w:rsidRPr="60798EEC">
        <w:rPr>
          <w:rFonts w:ascii="Aptos" w:hAnsi="Aptos"/>
          <w:i/>
        </w:rPr>
        <w:t xml:space="preserve">, </w:t>
      </w:r>
      <w:r w:rsidR="00F21246" w:rsidRPr="60798EEC">
        <w:rPr>
          <w:rFonts w:ascii="Aptos" w:hAnsi="Aptos"/>
          <w:i/>
        </w:rPr>
        <w:t>któ</w:t>
      </w:r>
      <w:r w:rsidR="00B70EC6" w:rsidRPr="60798EEC">
        <w:rPr>
          <w:rFonts w:ascii="Aptos" w:hAnsi="Aptos"/>
          <w:i/>
        </w:rPr>
        <w:t xml:space="preserve">ry </w:t>
      </w:r>
      <w:r w:rsidR="006B04D3" w:rsidRPr="60798EEC">
        <w:rPr>
          <w:rFonts w:ascii="Aptos" w:hAnsi="Aptos"/>
          <w:i/>
        </w:rPr>
        <w:t>akt</w:t>
      </w:r>
      <w:r w:rsidR="004126A8" w:rsidRPr="60798EEC">
        <w:rPr>
          <w:rFonts w:ascii="Aptos" w:hAnsi="Aptos"/>
          <w:i/>
        </w:rPr>
        <w:t>ywnie</w:t>
      </w:r>
      <w:r w:rsidR="008E3C70" w:rsidRPr="60798EEC">
        <w:rPr>
          <w:rFonts w:ascii="Aptos" w:hAnsi="Aptos"/>
          <w:i/>
        </w:rPr>
        <w:t xml:space="preserve"> t</w:t>
      </w:r>
      <w:r w:rsidR="0079059E" w:rsidRPr="60798EEC">
        <w:rPr>
          <w:rFonts w:ascii="Aptos" w:hAnsi="Aptos"/>
          <w:i/>
        </w:rPr>
        <w:t>es</w:t>
      </w:r>
      <w:r w:rsidR="00DC5EBD" w:rsidRPr="60798EEC">
        <w:rPr>
          <w:rFonts w:ascii="Aptos" w:hAnsi="Aptos"/>
          <w:i/>
        </w:rPr>
        <w:t>tujemy,</w:t>
      </w:r>
      <w:r w:rsidRPr="60798EEC">
        <w:rPr>
          <w:rFonts w:ascii="Aptos" w:hAnsi="Aptos"/>
          <w:i/>
        </w:rPr>
        <w:t xml:space="preserve"> część tego procesu może odbywać się bez bezpośredniego udziału konsumenta w momencie zakupu. Nie oznacza to jednak rezygnacji z jego kontroli nad płatnością – wręcz przeciwnie, pojawia się potrzeba stworzenia nowych mechanizmów zarządzania zgodami i bezpieczeństwem takich transakcji. </w:t>
      </w:r>
      <w:r w:rsidR="001859FC" w:rsidRPr="001859FC">
        <w:rPr>
          <w:rFonts w:ascii="Aptos" w:hAnsi="Aptos"/>
          <w:i/>
        </w:rPr>
        <w:t xml:space="preserve">Wrześniowy pilotaż pokazał, że BLIK nie tylko odpowiada na zmieniające się potrzeby rynku, ale także współtworzy przyszłość płatności </w:t>
      </w:r>
      <w:r w:rsidRPr="60798EEC">
        <w:rPr>
          <w:rFonts w:ascii="Aptos" w:hAnsi="Aptos"/>
        </w:rPr>
        <w:t xml:space="preserve">– komentuje </w:t>
      </w:r>
      <w:r w:rsidR="00B011AC" w:rsidRPr="60798EEC">
        <w:rPr>
          <w:rFonts w:ascii="Aptos" w:hAnsi="Aptos"/>
          <w:b/>
        </w:rPr>
        <w:t>Monika Król</w:t>
      </w:r>
      <w:r w:rsidR="00685069" w:rsidRPr="60798EEC">
        <w:rPr>
          <w:rFonts w:ascii="Aptos" w:hAnsi="Aptos"/>
        </w:rPr>
        <w:t xml:space="preserve">, </w:t>
      </w:r>
      <w:r w:rsidR="00B011AC" w:rsidRPr="60798EEC">
        <w:rPr>
          <w:rFonts w:ascii="Aptos" w:hAnsi="Aptos"/>
        </w:rPr>
        <w:t xml:space="preserve">wiceprezeska </w:t>
      </w:r>
      <w:r w:rsidRPr="60798EEC">
        <w:rPr>
          <w:rFonts w:ascii="Aptos" w:hAnsi="Aptos"/>
        </w:rPr>
        <w:t>Polski</w:t>
      </w:r>
      <w:r w:rsidR="00B011AC" w:rsidRPr="60798EEC">
        <w:rPr>
          <w:rFonts w:ascii="Aptos" w:hAnsi="Aptos"/>
        </w:rPr>
        <w:t>ego</w:t>
      </w:r>
      <w:r w:rsidRPr="60798EEC">
        <w:rPr>
          <w:rFonts w:ascii="Aptos" w:hAnsi="Aptos"/>
        </w:rPr>
        <w:t xml:space="preserve"> Standard</w:t>
      </w:r>
      <w:r w:rsidR="00B011AC" w:rsidRPr="60798EEC">
        <w:rPr>
          <w:rFonts w:ascii="Aptos" w:hAnsi="Aptos"/>
        </w:rPr>
        <w:t>u</w:t>
      </w:r>
      <w:r w:rsidRPr="60798EEC">
        <w:rPr>
          <w:rFonts w:ascii="Aptos" w:hAnsi="Aptos"/>
        </w:rPr>
        <w:t xml:space="preserve"> Płatności, operator</w:t>
      </w:r>
      <w:r w:rsidR="00B52C78" w:rsidRPr="60798EEC">
        <w:rPr>
          <w:rFonts w:ascii="Aptos" w:hAnsi="Aptos"/>
        </w:rPr>
        <w:t>ze</w:t>
      </w:r>
      <w:r w:rsidRPr="60798EEC">
        <w:rPr>
          <w:rFonts w:ascii="Aptos" w:hAnsi="Aptos"/>
        </w:rPr>
        <w:t xml:space="preserve"> BLIKA.</w:t>
      </w:r>
    </w:p>
    <w:p w14:paraId="193B4616" w14:textId="77777777" w:rsidR="00F53BDC" w:rsidRPr="00F53BDC" w:rsidRDefault="00F53BDC" w:rsidP="00F53BDC">
      <w:pPr>
        <w:jc w:val="both"/>
        <w:rPr>
          <w:rFonts w:ascii="Aptos" w:hAnsi="Aptos" w:cstheme="minorHAnsi"/>
          <w:b/>
          <w:bCs/>
        </w:rPr>
      </w:pPr>
      <w:r w:rsidRPr="00F53BDC">
        <w:rPr>
          <w:rFonts w:ascii="Aptos" w:hAnsi="Aptos" w:cstheme="minorHAnsi"/>
          <w:b/>
          <w:bCs/>
        </w:rPr>
        <w:t>Ponad 200 mln przelewów na telefon w trzy miesiące</w:t>
      </w:r>
    </w:p>
    <w:p w14:paraId="0D92F62B" w14:textId="6F648828" w:rsidR="00685069" w:rsidRPr="00685069" w:rsidRDefault="00685069" w:rsidP="00685069">
      <w:pPr>
        <w:jc w:val="both"/>
        <w:rPr>
          <w:rFonts w:ascii="Aptos" w:hAnsi="Aptos" w:cstheme="minorHAnsi"/>
          <w:bCs/>
        </w:rPr>
      </w:pPr>
      <w:r w:rsidRPr="00685069">
        <w:rPr>
          <w:rFonts w:ascii="Aptos" w:hAnsi="Aptos" w:cstheme="minorHAnsi"/>
          <w:bCs/>
        </w:rPr>
        <w:t>Przelewy na telefon pozostają jednym z najpopularniejszych sposobów korzystania z BLIKA. W trzecim kwartale 2026 roku użytkownicy zrealizowali 206,5 mln takich operacji, o 11 proc. więcej niż w analogicznym okresie ubiegłego roku. Ich łączna wartość wyniosła 38,5 mld zł, wobec 31,9 mld zł rok wcześniej.</w:t>
      </w:r>
      <w:r>
        <w:rPr>
          <w:rFonts w:ascii="Aptos" w:hAnsi="Aptos" w:cstheme="minorHAnsi"/>
          <w:bCs/>
        </w:rPr>
        <w:t xml:space="preserve"> </w:t>
      </w:r>
      <w:r w:rsidRPr="00685069">
        <w:rPr>
          <w:rFonts w:ascii="Aptos" w:hAnsi="Aptos" w:cstheme="minorHAnsi"/>
          <w:bCs/>
        </w:rPr>
        <w:t xml:space="preserve">Średnia kwota pojedynczego przelewu na telefon </w:t>
      </w:r>
      <w:r w:rsidR="00E1364F">
        <w:rPr>
          <w:rFonts w:ascii="Aptos" w:hAnsi="Aptos" w:cstheme="minorHAnsi"/>
          <w:bCs/>
        </w:rPr>
        <w:t>to</w:t>
      </w:r>
      <w:r w:rsidRPr="00685069">
        <w:rPr>
          <w:rFonts w:ascii="Aptos" w:hAnsi="Aptos" w:cstheme="minorHAnsi"/>
          <w:bCs/>
        </w:rPr>
        <w:t xml:space="preserve"> 187 zł. Każdego dnia Polacy korzystali z tej funkcji przeciętnie ponad 2,2 mln razy, przesyłając sobie pieniądze bez konieczności podawania numeru rachunku bankowego.</w:t>
      </w:r>
      <w:r>
        <w:rPr>
          <w:rFonts w:ascii="Aptos" w:hAnsi="Aptos" w:cstheme="minorHAnsi"/>
          <w:bCs/>
        </w:rPr>
        <w:t xml:space="preserve"> </w:t>
      </w:r>
      <w:r w:rsidRPr="00685069">
        <w:rPr>
          <w:rFonts w:ascii="Aptos" w:hAnsi="Aptos" w:cstheme="minorHAnsi"/>
          <w:bCs/>
        </w:rPr>
        <w:t xml:space="preserve">Utrzymujący się wzrost </w:t>
      </w:r>
      <w:r w:rsidR="00BD597C">
        <w:rPr>
          <w:rFonts w:ascii="Aptos" w:hAnsi="Aptos" w:cstheme="minorHAnsi"/>
          <w:bCs/>
        </w:rPr>
        <w:t>potwierdza</w:t>
      </w:r>
      <w:r w:rsidRPr="00685069">
        <w:rPr>
          <w:rFonts w:ascii="Aptos" w:hAnsi="Aptos" w:cstheme="minorHAnsi"/>
          <w:bCs/>
        </w:rPr>
        <w:t xml:space="preserve">, że rozwiązanie jest chętnie wykorzystywane w codziennych rozliczeniach, m.in. przy dzieleniu </w:t>
      </w:r>
      <w:r w:rsidR="00DB1449">
        <w:rPr>
          <w:rFonts w:ascii="Aptos" w:hAnsi="Aptos" w:cstheme="minorHAnsi"/>
          <w:bCs/>
        </w:rPr>
        <w:t>rachunku</w:t>
      </w:r>
      <w:r w:rsidRPr="00685069">
        <w:rPr>
          <w:rFonts w:ascii="Aptos" w:hAnsi="Aptos" w:cstheme="minorHAnsi"/>
          <w:bCs/>
        </w:rPr>
        <w:t xml:space="preserve"> czy szybkim przekazywaniu pieniędzy bliskim.</w:t>
      </w:r>
    </w:p>
    <w:p w14:paraId="1729EBF1" w14:textId="4CF5F643" w:rsidR="00F53BDC" w:rsidRPr="00F53BDC" w:rsidRDefault="00F53BDC" w:rsidP="00F53BDC">
      <w:pPr>
        <w:jc w:val="both"/>
        <w:rPr>
          <w:rFonts w:ascii="Aptos" w:hAnsi="Aptos" w:cstheme="minorHAnsi"/>
          <w:b/>
          <w:bCs/>
        </w:rPr>
      </w:pPr>
      <w:r w:rsidRPr="00F53BDC">
        <w:rPr>
          <w:rFonts w:ascii="Aptos" w:hAnsi="Aptos" w:cstheme="minorHAnsi"/>
          <w:b/>
          <w:bCs/>
        </w:rPr>
        <w:t xml:space="preserve">Co czwarta transakcja BLIKIEM </w:t>
      </w:r>
      <w:r w:rsidR="00E1364F">
        <w:rPr>
          <w:rFonts w:ascii="Aptos" w:hAnsi="Aptos" w:cstheme="minorHAnsi"/>
          <w:b/>
          <w:bCs/>
        </w:rPr>
        <w:t>ma miejsce</w:t>
      </w:r>
      <w:r w:rsidRPr="00F53BDC">
        <w:rPr>
          <w:rFonts w:ascii="Aptos" w:hAnsi="Aptos" w:cstheme="minorHAnsi"/>
          <w:b/>
          <w:bCs/>
        </w:rPr>
        <w:t xml:space="preserve"> w terminalu płatniczym</w:t>
      </w:r>
    </w:p>
    <w:p w14:paraId="3E4D4382" w14:textId="74091502" w:rsidR="00F53BDC" w:rsidRPr="003776A4" w:rsidRDefault="00167853" w:rsidP="00F53BDC">
      <w:pPr>
        <w:jc w:val="both"/>
        <w:rPr>
          <w:rFonts w:ascii="Aptos" w:hAnsi="Aptos" w:cstheme="minorHAnsi"/>
          <w:bCs/>
        </w:rPr>
      </w:pPr>
      <w:r>
        <w:rPr>
          <w:rFonts w:ascii="Aptos" w:hAnsi="Aptos" w:cstheme="minorHAnsi"/>
          <w:bCs/>
        </w:rPr>
        <w:t>Między lipcem a wrześniem br.</w:t>
      </w:r>
      <w:r w:rsidR="00F53BDC" w:rsidRPr="003776A4">
        <w:rPr>
          <w:rFonts w:ascii="Aptos" w:hAnsi="Aptos" w:cstheme="minorHAnsi"/>
          <w:bCs/>
        </w:rPr>
        <w:t xml:space="preserve"> użytkownicy zrealizowali w sklepach stacjonarnych 209,7 mln płatności BLIKIEM, co oznacza wzrost o 11 proc. rok do roku. Łączna wartość tych operacji wyniosła 13,5 mld zł, a średnia kwota pojedynczej transakcji osiągnęła 64 zł. Płatności w terminalach </w:t>
      </w:r>
      <w:r w:rsidR="00F53BDC" w:rsidRPr="004D77C7">
        <w:rPr>
          <w:rFonts w:ascii="Aptos" w:hAnsi="Aptos" w:cstheme="minorHAnsi"/>
          <w:bCs/>
        </w:rPr>
        <w:t>stanowiły 25,5 proc. wszystkich</w:t>
      </w:r>
      <w:r w:rsidR="00F53BDC" w:rsidRPr="003776A4">
        <w:rPr>
          <w:rFonts w:ascii="Aptos" w:hAnsi="Aptos" w:cstheme="minorHAnsi"/>
          <w:bCs/>
        </w:rPr>
        <w:t xml:space="preserve"> operacji zrealizowanych w systemie.</w:t>
      </w:r>
    </w:p>
    <w:p w14:paraId="34A0F8F1" w14:textId="34F13227" w:rsidR="00F53BDC" w:rsidRPr="003776A4" w:rsidRDefault="00F53BDC" w:rsidP="00F53BDC">
      <w:pPr>
        <w:jc w:val="both"/>
        <w:rPr>
          <w:rFonts w:ascii="Aptos" w:hAnsi="Aptos" w:cstheme="minorHAnsi"/>
          <w:bCs/>
        </w:rPr>
      </w:pPr>
      <w:r w:rsidRPr="003776A4">
        <w:rPr>
          <w:rFonts w:ascii="Aptos" w:hAnsi="Aptos" w:cstheme="minorHAnsi"/>
          <w:bCs/>
        </w:rPr>
        <w:t xml:space="preserve">W tym kanale użytkownicy niemal równie często korzystają z kodu BLIK, jak i płatności zbliżeniowych. Tych drugich od lipca do września </w:t>
      </w:r>
      <w:r w:rsidR="0090614E">
        <w:rPr>
          <w:rFonts w:ascii="Aptos" w:hAnsi="Aptos" w:cstheme="minorHAnsi"/>
          <w:bCs/>
        </w:rPr>
        <w:t xml:space="preserve">br. </w:t>
      </w:r>
      <w:r w:rsidRPr="003776A4">
        <w:rPr>
          <w:rFonts w:ascii="Aptos" w:hAnsi="Aptos" w:cstheme="minorHAnsi"/>
          <w:bCs/>
        </w:rPr>
        <w:t xml:space="preserve">wykonano 98,1 mln, o 9 proc. więcej niż rok wcześniej. Ich wartość osiągnęła 5 mld zł, wobec 4,3 mld zł </w:t>
      </w:r>
      <w:r w:rsidR="002028CC">
        <w:rPr>
          <w:rFonts w:ascii="Aptos" w:hAnsi="Aptos" w:cstheme="minorHAnsi"/>
          <w:bCs/>
        </w:rPr>
        <w:t>rok wcześniej</w:t>
      </w:r>
      <w:r w:rsidRPr="003776A4">
        <w:rPr>
          <w:rFonts w:ascii="Aptos" w:hAnsi="Aptos" w:cstheme="minorHAnsi"/>
          <w:bCs/>
        </w:rPr>
        <w:t>. Płatności zbliżeniowe odpowiadały za blisko 47 proc. transakcji realizowanych BLIKIEM w terminalach.</w:t>
      </w:r>
      <w:r w:rsidR="007A0CF5">
        <w:rPr>
          <w:rFonts w:ascii="Aptos" w:hAnsi="Aptos" w:cstheme="minorHAnsi"/>
          <w:bCs/>
        </w:rPr>
        <w:t xml:space="preserve"> </w:t>
      </w:r>
      <w:r w:rsidRPr="003776A4">
        <w:rPr>
          <w:rFonts w:ascii="Aptos" w:hAnsi="Aptos" w:cstheme="minorHAnsi"/>
          <w:bCs/>
        </w:rPr>
        <w:t xml:space="preserve">Usługa umożliwia </w:t>
      </w:r>
      <w:r w:rsidR="007A0CF5">
        <w:rPr>
          <w:rFonts w:ascii="Aptos" w:hAnsi="Aptos" w:cstheme="minorHAnsi"/>
          <w:bCs/>
        </w:rPr>
        <w:t>realizację</w:t>
      </w:r>
      <w:r w:rsidRPr="003776A4">
        <w:rPr>
          <w:rFonts w:ascii="Aptos" w:hAnsi="Aptos" w:cstheme="minorHAnsi"/>
          <w:bCs/>
        </w:rPr>
        <w:t xml:space="preserve"> zakupów również poza Polską. Od momentu jej uruchomienia aktywowało ją 4,1 mln użytkowników, a </w:t>
      </w:r>
      <w:r w:rsidR="007A0CF5">
        <w:rPr>
          <w:rFonts w:ascii="Aptos" w:hAnsi="Aptos" w:cstheme="minorHAnsi"/>
          <w:bCs/>
        </w:rPr>
        <w:t xml:space="preserve">Polacy zapłacili </w:t>
      </w:r>
      <w:r w:rsidRPr="003776A4">
        <w:rPr>
          <w:rFonts w:ascii="Aptos" w:hAnsi="Aptos" w:cstheme="minorHAnsi"/>
          <w:bCs/>
        </w:rPr>
        <w:t xml:space="preserve">BLIKIEM </w:t>
      </w:r>
      <w:r w:rsidR="007A0CF5">
        <w:rPr>
          <w:rFonts w:ascii="Aptos" w:hAnsi="Aptos" w:cstheme="minorHAnsi"/>
          <w:bCs/>
        </w:rPr>
        <w:t>zbliżeniowym</w:t>
      </w:r>
      <w:r w:rsidRPr="003776A4">
        <w:rPr>
          <w:rFonts w:ascii="Aptos" w:hAnsi="Aptos" w:cstheme="minorHAnsi"/>
          <w:bCs/>
        </w:rPr>
        <w:t xml:space="preserve"> w 181 krajach świata. W trzecim kwartale </w:t>
      </w:r>
      <w:r w:rsidR="009848A2">
        <w:rPr>
          <w:rFonts w:ascii="Aptos" w:hAnsi="Aptos" w:cstheme="minorHAnsi"/>
          <w:bCs/>
        </w:rPr>
        <w:t xml:space="preserve">br. </w:t>
      </w:r>
      <w:r w:rsidRPr="003776A4">
        <w:rPr>
          <w:rFonts w:ascii="Aptos" w:hAnsi="Aptos" w:cstheme="minorHAnsi"/>
          <w:bCs/>
        </w:rPr>
        <w:t>po raz pierwszy skorzysta</w:t>
      </w:r>
      <w:r w:rsidR="00C51C4C">
        <w:rPr>
          <w:rFonts w:ascii="Aptos" w:hAnsi="Aptos" w:cstheme="minorHAnsi"/>
          <w:bCs/>
        </w:rPr>
        <w:t>li</w:t>
      </w:r>
      <w:r w:rsidRPr="003776A4">
        <w:rPr>
          <w:rFonts w:ascii="Aptos" w:hAnsi="Aptos" w:cstheme="minorHAnsi"/>
          <w:bCs/>
        </w:rPr>
        <w:t xml:space="preserve"> z tej możliwości w Bhutanie, Algierii, na Madagaskarze i w Republice Środkowoafrykańskiej.</w:t>
      </w:r>
    </w:p>
    <w:p w14:paraId="1E7B1875" w14:textId="77777777" w:rsidR="00F53BDC" w:rsidRPr="00F53BDC" w:rsidRDefault="00F53BDC" w:rsidP="00F53BDC">
      <w:pPr>
        <w:jc w:val="both"/>
        <w:rPr>
          <w:rFonts w:ascii="Aptos" w:hAnsi="Aptos" w:cstheme="minorHAnsi"/>
          <w:b/>
          <w:bCs/>
        </w:rPr>
      </w:pPr>
      <w:r w:rsidRPr="00F53BDC">
        <w:rPr>
          <w:rFonts w:ascii="Aptos" w:hAnsi="Aptos" w:cstheme="minorHAnsi"/>
          <w:b/>
          <w:bCs/>
        </w:rPr>
        <w:t>Stabilny wzrost operacji gotówkowych</w:t>
      </w:r>
    </w:p>
    <w:p w14:paraId="02DBA8DB" w14:textId="77777777" w:rsidR="00F47D91" w:rsidRDefault="00F47D91" w:rsidP="00F53BDC">
      <w:pPr>
        <w:jc w:val="both"/>
        <w:rPr>
          <w:rFonts w:ascii="Aptos" w:hAnsi="Aptos" w:cstheme="minorHAnsi"/>
          <w:b/>
          <w:bCs/>
        </w:rPr>
      </w:pPr>
      <w:r w:rsidRPr="00F47D91">
        <w:rPr>
          <w:rFonts w:ascii="Aptos" w:hAnsi="Aptos" w:cstheme="minorHAnsi"/>
          <w:bCs/>
        </w:rPr>
        <w:t>W okresie od lipca do września br. użytkownicy wykonali 21,6 mln transakcji BLIKIEM w bankomatach. To o 4,2 proc. więcej niż przed rokiem. Z tej liczby 18,5 mln stanowiły wypłaty gotówki, natomiast 3,1 mln – wpłaty. Łączna wartość wszystkich operacji bankomatowych wyniosła 15,7 mld zł, a średnia kwota pojedynczej transakcji osiągnęła 730 zł.</w:t>
      </w:r>
      <w:r w:rsidRPr="00F47D91">
        <w:rPr>
          <w:rFonts w:ascii="Aptos" w:hAnsi="Aptos" w:cstheme="minorHAnsi"/>
          <w:b/>
          <w:bCs/>
        </w:rPr>
        <w:t xml:space="preserve"> </w:t>
      </w:r>
    </w:p>
    <w:p w14:paraId="36EA89F4" w14:textId="7B35B422" w:rsidR="00062AA7" w:rsidRDefault="00A53F8E" w:rsidP="00F53BDC">
      <w:pPr>
        <w:jc w:val="both"/>
        <w:rPr>
          <w:rFonts w:ascii="Aptos" w:hAnsi="Aptos" w:cstheme="minorHAnsi"/>
          <w:b/>
          <w:bCs/>
        </w:rPr>
      </w:pPr>
      <w:r w:rsidRPr="00512475">
        <w:rPr>
          <w:rFonts w:ascii="Aptos" w:hAnsi="Aptos" w:cstheme="minorHAnsi"/>
          <w:bCs/>
        </w:rPr>
        <w:t xml:space="preserve">– </w:t>
      </w:r>
      <w:r w:rsidRPr="00DE48A0">
        <w:rPr>
          <w:rFonts w:ascii="Aptos" w:hAnsi="Aptos" w:cstheme="minorHAnsi"/>
          <w:bCs/>
          <w:i/>
          <w:iCs/>
        </w:rPr>
        <w:t xml:space="preserve">W trzecim kwartale użytkownicy realizowali BLIKIEM średnio ponad 100 transakcji na sekundę. </w:t>
      </w:r>
      <w:r w:rsidRPr="00D97458">
        <w:rPr>
          <w:rFonts w:ascii="Aptos" w:hAnsi="Aptos" w:cstheme="minorHAnsi"/>
          <w:bCs/>
          <w:i/>
          <w:iCs/>
        </w:rPr>
        <w:t>System nieprzerwanie obsługuje miliony płatności, a my stale rozwijamy go o kolejne usługi i integracje.</w:t>
      </w:r>
      <w:r>
        <w:rPr>
          <w:rFonts w:ascii="Aptos" w:hAnsi="Aptos" w:cstheme="minorHAnsi"/>
          <w:bCs/>
          <w:i/>
          <w:iCs/>
        </w:rPr>
        <w:t xml:space="preserve"> </w:t>
      </w:r>
      <w:r w:rsidRPr="00DE48A0">
        <w:rPr>
          <w:rFonts w:ascii="Aptos" w:hAnsi="Aptos" w:cstheme="minorHAnsi"/>
          <w:bCs/>
          <w:i/>
          <w:iCs/>
        </w:rPr>
        <w:t xml:space="preserve">To wymaga konsekwentnego wzmacniania jego wydajności, bezpieczeństwa i stabilności działania, także wtedy, gdy równolegle zwiększamy dostępność BLIKA poza Polską. </w:t>
      </w:r>
      <w:r w:rsidR="0015774A" w:rsidRPr="0015774A">
        <w:rPr>
          <w:rFonts w:ascii="Aptos" w:hAnsi="Aptos" w:cstheme="minorHAnsi"/>
          <w:bCs/>
          <w:i/>
          <w:iCs/>
        </w:rPr>
        <w:t>Chcemy rozwijać nasze usługi i docierać do coraz większej liczby użytkowników w Europie. Jednocześnie zależy nam na tym, aby korzystanie z nich pozostało proste i wygodne</w:t>
      </w:r>
      <w:r w:rsidR="0015774A">
        <w:rPr>
          <w:rFonts w:ascii="Aptos" w:hAnsi="Aptos" w:cstheme="minorHAnsi"/>
          <w:bCs/>
          <w:i/>
          <w:iCs/>
        </w:rPr>
        <w:t xml:space="preserve"> </w:t>
      </w:r>
      <w:r w:rsidR="00564DF7" w:rsidRPr="00512475">
        <w:rPr>
          <w:rFonts w:ascii="Aptos" w:hAnsi="Aptos" w:cstheme="minorHAnsi"/>
          <w:bCs/>
        </w:rPr>
        <w:t>–</w:t>
      </w:r>
      <w:r w:rsidR="00CE4D97">
        <w:rPr>
          <w:rFonts w:ascii="Aptos" w:hAnsi="Aptos" w:cstheme="minorHAnsi"/>
          <w:bCs/>
          <w:i/>
          <w:iCs/>
        </w:rPr>
        <w:t xml:space="preserve"> </w:t>
      </w:r>
      <w:r w:rsidR="00CD5805">
        <w:rPr>
          <w:rFonts w:ascii="Aptos" w:hAnsi="Aptos" w:cstheme="minorHAnsi"/>
          <w:bCs/>
        </w:rPr>
        <w:t>dodaje</w:t>
      </w:r>
      <w:r w:rsidRPr="00512475">
        <w:rPr>
          <w:rFonts w:ascii="Aptos" w:hAnsi="Aptos" w:cstheme="minorHAnsi"/>
          <w:bCs/>
        </w:rPr>
        <w:t xml:space="preserve"> </w:t>
      </w:r>
      <w:r w:rsidR="00CD5805">
        <w:rPr>
          <w:rFonts w:ascii="Aptos" w:hAnsi="Aptos" w:cstheme="minorHAnsi"/>
          <w:b/>
          <w:bCs/>
        </w:rPr>
        <w:t>Monika Król</w:t>
      </w:r>
      <w:r w:rsidRPr="00512475">
        <w:rPr>
          <w:rFonts w:ascii="Aptos" w:hAnsi="Aptos" w:cstheme="minorHAnsi"/>
          <w:bCs/>
        </w:rPr>
        <w:t>.</w:t>
      </w:r>
    </w:p>
    <w:p w14:paraId="5F0A4B79" w14:textId="5BB7BC00" w:rsidR="00E20103" w:rsidRPr="00E20103" w:rsidRDefault="00E20103" w:rsidP="00E20103">
      <w:pPr>
        <w:jc w:val="both"/>
        <w:rPr>
          <w:rFonts w:ascii="Aptos" w:hAnsi="Aptos" w:cstheme="minorHAnsi"/>
          <w:b/>
          <w:bCs/>
        </w:rPr>
      </w:pPr>
      <w:r w:rsidRPr="00E20103">
        <w:rPr>
          <w:rFonts w:ascii="Aptos" w:hAnsi="Aptos" w:cstheme="minorHAnsi"/>
          <w:b/>
          <w:bCs/>
        </w:rPr>
        <w:t>BLIK umacnia pozycję w Polsce i za granicą</w:t>
      </w:r>
    </w:p>
    <w:p w14:paraId="197F519B" w14:textId="77777777" w:rsidR="006C4D6F" w:rsidRDefault="006C4D6F" w:rsidP="006C4D6F">
      <w:pPr>
        <w:jc w:val="both"/>
        <w:rPr>
          <w:rFonts w:ascii="Aptos" w:hAnsi="Aptos" w:cstheme="minorHAnsi"/>
          <w:bCs/>
        </w:rPr>
      </w:pPr>
      <w:r w:rsidRPr="006C4D6F">
        <w:rPr>
          <w:rFonts w:ascii="Aptos" w:hAnsi="Aptos" w:cstheme="minorHAnsi"/>
          <w:bCs/>
        </w:rPr>
        <w:t>Trzeci kwartał przyniósł istotne wydarzenia wzmacniające pozycję BLIKA na rynku płatniczym. We wrześniu Narodowy Bank Polski zakwalifikował BLIKA do kategorii systemowo ważnych, najwyższej kategorii nadzorczej dla detalicznych systemów płatności w Polsce. Decyzja potwierdza rosnące znaczenie BLIKA dla krajowej infrastruktury płatniczej i wiąże się z wysokimi wymaganiami w zakresie bezpieczeństwa, niezawodności i ciągłości transakcji.</w:t>
      </w:r>
    </w:p>
    <w:p w14:paraId="3D597A2D" w14:textId="401BF486" w:rsidR="004D77C7" w:rsidRPr="006C4D6F" w:rsidRDefault="004D77C7" w:rsidP="006C4D6F">
      <w:pPr>
        <w:jc w:val="both"/>
        <w:rPr>
          <w:rFonts w:ascii="Aptos" w:hAnsi="Aptos" w:cstheme="minorHAnsi"/>
          <w:bCs/>
        </w:rPr>
      </w:pPr>
      <w:r w:rsidRPr="004D77C7">
        <w:rPr>
          <w:rFonts w:ascii="Aptos" w:hAnsi="Aptos" w:cstheme="minorHAnsi"/>
          <w:bCs/>
        </w:rPr>
        <w:t>Istotnym krokiem w rozwoju usług była także pierwsza płatność zbliżeniowa BLIKIEM na iPhonie, zrealizowana w aplikacji PKO Junior banku PKO B</w:t>
      </w:r>
      <w:r w:rsidR="00FC3350">
        <w:rPr>
          <w:rFonts w:ascii="Aptos" w:hAnsi="Aptos" w:cstheme="minorHAnsi"/>
          <w:bCs/>
        </w:rPr>
        <w:t xml:space="preserve">ank </w:t>
      </w:r>
      <w:r w:rsidRPr="004D77C7">
        <w:rPr>
          <w:rFonts w:ascii="Aptos" w:hAnsi="Aptos" w:cstheme="minorHAnsi"/>
          <w:bCs/>
        </w:rPr>
        <w:t>P</w:t>
      </w:r>
      <w:r w:rsidR="00FC3350">
        <w:rPr>
          <w:rFonts w:ascii="Aptos" w:hAnsi="Aptos" w:cstheme="minorHAnsi"/>
          <w:bCs/>
        </w:rPr>
        <w:t>olski</w:t>
      </w:r>
      <w:r w:rsidRPr="004D77C7">
        <w:rPr>
          <w:rFonts w:ascii="Aptos" w:hAnsi="Aptos" w:cstheme="minorHAnsi"/>
          <w:bCs/>
        </w:rPr>
        <w:t>. Pilotaż stanowi ważny etap prac nad udostępnieniem płatności zbliżeniowych BLIKIEM użytkownikom systemu iOS i otwiera drogę do dalszego zwiększania dostępności tej usługi.</w:t>
      </w:r>
    </w:p>
    <w:p w14:paraId="3DAB2BCC" w14:textId="77777777" w:rsidR="00C364B1" w:rsidRDefault="006C4D6F" w:rsidP="00C364B1">
      <w:pPr>
        <w:jc w:val="both"/>
        <w:rPr>
          <w:rFonts w:ascii="Aptos" w:hAnsi="Aptos" w:cstheme="minorHAnsi"/>
        </w:rPr>
      </w:pPr>
      <w:r w:rsidRPr="006C4D6F">
        <w:rPr>
          <w:rFonts w:ascii="Aptos" w:hAnsi="Aptos" w:cstheme="minorHAnsi"/>
          <w:bCs/>
        </w:rPr>
        <w:t>Równolegle BLIK zwiększał swoją międzynarodową dostępność. We wrześniu został udostępniony w aplikacji mBanku SK, drugiego banku na Słowacji oferującego tę metodę płatności. Rozszerzono również współpracę z</w:t>
      </w:r>
      <w:r w:rsidR="008C635E">
        <w:rPr>
          <w:rFonts w:ascii="Aptos" w:hAnsi="Aptos" w:cstheme="minorHAnsi"/>
          <w:bCs/>
        </w:rPr>
        <w:t xml:space="preserve"> platformą</w:t>
      </w:r>
      <w:r w:rsidRPr="006C4D6F">
        <w:rPr>
          <w:rFonts w:ascii="Aptos" w:hAnsi="Aptos" w:cstheme="minorHAnsi"/>
          <w:bCs/>
        </w:rPr>
        <w:t xml:space="preserve"> Stripe – dzięki włączeniu BLIKA do dynamicznych metod płatności sklepy internetowe w ponad 30 krajach mogą automatycznie udostępniać go polskim klientom bez dodatkowej integracji.</w:t>
      </w:r>
      <w:r w:rsidR="00C364B1" w:rsidRPr="00C364B1">
        <w:rPr>
          <w:rFonts w:ascii="Aptos" w:hAnsi="Aptos" w:cstheme="minorHAnsi"/>
        </w:rPr>
        <w:t xml:space="preserve"> </w:t>
      </w:r>
    </w:p>
    <w:p w14:paraId="446A5CA8" w14:textId="07999D66" w:rsidR="006C4D6F" w:rsidRPr="00F576B6" w:rsidRDefault="00C364B1" w:rsidP="006C4D6F">
      <w:pPr>
        <w:jc w:val="both"/>
        <w:rPr>
          <w:rFonts w:ascii="Aptos" w:hAnsi="Aptos" w:cstheme="minorHAnsi"/>
          <w:b/>
        </w:rPr>
      </w:pPr>
      <w:r>
        <w:rPr>
          <w:rFonts w:ascii="Aptos" w:hAnsi="Aptos" w:cstheme="minorHAnsi"/>
        </w:rPr>
        <w:t xml:space="preserve">– </w:t>
      </w:r>
      <w:r w:rsidR="004C5BA5" w:rsidRPr="008A7790">
        <w:rPr>
          <w:rFonts w:ascii="Aptos" w:hAnsi="Aptos" w:cstheme="minorHAnsi"/>
          <w:i/>
          <w:iCs/>
        </w:rPr>
        <w:t xml:space="preserve">Wyniki trzeciego kwartału potwierdzają, że BLIK utrzymuje wysokie tempo wzrostu, co daje nam solidną podstawę do planowania </w:t>
      </w:r>
      <w:r w:rsidR="006C2D3C">
        <w:rPr>
          <w:rFonts w:ascii="Aptos" w:hAnsi="Aptos" w:cstheme="minorHAnsi"/>
          <w:i/>
          <w:iCs/>
        </w:rPr>
        <w:t>nowych</w:t>
      </w:r>
      <w:r w:rsidR="004C5BA5" w:rsidRPr="008A7790">
        <w:rPr>
          <w:rFonts w:ascii="Aptos" w:hAnsi="Aptos" w:cstheme="minorHAnsi"/>
          <w:i/>
          <w:iCs/>
        </w:rPr>
        <w:t xml:space="preserve"> inwestycji.</w:t>
      </w:r>
      <w:r w:rsidR="004C5BA5" w:rsidRPr="004C5BA5">
        <w:rPr>
          <w:rFonts w:ascii="Aptos" w:hAnsi="Aptos" w:cstheme="minorHAnsi"/>
        </w:rPr>
        <w:t xml:space="preserve"> </w:t>
      </w:r>
      <w:r w:rsidR="00400326" w:rsidRPr="00400326">
        <w:rPr>
          <w:rFonts w:ascii="Aptos" w:hAnsi="Aptos" w:cstheme="minorHAnsi"/>
          <w:i/>
          <w:iCs/>
        </w:rPr>
        <w:t xml:space="preserve">Rozwój usług i zwiększanie dostępności BLIKA na kolejnych rynkach to dziś kilka dużych przedsięwzięć, które prowadzimy równolegle. W części z nich nakłady wyprzedzają efekty biznesowe, dlatego obok bieżących wyników patrzymy także na zdolność spółki do finansowania następnych etapów rozwoju. </w:t>
      </w:r>
      <w:r w:rsidRPr="003F6150">
        <w:rPr>
          <w:rFonts w:ascii="Aptos" w:hAnsi="Aptos" w:cstheme="minorHAnsi"/>
          <w:i/>
          <w:iCs/>
        </w:rPr>
        <w:t xml:space="preserve">Obecna skala działalności </w:t>
      </w:r>
      <w:r w:rsidR="00400326" w:rsidRPr="00400326">
        <w:rPr>
          <w:rFonts w:ascii="Aptos" w:hAnsi="Aptos" w:cstheme="minorHAnsi"/>
          <w:i/>
          <w:iCs/>
        </w:rPr>
        <w:t xml:space="preserve">PSP </w:t>
      </w:r>
      <w:r w:rsidRPr="003F6150">
        <w:rPr>
          <w:rFonts w:ascii="Aptos" w:hAnsi="Aptos" w:cstheme="minorHAnsi"/>
          <w:i/>
          <w:iCs/>
        </w:rPr>
        <w:t xml:space="preserve">pozwala nam </w:t>
      </w:r>
      <w:r w:rsidR="001A41F6">
        <w:rPr>
          <w:rFonts w:ascii="Aptos" w:hAnsi="Aptos" w:cstheme="minorHAnsi"/>
          <w:i/>
          <w:iCs/>
        </w:rPr>
        <w:t>realizować</w:t>
      </w:r>
      <w:r w:rsidRPr="003F6150">
        <w:rPr>
          <w:rFonts w:ascii="Aptos" w:hAnsi="Aptos" w:cstheme="minorHAnsi"/>
          <w:i/>
          <w:iCs/>
        </w:rPr>
        <w:t xml:space="preserve"> te projekty</w:t>
      </w:r>
      <w:r w:rsidR="001A41F6">
        <w:rPr>
          <w:rFonts w:ascii="Aptos" w:hAnsi="Aptos" w:cstheme="minorHAnsi"/>
          <w:i/>
          <w:iCs/>
        </w:rPr>
        <w:t xml:space="preserve"> z własnych środków</w:t>
      </w:r>
      <w:r w:rsidR="00400326" w:rsidRPr="00400326">
        <w:rPr>
          <w:rFonts w:ascii="Aptos" w:hAnsi="Aptos" w:cstheme="minorHAnsi"/>
          <w:i/>
          <w:iCs/>
        </w:rPr>
        <w:t>, bez konieczności zmiany dotychczasowego modelu finansowania</w:t>
      </w:r>
      <w:r w:rsidRPr="003F6150">
        <w:rPr>
          <w:rFonts w:ascii="Aptos" w:hAnsi="Aptos" w:cstheme="minorHAnsi"/>
          <w:i/>
          <w:iCs/>
        </w:rPr>
        <w:t xml:space="preserve"> </w:t>
      </w:r>
      <w:r w:rsidRPr="004162B3">
        <w:rPr>
          <w:rFonts w:ascii="Aptos" w:hAnsi="Aptos" w:cstheme="minorHAnsi"/>
        </w:rPr>
        <w:t>–</w:t>
      </w:r>
      <w:r>
        <w:rPr>
          <w:rFonts w:ascii="Aptos" w:hAnsi="Aptos" w:cstheme="minorHAnsi"/>
          <w:i/>
          <w:iCs/>
        </w:rPr>
        <w:t xml:space="preserve"> </w:t>
      </w:r>
      <w:r w:rsidR="00CD5805" w:rsidRPr="00512475">
        <w:rPr>
          <w:rFonts w:ascii="Aptos" w:hAnsi="Aptos" w:cstheme="minorHAnsi"/>
          <w:bCs/>
        </w:rPr>
        <w:t xml:space="preserve">podkreśla </w:t>
      </w:r>
      <w:r w:rsidR="00CD5805" w:rsidRPr="004162B3">
        <w:rPr>
          <w:rFonts w:ascii="Aptos" w:hAnsi="Aptos" w:cstheme="minorHAnsi"/>
          <w:b/>
          <w:bCs/>
        </w:rPr>
        <w:t>Katarzyna Matuszczyk</w:t>
      </w:r>
      <w:r w:rsidR="00CD5805">
        <w:rPr>
          <w:rFonts w:ascii="Aptos" w:hAnsi="Aptos" w:cstheme="minorHAnsi"/>
        </w:rPr>
        <w:t>, członkini zarządu i CFO w Polskim Standardzie Płatności, operatorze BLIKA.</w:t>
      </w:r>
    </w:p>
    <w:p w14:paraId="1AA28815" w14:textId="01F87EDC" w:rsidR="00B54CA2" w:rsidRPr="00192DD2" w:rsidRDefault="00680568" w:rsidP="00192DD2">
      <w:pPr>
        <w:jc w:val="center"/>
        <w:rPr>
          <w:rFonts w:ascii="Aptos" w:hAnsi="Aptos" w:cstheme="minorHAnsi"/>
          <w:bCs/>
        </w:rPr>
      </w:pPr>
      <w:r>
        <w:rPr>
          <w:rFonts w:ascii="Aptos" w:hAnsi="Aptos" w:cstheme="minorHAnsi"/>
        </w:rPr>
        <w:br/>
      </w:r>
      <w:r w:rsidR="00B54CA2" w:rsidRPr="00E71F48">
        <w:rPr>
          <w:rFonts w:ascii="Aptos" w:hAnsi="Aptos" w:cstheme="minorHAnsi"/>
        </w:rPr>
        <w:t>***</w:t>
      </w:r>
    </w:p>
    <w:p w14:paraId="73E05793" w14:textId="0C91294A" w:rsidR="00567D4D" w:rsidRPr="00680568" w:rsidRDefault="00567D4D" w:rsidP="00567D4D">
      <w:pPr>
        <w:jc w:val="both"/>
        <w:rPr>
          <w:rFonts w:ascii="Aptos" w:hAnsi="Aptos" w:cstheme="minorHAnsi"/>
          <w:sz w:val="20"/>
          <w:szCs w:val="20"/>
        </w:rPr>
      </w:pPr>
      <w:r w:rsidRPr="00680568">
        <w:rPr>
          <w:rFonts w:ascii="Aptos" w:hAnsi="Aptos" w:cstheme="minorHAnsi"/>
          <w:b/>
          <w:sz w:val="20"/>
          <w:szCs w:val="20"/>
        </w:rPr>
        <w:t>BLIK</w:t>
      </w:r>
      <w:r w:rsidRPr="00680568">
        <w:rPr>
          <w:rFonts w:ascii="Aptos" w:hAnsi="Aptos" w:cstheme="minorHAnsi"/>
          <w:sz w:val="20"/>
          <w:szCs w:val="20"/>
        </w:rPr>
        <w:t xml:space="preserve"> to powszechny standard płatności mobilnych. Możliwość skorzystania z BLIKA w aplikacjach bankowości mobilnej ma obecnie praktycznie każdy z klientów krajowych instytucji płatniczych oferujących aplikację mobilną. Za rozwój systemu odpowiada spółka Polski Standard Płatności (PSP). PSP stale rozwija możliwości BLIKA tak, aby system był jak najbardziej funkcjonalny dla jego użytkowników. Udziałowcami spółki PSP są: Alior Bank, Bank Millennium, </w:t>
      </w:r>
      <w:r w:rsidR="00D84EB4">
        <w:rPr>
          <w:rFonts w:ascii="Aptos" w:hAnsi="Aptos" w:cstheme="minorHAnsi"/>
          <w:sz w:val="20"/>
          <w:szCs w:val="20"/>
        </w:rPr>
        <w:t>Erste</w:t>
      </w:r>
      <w:r w:rsidR="00D84EB4" w:rsidRPr="00680568">
        <w:rPr>
          <w:rFonts w:ascii="Aptos" w:hAnsi="Aptos" w:cstheme="minorHAnsi"/>
          <w:sz w:val="20"/>
          <w:szCs w:val="20"/>
        </w:rPr>
        <w:t xml:space="preserve"> </w:t>
      </w:r>
      <w:r w:rsidRPr="00680568">
        <w:rPr>
          <w:rFonts w:ascii="Aptos" w:hAnsi="Aptos" w:cstheme="minorHAnsi"/>
          <w:sz w:val="20"/>
          <w:szCs w:val="20"/>
        </w:rPr>
        <w:t>Bank Polska, ING Bank Śląski, mBank, PKO Bank Polski oraz Mastercard.</w:t>
      </w:r>
    </w:p>
    <w:p w14:paraId="6F30E737" w14:textId="77777777" w:rsidR="009A4C4F" w:rsidRPr="00680568" w:rsidRDefault="009A4C4F" w:rsidP="00B54CA2">
      <w:pPr>
        <w:spacing w:line="276" w:lineRule="auto"/>
        <w:jc w:val="both"/>
        <w:rPr>
          <w:rFonts w:ascii="Aptos" w:hAnsi="Aptos" w:cstheme="minorHAnsi"/>
          <w:b/>
          <w:sz w:val="20"/>
          <w:szCs w:val="20"/>
        </w:rPr>
      </w:pPr>
    </w:p>
    <w:p w14:paraId="684B5FF9" w14:textId="2B7CD62B" w:rsidR="00B54CA2" w:rsidRPr="00680568" w:rsidRDefault="00B54CA2" w:rsidP="00B54CA2">
      <w:pPr>
        <w:spacing w:line="276" w:lineRule="auto"/>
        <w:jc w:val="both"/>
        <w:rPr>
          <w:rFonts w:ascii="Aptos" w:hAnsi="Aptos" w:cstheme="minorHAnsi"/>
          <w:b/>
          <w:sz w:val="20"/>
          <w:szCs w:val="20"/>
        </w:rPr>
      </w:pPr>
      <w:r w:rsidRPr="00680568">
        <w:rPr>
          <w:rFonts w:ascii="Aptos" w:hAnsi="Aptos" w:cstheme="minorHAnsi"/>
          <w:b/>
          <w:sz w:val="20"/>
          <w:szCs w:val="20"/>
        </w:rPr>
        <w:t>Kontakt dla mediów:</w:t>
      </w:r>
    </w:p>
    <w:p w14:paraId="2EADC533" w14:textId="77777777" w:rsidR="00B54CA2" w:rsidRPr="00680568" w:rsidRDefault="00B54CA2" w:rsidP="00B54CA2">
      <w:pPr>
        <w:spacing w:after="0" w:line="276" w:lineRule="auto"/>
        <w:jc w:val="both"/>
        <w:rPr>
          <w:rFonts w:ascii="Aptos" w:hAnsi="Aptos" w:cstheme="minorHAnsi"/>
          <w:sz w:val="20"/>
          <w:szCs w:val="20"/>
        </w:rPr>
      </w:pPr>
      <w:r w:rsidRPr="00680568">
        <w:rPr>
          <w:rFonts w:ascii="Aptos" w:hAnsi="Aptos" w:cstheme="minorHAnsi"/>
          <w:sz w:val="20"/>
          <w:szCs w:val="20"/>
        </w:rPr>
        <w:t>Klaudia Rombalska</w:t>
      </w:r>
    </w:p>
    <w:p w14:paraId="5B730506" w14:textId="504C82E2" w:rsidR="00B54CA2" w:rsidRPr="00680568" w:rsidRDefault="00B54CA2" w:rsidP="00B54CA2">
      <w:pPr>
        <w:spacing w:after="0" w:line="276" w:lineRule="auto"/>
        <w:jc w:val="both"/>
        <w:rPr>
          <w:rFonts w:ascii="Aptos" w:hAnsi="Aptos" w:cstheme="minorHAnsi"/>
          <w:sz w:val="20"/>
          <w:szCs w:val="20"/>
        </w:rPr>
      </w:pPr>
      <w:r w:rsidRPr="00680568">
        <w:rPr>
          <w:rFonts w:ascii="Aptos" w:hAnsi="Aptos" w:cstheme="minorHAnsi"/>
          <w:sz w:val="20"/>
          <w:szCs w:val="20"/>
        </w:rPr>
        <w:t>Biuro prasowe BLIK</w:t>
      </w:r>
    </w:p>
    <w:p w14:paraId="1245FE1C" w14:textId="345F39AA" w:rsidR="00B022A7" w:rsidRPr="00E71F48" w:rsidRDefault="008A1A3E" w:rsidP="0025439C">
      <w:pPr>
        <w:spacing w:after="0" w:line="276" w:lineRule="auto"/>
        <w:rPr>
          <w:rFonts w:ascii="Aptos" w:hAnsi="Aptos" w:cstheme="minorHAnsi"/>
        </w:rPr>
      </w:pPr>
      <w:hyperlink w:history="1">
        <w:r w:rsidRPr="00680568">
          <w:rPr>
            <w:rFonts w:ascii="Aptos" w:hAnsi="Aptos" w:cstheme="minorHAnsi"/>
            <w:sz w:val="20"/>
            <w:szCs w:val="20"/>
          </w:rPr>
          <w:t>klaudia.rombalska@clearcom.pl</w:t>
        </w:r>
      </w:hyperlink>
      <w:r w:rsidRPr="00680568">
        <w:rPr>
          <w:rFonts w:ascii="Aptos" w:hAnsi="Aptos" w:cstheme="minorHAnsi"/>
          <w:sz w:val="20"/>
          <w:szCs w:val="20"/>
        </w:rPr>
        <w:t xml:space="preserve"> </w:t>
      </w:r>
    </w:p>
    <w:sectPr w:rsidR="00B022A7" w:rsidRPr="00E71F48">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2424A" w14:textId="77777777" w:rsidR="00E50A74" w:rsidRDefault="00E50A74" w:rsidP="009A0537">
      <w:pPr>
        <w:spacing w:after="0" w:line="240" w:lineRule="auto"/>
      </w:pPr>
      <w:r>
        <w:separator/>
      </w:r>
    </w:p>
  </w:endnote>
  <w:endnote w:type="continuationSeparator" w:id="0">
    <w:p w14:paraId="429951FB" w14:textId="77777777" w:rsidR="00E50A74" w:rsidRDefault="00E50A74" w:rsidP="009A0537">
      <w:pPr>
        <w:spacing w:after="0" w:line="240" w:lineRule="auto"/>
      </w:pPr>
      <w:r>
        <w:continuationSeparator/>
      </w:r>
    </w:p>
  </w:endnote>
  <w:endnote w:type="continuationNotice" w:id="1">
    <w:p w14:paraId="654B9F90" w14:textId="77777777" w:rsidR="00E50A74" w:rsidRDefault="00E50A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81E06" w14:textId="77777777" w:rsidR="00E50A74" w:rsidRDefault="00E50A74" w:rsidP="009A0537">
      <w:pPr>
        <w:spacing w:after="0" w:line="240" w:lineRule="auto"/>
      </w:pPr>
      <w:r>
        <w:separator/>
      </w:r>
    </w:p>
  </w:footnote>
  <w:footnote w:type="continuationSeparator" w:id="0">
    <w:p w14:paraId="74DA8FA7" w14:textId="77777777" w:rsidR="00E50A74" w:rsidRDefault="00E50A74" w:rsidP="009A0537">
      <w:pPr>
        <w:spacing w:after="0" w:line="240" w:lineRule="auto"/>
      </w:pPr>
      <w:r>
        <w:continuationSeparator/>
      </w:r>
    </w:p>
  </w:footnote>
  <w:footnote w:type="continuationNotice" w:id="1">
    <w:p w14:paraId="65B7184C" w14:textId="77777777" w:rsidR="00E50A74" w:rsidRDefault="00E50A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04E9" w14:textId="77777777" w:rsidR="00AC1AE1" w:rsidRDefault="00A53F8E" w:rsidP="00320222">
    <w:pPr>
      <w:tabs>
        <w:tab w:val="left" w:pos="1236"/>
      </w:tabs>
    </w:pPr>
    <w:r>
      <w:rPr>
        <w:noProof/>
        <w:lang w:eastAsia="pl-PL"/>
      </w:rPr>
      <w:drawing>
        <wp:anchor distT="0" distB="0" distL="114300" distR="114300" simplePos="0" relativeHeight="251658240" behindDoc="0" locked="0" layoutInCell="1" allowOverlap="1" wp14:anchorId="51BCA3C9" wp14:editId="4CE4310F">
          <wp:simplePos x="0" y="0"/>
          <wp:positionH relativeFrom="margin">
            <wp:align>right</wp:align>
          </wp:positionH>
          <wp:positionV relativeFrom="topMargin">
            <wp:posOffset>461010</wp:posOffset>
          </wp:positionV>
          <wp:extent cx="1037590" cy="559435"/>
          <wp:effectExtent l="0" t="0" r="0" b="0"/>
          <wp:wrapSquare wrapText="bothSides"/>
          <wp:docPr id="10" name="Obraz 10" descr="Obraz zawierający logo&#10;&#10;Opis wygenerowany automatycznie">
            <a:extLst xmlns:a="http://schemas.openxmlformats.org/drawingml/2006/main">
              <a:ext uri="{FF2B5EF4-FFF2-40B4-BE49-F238E27FC236}">
                <a16:creationId xmlns:a16="http://schemas.microsoft.com/office/drawing/2014/main" id="{0D3A2907-76DD-4CCF-B001-AC0C82BCF5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Obraz zawierający logo&#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1037590" cy="559435"/>
                  </a:xfrm>
                  <a:prstGeom prst="rect">
                    <a:avLst/>
                  </a:prstGeom>
                </pic:spPr>
              </pic:pic>
            </a:graphicData>
          </a:graphic>
        </wp:anchor>
      </w:drawing>
    </w:r>
    <w:r>
      <w:rPr>
        <w:noProof/>
        <w:lang w:eastAsia="pl-PL"/>
      </w:rPr>
      <w:drawing>
        <wp:anchor distT="0" distB="0" distL="114300" distR="114300" simplePos="0" relativeHeight="251658241" behindDoc="1" locked="0" layoutInCell="1" allowOverlap="1" wp14:anchorId="693ADA86" wp14:editId="11DE2ADD">
          <wp:simplePos x="0" y="0"/>
          <wp:positionH relativeFrom="margin">
            <wp:align>left</wp:align>
          </wp:positionH>
          <wp:positionV relativeFrom="paragraph">
            <wp:posOffset>-271145</wp:posOffset>
          </wp:positionV>
          <wp:extent cx="1811655" cy="1095375"/>
          <wp:effectExtent l="0" t="0" r="0" b="0"/>
          <wp:wrapNone/>
          <wp:docPr id="9" name="Obraz 9" descr="Obraz zawierający symbol, zrzut ekranu, Grafika, Czcionka&#10;&#10;Opis wygenerowany automatycznie">
            <a:extLst xmlns:a="http://schemas.openxmlformats.org/drawingml/2006/main">
              <a:ext uri="{FF2B5EF4-FFF2-40B4-BE49-F238E27FC236}">
                <a16:creationId xmlns:a16="http://schemas.microsoft.com/office/drawing/2014/main" id="{4DF1B905-D88D-40BB-8F64-9F93AB2402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Obraz zawierający symbol, zrzut ekranu, Grafika, Czcionka&#10;&#10;Opis wygenerowany automatycznie"/>
                  <pic:cNvPicPr>
                    <a:picLocks noChangeAspect="1" noChangeArrowheads="1"/>
                  </pic:cNvPicPr>
                </pic:nvPicPr>
                <pic:blipFill>
                  <a:blip r:embed="rId2"/>
                  <a:srcRect/>
                  <a:stretch>
                    <a:fillRect/>
                  </a:stretch>
                </pic:blipFill>
                <pic:spPr bwMode="auto">
                  <a:xfrm>
                    <a:off x="0" y="0"/>
                    <a:ext cx="1811655" cy="1095375"/>
                  </a:xfrm>
                  <a:prstGeom prst="rect">
                    <a:avLst/>
                  </a:prstGeom>
                  <a:noFill/>
                </pic:spPr>
              </pic:pic>
            </a:graphicData>
          </a:graphic>
        </wp:anchor>
      </w:drawing>
    </w:r>
    <w:r w:rsidR="00AC1AE1">
      <w:tab/>
    </w:r>
  </w:p>
  <w:p w14:paraId="748D1FD4" w14:textId="77777777" w:rsidR="00AC1AE1" w:rsidRDefault="00AC1AE1"/>
  <w:p w14:paraId="650B0944" w14:textId="77777777" w:rsidR="00AC1AE1" w:rsidRDefault="00AC1AE1" w:rsidP="00320222">
    <w:pPr>
      <w:tabs>
        <w:tab w:val="left" w:pos="1692"/>
      </w:tabs>
    </w:pPr>
    <w:r>
      <w:tab/>
    </w:r>
  </w:p>
  <w:p w14:paraId="12340330" w14:textId="77777777" w:rsidR="00AC1AE1" w:rsidRDefault="00AC1A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A4D93"/>
    <w:multiLevelType w:val="hybridMultilevel"/>
    <w:tmpl w:val="823805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2048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movePersonalInformation/>
  <w:removeDateAndTim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I0Mzc0tzQwNTMztDRW0lEKTi0uzszPAykwrgUA2Tw+0ywAAAA="/>
  </w:docVars>
  <w:rsids>
    <w:rsidRoot w:val="009A1E8C"/>
    <w:rsid w:val="0000147B"/>
    <w:rsid w:val="00003C82"/>
    <w:rsid w:val="00004D3E"/>
    <w:rsid w:val="000061B8"/>
    <w:rsid w:val="0000680B"/>
    <w:rsid w:val="000115FD"/>
    <w:rsid w:val="00016C2F"/>
    <w:rsid w:val="00021073"/>
    <w:rsid w:val="00021110"/>
    <w:rsid w:val="00021C6A"/>
    <w:rsid w:val="0002400E"/>
    <w:rsid w:val="00024080"/>
    <w:rsid w:val="00027191"/>
    <w:rsid w:val="000279D5"/>
    <w:rsid w:val="00031596"/>
    <w:rsid w:val="00031A1B"/>
    <w:rsid w:val="00032BB3"/>
    <w:rsid w:val="00032D14"/>
    <w:rsid w:val="00034137"/>
    <w:rsid w:val="00034619"/>
    <w:rsid w:val="00035030"/>
    <w:rsid w:val="0003599D"/>
    <w:rsid w:val="00037BC9"/>
    <w:rsid w:val="00044A73"/>
    <w:rsid w:val="0004720B"/>
    <w:rsid w:val="00047C00"/>
    <w:rsid w:val="00054CEE"/>
    <w:rsid w:val="00055FA9"/>
    <w:rsid w:val="000567CD"/>
    <w:rsid w:val="00060706"/>
    <w:rsid w:val="00062AA7"/>
    <w:rsid w:val="000660BF"/>
    <w:rsid w:val="000718CC"/>
    <w:rsid w:val="00072725"/>
    <w:rsid w:val="00074C7B"/>
    <w:rsid w:val="000805A3"/>
    <w:rsid w:val="00081278"/>
    <w:rsid w:val="0008397E"/>
    <w:rsid w:val="00084224"/>
    <w:rsid w:val="00085342"/>
    <w:rsid w:val="00085992"/>
    <w:rsid w:val="000867C2"/>
    <w:rsid w:val="0009121E"/>
    <w:rsid w:val="00091B75"/>
    <w:rsid w:val="00092209"/>
    <w:rsid w:val="000923AC"/>
    <w:rsid w:val="000A1E8B"/>
    <w:rsid w:val="000A372D"/>
    <w:rsid w:val="000A51FF"/>
    <w:rsid w:val="000B07ED"/>
    <w:rsid w:val="000B1453"/>
    <w:rsid w:val="000B33F2"/>
    <w:rsid w:val="000B5D98"/>
    <w:rsid w:val="000B5EEF"/>
    <w:rsid w:val="000B62F3"/>
    <w:rsid w:val="000C0F26"/>
    <w:rsid w:val="000C19B8"/>
    <w:rsid w:val="000C383B"/>
    <w:rsid w:val="000C52BC"/>
    <w:rsid w:val="000C53C9"/>
    <w:rsid w:val="000C6044"/>
    <w:rsid w:val="000D2A8C"/>
    <w:rsid w:val="000D3180"/>
    <w:rsid w:val="000D7918"/>
    <w:rsid w:val="000D7CA0"/>
    <w:rsid w:val="000E13A8"/>
    <w:rsid w:val="000E17A1"/>
    <w:rsid w:val="000E4564"/>
    <w:rsid w:val="000E4E2F"/>
    <w:rsid w:val="000E5F9B"/>
    <w:rsid w:val="000F2D4E"/>
    <w:rsid w:val="000F5607"/>
    <w:rsid w:val="000F5B37"/>
    <w:rsid w:val="00101ABA"/>
    <w:rsid w:val="00102333"/>
    <w:rsid w:val="00104280"/>
    <w:rsid w:val="001072C9"/>
    <w:rsid w:val="00112633"/>
    <w:rsid w:val="00115830"/>
    <w:rsid w:val="00116126"/>
    <w:rsid w:val="00116486"/>
    <w:rsid w:val="001165F4"/>
    <w:rsid w:val="00116EDD"/>
    <w:rsid w:val="00121251"/>
    <w:rsid w:val="00122524"/>
    <w:rsid w:val="00122D7F"/>
    <w:rsid w:val="00123E8B"/>
    <w:rsid w:val="00124149"/>
    <w:rsid w:val="001251F5"/>
    <w:rsid w:val="0012645B"/>
    <w:rsid w:val="001326B4"/>
    <w:rsid w:val="00132E43"/>
    <w:rsid w:val="001338B2"/>
    <w:rsid w:val="001342E0"/>
    <w:rsid w:val="00134DD8"/>
    <w:rsid w:val="001358E4"/>
    <w:rsid w:val="00136319"/>
    <w:rsid w:val="00136BFF"/>
    <w:rsid w:val="00137609"/>
    <w:rsid w:val="0014379C"/>
    <w:rsid w:val="001467EB"/>
    <w:rsid w:val="001469C0"/>
    <w:rsid w:val="00146C2D"/>
    <w:rsid w:val="00147BEE"/>
    <w:rsid w:val="001500D6"/>
    <w:rsid w:val="00150FF3"/>
    <w:rsid w:val="00151143"/>
    <w:rsid w:val="0015235C"/>
    <w:rsid w:val="00154D3E"/>
    <w:rsid w:val="001559B1"/>
    <w:rsid w:val="001567CF"/>
    <w:rsid w:val="0015774A"/>
    <w:rsid w:val="001610D3"/>
    <w:rsid w:val="00161E4F"/>
    <w:rsid w:val="00166EE7"/>
    <w:rsid w:val="001675D4"/>
    <w:rsid w:val="00167853"/>
    <w:rsid w:val="001756E8"/>
    <w:rsid w:val="0018246B"/>
    <w:rsid w:val="00182BE1"/>
    <w:rsid w:val="001845F5"/>
    <w:rsid w:val="00184B56"/>
    <w:rsid w:val="00185041"/>
    <w:rsid w:val="00185391"/>
    <w:rsid w:val="001859FC"/>
    <w:rsid w:val="00186403"/>
    <w:rsid w:val="001876EF"/>
    <w:rsid w:val="001908CF"/>
    <w:rsid w:val="00190C93"/>
    <w:rsid w:val="00191BA5"/>
    <w:rsid w:val="0019219C"/>
    <w:rsid w:val="001923E8"/>
    <w:rsid w:val="00192C23"/>
    <w:rsid w:val="00192DD2"/>
    <w:rsid w:val="00193865"/>
    <w:rsid w:val="001A212E"/>
    <w:rsid w:val="001A41F6"/>
    <w:rsid w:val="001A4A55"/>
    <w:rsid w:val="001A562C"/>
    <w:rsid w:val="001A6161"/>
    <w:rsid w:val="001B49D0"/>
    <w:rsid w:val="001B4A16"/>
    <w:rsid w:val="001B57B8"/>
    <w:rsid w:val="001B5865"/>
    <w:rsid w:val="001B5A53"/>
    <w:rsid w:val="001C2225"/>
    <w:rsid w:val="001C7C45"/>
    <w:rsid w:val="001D2416"/>
    <w:rsid w:val="001D3E76"/>
    <w:rsid w:val="001D5BC3"/>
    <w:rsid w:val="001E18B2"/>
    <w:rsid w:val="001E4F66"/>
    <w:rsid w:val="001E7C93"/>
    <w:rsid w:val="001F0762"/>
    <w:rsid w:val="001F263F"/>
    <w:rsid w:val="001F3269"/>
    <w:rsid w:val="001F44A3"/>
    <w:rsid w:val="001F66D9"/>
    <w:rsid w:val="0020021E"/>
    <w:rsid w:val="00200ADA"/>
    <w:rsid w:val="00200EB7"/>
    <w:rsid w:val="002028CC"/>
    <w:rsid w:val="00202D0A"/>
    <w:rsid w:val="002039CB"/>
    <w:rsid w:val="00204D40"/>
    <w:rsid w:val="00205DC3"/>
    <w:rsid w:val="00210101"/>
    <w:rsid w:val="00211C60"/>
    <w:rsid w:val="00212E6F"/>
    <w:rsid w:val="002137EC"/>
    <w:rsid w:val="00214242"/>
    <w:rsid w:val="00223AB8"/>
    <w:rsid w:val="00231E65"/>
    <w:rsid w:val="00233AF0"/>
    <w:rsid w:val="00233C34"/>
    <w:rsid w:val="00237590"/>
    <w:rsid w:val="00237E74"/>
    <w:rsid w:val="00242B3C"/>
    <w:rsid w:val="0024309B"/>
    <w:rsid w:val="00247A16"/>
    <w:rsid w:val="002500C4"/>
    <w:rsid w:val="002514D5"/>
    <w:rsid w:val="00251B0A"/>
    <w:rsid w:val="00252AB7"/>
    <w:rsid w:val="0025439C"/>
    <w:rsid w:val="002561BF"/>
    <w:rsid w:val="00256CF5"/>
    <w:rsid w:val="00257B6F"/>
    <w:rsid w:val="0026107E"/>
    <w:rsid w:val="00261A85"/>
    <w:rsid w:val="00262419"/>
    <w:rsid w:val="00265E00"/>
    <w:rsid w:val="00267673"/>
    <w:rsid w:val="00267780"/>
    <w:rsid w:val="002723F4"/>
    <w:rsid w:val="002735F4"/>
    <w:rsid w:val="0027568C"/>
    <w:rsid w:val="002836DD"/>
    <w:rsid w:val="002845D1"/>
    <w:rsid w:val="00284F48"/>
    <w:rsid w:val="00285998"/>
    <w:rsid w:val="002860C4"/>
    <w:rsid w:val="002867F4"/>
    <w:rsid w:val="00291202"/>
    <w:rsid w:val="00292A12"/>
    <w:rsid w:val="00293607"/>
    <w:rsid w:val="0029388B"/>
    <w:rsid w:val="002938C5"/>
    <w:rsid w:val="002943FA"/>
    <w:rsid w:val="00295A15"/>
    <w:rsid w:val="00297111"/>
    <w:rsid w:val="00297DFE"/>
    <w:rsid w:val="002A1BE4"/>
    <w:rsid w:val="002A2C69"/>
    <w:rsid w:val="002A3642"/>
    <w:rsid w:val="002A5619"/>
    <w:rsid w:val="002A5A1F"/>
    <w:rsid w:val="002A6FD8"/>
    <w:rsid w:val="002A71AF"/>
    <w:rsid w:val="002B06C4"/>
    <w:rsid w:val="002B2C85"/>
    <w:rsid w:val="002B7E3E"/>
    <w:rsid w:val="002C298B"/>
    <w:rsid w:val="002C39DB"/>
    <w:rsid w:val="002C3F7F"/>
    <w:rsid w:val="002C5268"/>
    <w:rsid w:val="002C64EC"/>
    <w:rsid w:val="002D65DD"/>
    <w:rsid w:val="002D7849"/>
    <w:rsid w:val="002E2F5A"/>
    <w:rsid w:val="002E630D"/>
    <w:rsid w:val="002E6DBE"/>
    <w:rsid w:val="002E73C7"/>
    <w:rsid w:val="002E7FB0"/>
    <w:rsid w:val="002F1515"/>
    <w:rsid w:val="002F1800"/>
    <w:rsid w:val="002F4A50"/>
    <w:rsid w:val="002F5C90"/>
    <w:rsid w:val="00303919"/>
    <w:rsid w:val="00303A3F"/>
    <w:rsid w:val="00304BEB"/>
    <w:rsid w:val="00305874"/>
    <w:rsid w:val="00306F18"/>
    <w:rsid w:val="00311853"/>
    <w:rsid w:val="00314A69"/>
    <w:rsid w:val="00314DFD"/>
    <w:rsid w:val="003176F1"/>
    <w:rsid w:val="00320222"/>
    <w:rsid w:val="00320D57"/>
    <w:rsid w:val="00321E8A"/>
    <w:rsid w:val="00332173"/>
    <w:rsid w:val="00334105"/>
    <w:rsid w:val="003347C8"/>
    <w:rsid w:val="00334852"/>
    <w:rsid w:val="003401E0"/>
    <w:rsid w:val="00340EDC"/>
    <w:rsid w:val="0034512D"/>
    <w:rsid w:val="003507A7"/>
    <w:rsid w:val="003509DE"/>
    <w:rsid w:val="003511A2"/>
    <w:rsid w:val="00352161"/>
    <w:rsid w:val="00352444"/>
    <w:rsid w:val="00352839"/>
    <w:rsid w:val="00352BA9"/>
    <w:rsid w:val="00360DC7"/>
    <w:rsid w:val="00363563"/>
    <w:rsid w:val="00363B61"/>
    <w:rsid w:val="0036795F"/>
    <w:rsid w:val="00370588"/>
    <w:rsid w:val="003707CA"/>
    <w:rsid w:val="003751BE"/>
    <w:rsid w:val="003776A4"/>
    <w:rsid w:val="0038081F"/>
    <w:rsid w:val="003812F9"/>
    <w:rsid w:val="00382B8E"/>
    <w:rsid w:val="00392F6A"/>
    <w:rsid w:val="00393A23"/>
    <w:rsid w:val="00394AF5"/>
    <w:rsid w:val="00394F8A"/>
    <w:rsid w:val="003957CE"/>
    <w:rsid w:val="00396CB9"/>
    <w:rsid w:val="003A27F3"/>
    <w:rsid w:val="003A42EF"/>
    <w:rsid w:val="003A48F9"/>
    <w:rsid w:val="003B0DC4"/>
    <w:rsid w:val="003B24BD"/>
    <w:rsid w:val="003B3FCA"/>
    <w:rsid w:val="003B62BB"/>
    <w:rsid w:val="003B6B2D"/>
    <w:rsid w:val="003B7333"/>
    <w:rsid w:val="003B75B7"/>
    <w:rsid w:val="003C0167"/>
    <w:rsid w:val="003C2FF7"/>
    <w:rsid w:val="003C344C"/>
    <w:rsid w:val="003C3EC5"/>
    <w:rsid w:val="003C5747"/>
    <w:rsid w:val="003C7162"/>
    <w:rsid w:val="003D0B85"/>
    <w:rsid w:val="003D0C1B"/>
    <w:rsid w:val="003D101C"/>
    <w:rsid w:val="003D10E4"/>
    <w:rsid w:val="003D3841"/>
    <w:rsid w:val="003D3B70"/>
    <w:rsid w:val="003D5381"/>
    <w:rsid w:val="003D56BE"/>
    <w:rsid w:val="003D7B11"/>
    <w:rsid w:val="003E08A8"/>
    <w:rsid w:val="003E1FCB"/>
    <w:rsid w:val="003E5930"/>
    <w:rsid w:val="003E6171"/>
    <w:rsid w:val="003E6C28"/>
    <w:rsid w:val="003F14B8"/>
    <w:rsid w:val="003F49F8"/>
    <w:rsid w:val="003F6150"/>
    <w:rsid w:val="00400326"/>
    <w:rsid w:val="00401F81"/>
    <w:rsid w:val="00407EDC"/>
    <w:rsid w:val="00407FF6"/>
    <w:rsid w:val="00410CFA"/>
    <w:rsid w:val="004124A5"/>
    <w:rsid w:val="004126A8"/>
    <w:rsid w:val="0041301A"/>
    <w:rsid w:val="00413857"/>
    <w:rsid w:val="004162B3"/>
    <w:rsid w:val="0042294F"/>
    <w:rsid w:val="00422BC1"/>
    <w:rsid w:val="00424439"/>
    <w:rsid w:val="00425A76"/>
    <w:rsid w:val="00426289"/>
    <w:rsid w:val="004336A1"/>
    <w:rsid w:val="00437B61"/>
    <w:rsid w:val="0044246A"/>
    <w:rsid w:val="00443625"/>
    <w:rsid w:val="0044384B"/>
    <w:rsid w:val="00444FB4"/>
    <w:rsid w:val="004452EF"/>
    <w:rsid w:val="0044591E"/>
    <w:rsid w:val="00446162"/>
    <w:rsid w:val="00454594"/>
    <w:rsid w:val="00455CE8"/>
    <w:rsid w:val="00456ACD"/>
    <w:rsid w:val="00457D02"/>
    <w:rsid w:val="00462486"/>
    <w:rsid w:val="004634CF"/>
    <w:rsid w:val="00463A37"/>
    <w:rsid w:val="00465A07"/>
    <w:rsid w:val="00466089"/>
    <w:rsid w:val="004669C2"/>
    <w:rsid w:val="00467D38"/>
    <w:rsid w:val="00472A88"/>
    <w:rsid w:val="0047394A"/>
    <w:rsid w:val="00474D3E"/>
    <w:rsid w:val="00476D23"/>
    <w:rsid w:val="00477A8C"/>
    <w:rsid w:val="00481C41"/>
    <w:rsid w:val="00481D3F"/>
    <w:rsid w:val="00482198"/>
    <w:rsid w:val="00484EF8"/>
    <w:rsid w:val="00485334"/>
    <w:rsid w:val="00485E15"/>
    <w:rsid w:val="004873BA"/>
    <w:rsid w:val="00487F48"/>
    <w:rsid w:val="00490C89"/>
    <w:rsid w:val="00490D66"/>
    <w:rsid w:val="00491BEA"/>
    <w:rsid w:val="00492E98"/>
    <w:rsid w:val="004940D5"/>
    <w:rsid w:val="0049552D"/>
    <w:rsid w:val="00495F3E"/>
    <w:rsid w:val="00496509"/>
    <w:rsid w:val="004A2196"/>
    <w:rsid w:val="004A2D3E"/>
    <w:rsid w:val="004A6D0D"/>
    <w:rsid w:val="004B5373"/>
    <w:rsid w:val="004B5872"/>
    <w:rsid w:val="004B658E"/>
    <w:rsid w:val="004C003D"/>
    <w:rsid w:val="004C0924"/>
    <w:rsid w:val="004C15CC"/>
    <w:rsid w:val="004C4748"/>
    <w:rsid w:val="004C523B"/>
    <w:rsid w:val="004C5558"/>
    <w:rsid w:val="004C5BA5"/>
    <w:rsid w:val="004D30EE"/>
    <w:rsid w:val="004D7214"/>
    <w:rsid w:val="004D7409"/>
    <w:rsid w:val="004D77C7"/>
    <w:rsid w:val="004E72E2"/>
    <w:rsid w:val="004F00FC"/>
    <w:rsid w:val="004F1990"/>
    <w:rsid w:val="00500ADF"/>
    <w:rsid w:val="00501EC8"/>
    <w:rsid w:val="00502555"/>
    <w:rsid w:val="00506541"/>
    <w:rsid w:val="00510C73"/>
    <w:rsid w:val="0051233C"/>
    <w:rsid w:val="00512475"/>
    <w:rsid w:val="005125B7"/>
    <w:rsid w:val="00521083"/>
    <w:rsid w:val="00522922"/>
    <w:rsid w:val="00522FAB"/>
    <w:rsid w:val="00525580"/>
    <w:rsid w:val="00527E5F"/>
    <w:rsid w:val="00527E9F"/>
    <w:rsid w:val="00530B41"/>
    <w:rsid w:val="0053331B"/>
    <w:rsid w:val="005337C8"/>
    <w:rsid w:val="005375FC"/>
    <w:rsid w:val="00537DF4"/>
    <w:rsid w:val="00540DA2"/>
    <w:rsid w:val="0054194E"/>
    <w:rsid w:val="00544F94"/>
    <w:rsid w:val="00545478"/>
    <w:rsid w:val="00545919"/>
    <w:rsid w:val="005461F1"/>
    <w:rsid w:val="00546370"/>
    <w:rsid w:val="00551545"/>
    <w:rsid w:val="005520FB"/>
    <w:rsid w:val="005533CE"/>
    <w:rsid w:val="005567F3"/>
    <w:rsid w:val="00560848"/>
    <w:rsid w:val="00560A34"/>
    <w:rsid w:val="005615AA"/>
    <w:rsid w:val="005633A9"/>
    <w:rsid w:val="00564DF7"/>
    <w:rsid w:val="00565635"/>
    <w:rsid w:val="0056786F"/>
    <w:rsid w:val="00567D4D"/>
    <w:rsid w:val="005745E7"/>
    <w:rsid w:val="00575CAA"/>
    <w:rsid w:val="00576130"/>
    <w:rsid w:val="00576861"/>
    <w:rsid w:val="00576D6A"/>
    <w:rsid w:val="00581062"/>
    <w:rsid w:val="0058132C"/>
    <w:rsid w:val="00581EDE"/>
    <w:rsid w:val="0058265C"/>
    <w:rsid w:val="005847B2"/>
    <w:rsid w:val="00585B5E"/>
    <w:rsid w:val="00587293"/>
    <w:rsid w:val="00587DCC"/>
    <w:rsid w:val="00590838"/>
    <w:rsid w:val="005917DC"/>
    <w:rsid w:val="00592764"/>
    <w:rsid w:val="00594FBE"/>
    <w:rsid w:val="005A154D"/>
    <w:rsid w:val="005A1CED"/>
    <w:rsid w:val="005A7019"/>
    <w:rsid w:val="005A7759"/>
    <w:rsid w:val="005B4B0B"/>
    <w:rsid w:val="005C096F"/>
    <w:rsid w:val="005C1939"/>
    <w:rsid w:val="005C2FAE"/>
    <w:rsid w:val="005C4568"/>
    <w:rsid w:val="005D1E99"/>
    <w:rsid w:val="005D6D1B"/>
    <w:rsid w:val="005E0686"/>
    <w:rsid w:val="005E09B7"/>
    <w:rsid w:val="005E139B"/>
    <w:rsid w:val="005E6492"/>
    <w:rsid w:val="005E6EA5"/>
    <w:rsid w:val="005E71D4"/>
    <w:rsid w:val="005E7770"/>
    <w:rsid w:val="005E79DF"/>
    <w:rsid w:val="005F3A2D"/>
    <w:rsid w:val="005F419E"/>
    <w:rsid w:val="005F4633"/>
    <w:rsid w:val="005F5358"/>
    <w:rsid w:val="005F5BAF"/>
    <w:rsid w:val="005F5FEF"/>
    <w:rsid w:val="005F6090"/>
    <w:rsid w:val="005F7232"/>
    <w:rsid w:val="00600B5A"/>
    <w:rsid w:val="00602D80"/>
    <w:rsid w:val="0060544B"/>
    <w:rsid w:val="00607DB7"/>
    <w:rsid w:val="006114CE"/>
    <w:rsid w:val="0061694B"/>
    <w:rsid w:val="00622873"/>
    <w:rsid w:val="00622C89"/>
    <w:rsid w:val="00625D0E"/>
    <w:rsid w:val="00630BF5"/>
    <w:rsid w:val="00631552"/>
    <w:rsid w:val="00633595"/>
    <w:rsid w:val="0063426B"/>
    <w:rsid w:val="00634849"/>
    <w:rsid w:val="00634A03"/>
    <w:rsid w:val="00636264"/>
    <w:rsid w:val="00636683"/>
    <w:rsid w:val="00636A7D"/>
    <w:rsid w:val="006400B6"/>
    <w:rsid w:val="006421FE"/>
    <w:rsid w:val="00642737"/>
    <w:rsid w:val="006447DD"/>
    <w:rsid w:val="00644871"/>
    <w:rsid w:val="00645848"/>
    <w:rsid w:val="00645A3E"/>
    <w:rsid w:val="00647BBD"/>
    <w:rsid w:val="006524A6"/>
    <w:rsid w:val="00655E5D"/>
    <w:rsid w:val="0065643A"/>
    <w:rsid w:val="00662C0C"/>
    <w:rsid w:val="00663580"/>
    <w:rsid w:val="006637FD"/>
    <w:rsid w:val="006638FC"/>
    <w:rsid w:val="006655F3"/>
    <w:rsid w:val="00667A3B"/>
    <w:rsid w:val="00671398"/>
    <w:rsid w:val="00672029"/>
    <w:rsid w:val="006723F9"/>
    <w:rsid w:val="00672C50"/>
    <w:rsid w:val="00675319"/>
    <w:rsid w:val="00675D0B"/>
    <w:rsid w:val="0067777E"/>
    <w:rsid w:val="00680568"/>
    <w:rsid w:val="00682069"/>
    <w:rsid w:val="00683A36"/>
    <w:rsid w:val="00684281"/>
    <w:rsid w:val="00685069"/>
    <w:rsid w:val="006860A7"/>
    <w:rsid w:val="006912C6"/>
    <w:rsid w:val="00691AD8"/>
    <w:rsid w:val="00692EC5"/>
    <w:rsid w:val="00693229"/>
    <w:rsid w:val="0069352E"/>
    <w:rsid w:val="00693AD1"/>
    <w:rsid w:val="006950A8"/>
    <w:rsid w:val="00695476"/>
    <w:rsid w:val="006A3BE3"/>
    <w:rsid w:val="006A438F"/>
    <w:rsid w:val="006B037C"/>
    <w:rsid w:val="006B04D3"/>
    <w:rsid w:val="006B0686"/>
    <w:rsid w:val="006B2F27"/>
    <w:rsid w:val="006B3779"/>
    <w:rsid w:val="006B4587"/>
    <w:rsid w:val="006B5E77"/>
    <w:rsid w:val="006B6EB6"/>
    <w:rsid w:val="006B7DF6"/>
    <w:rsid w:val="006C2D3C"/>
    <w:rsid w:val="006C2DD1"/>
    <w:rsid w:val="006C31A9"/>
    <w:rsid w:val="006C3968"/>
    <w:rsid w:val="006C435D"/>
    <w:rsid w:val="006C46E5"/>
    <w:rsid w:val="006C4D6F"/>
    <w:rsid w:val="006C785D"/>
    <w:rsid w:val="006C7D2D"/>
    <w:rsid w:val="006D09CF"/>
    <w:rsid w:val="006D3746"/>
    <w:rsid w:val="006D3925"/>
    <w:rsid w:val="006D3F7D"/>
    <w:rsid w:val="006D6208"/>
    <w:rsid w:val="006E040E"/>
    <w:rsid w:val="006E0B32"/>
    <w:rsid w:val="006F067A"/>
    <w:rsid w:val="006F152E"/>
    <w:rsid w:val="006F1C6D"/>
    <w:rsid w:val="006F255D"/>
    <w:rsid w:val="006F3ED0"/>
    <w:rsid w:val="006F4834"/>
    <w:rsid w:val="006F5416"/>
    <w:rsid w:val="006F5F53"/>
    <w:rsid w:val="006F6F98"/>
    <w:rsid w:val="006F7929"/>
    <w:rsid w:val="00702ED8"/>
    <w:rsid w:val="007037FC"/>
    <w:rsid w:val="00705A07"/>
    <w:rsid w:val="00712DC1"/>
    <w:rsid w:val="00714DBB"/>
    <w:rsid w:val="00715E21"/>
    <w:rsid w:val="00717291"/>
    <w:rsid w:val="00717D18"/>
    <w:rsid w:val="00721D46"/>
    <w:rsid w:val="00723EF8"/>
    <w:rsid w:val="00724E09"/>
    <w:rsid w:val="00725F00"/>
    <w:rsid w:val="00726185"/>
    <w:rsid w:val="00726392"/>
    <w:rsid w:val="00726F41"/>
    <w:rsid w:val="0073457F"/>
    <w:rsid w:val="00734CAD"/>
    <w:rsid w:val="007358C1"/>
    <w:rsid w:val="00737958"/>
    <w:rsid w:val="007411C6"/>
    <w:rsid w:val="00744514"/>
    <w:rsid w:val="00745CD1"/>
    <w:rsid w:val="00746049"/>
    <w:rsid w:val="00747433"/>
    <w:rsid w:val="007535C3"/>
    <w:rsid w:val="00753D75"/>
    <w:rsid w:val="00754C18"/>
    <w:rsid w:val="00754C9B"/>
    <w:rsid w:val="0076103A"/>
    <w:rsid w:val="00762852"/>
    <w:rsid w:val="007632DC"/>
    <w:rsid w:val="007633A4"/>
    <w:rsid w:val="00763644"/>
    <w:rsid w:val="00766950"/>
    <w:rsid w:val="007669CF"/>
    <w:rsid w:val="007670BD"/>
    <w:rsid w:val="00774E67"/>
    <w:rsid w:val="0077645F"/>
    <w:rsid w:val="007776D3"/>
    <w:rsid w:val="00781150"/>
    <w:rsid w:val="00781C09"/>
    <w:rsid w:val="007820C4"/>
    <w:rsid w:val="00782B47"/>
    <w:rsid w:val="0078359A"/>
    <w:rsid w:val="007850DF"/>
    <w:rsid w:val="00787ECC"/>
    <w:rsid w:val="0079018F"/>
    <w:rsid w:val="0079059E"/>
    <w:rsid w:val="00792F89"/>
    <w:rsid w:val="00793F54"/>
    <w:rsid w:val="00796255"/>
    <w:rsid w:val="00797815"/>
    <w:rsid w:val="007A0CF5"/>
    <w:rsid w:val="007A226C"/>
    <w:rsid w:val="007A2AE5"/>
    <w:rsid w:val="007A34E0"/>
    <w:rsid w:val="007A375C"/>
    <w:rsid w:val="007B0921"/>
    <w:rsid w:val="007B1F4E"/>
    <w:rsid w:val="007B39D0"/>
    <w:rsid w:val="007B5DF9"/>
    <w:rsid w:val="007B6DC0"/>
    <w:rsid w:val="007B73C1"/>
    <w:rsid w:val="007C0C76"/>
    <w:rsid w:val="007C0C77"/>
    <w:rsid w:val="007C64BF"/>
    <w:rsid w:val="007C6A6D"/>
    <w:rsid w:val="007D1B8B"/>
    <w:rsid w:val="007D2685"/>
    <w:rsid w:val="007D2DEC"/>
    <w:rsid w:val="007D46A3"/>
    <w:rsid w:val="007D6E98"/>
    <w:rsid w:val="007E0150"/>
    <w:rsid w:val="007E1153"/>
    <w:rsid w:val="007E1B7B"/>
    <w:rsid w:val="007E51CE"/>
    <w:rsid w:val="007E7461"/>
    <w:rsid w:val="007F1CBB"/>
    <w:rsid w:val="007F2143"/>
    <w:rsid w:val="007F2361"/>
    <w:rsid w:val="007F27AF"/>
    <w:rsid w:val="007F3A1D"/>
    <w:rsid w:val="00802267"/>
    <w:rsid w:val="008070E8"/>
    <w:rsid w:val="008078BB"/>
    <w:rsid w:val="00810527"/>
    <w:rsid w:val="00810A06"/>
    <w:rsid w:val="00814EAD"/>
    <w:rsid w:val="00816653"/>
    <w:rsid w:val="00821E34"/>
    <w:rsid w:val="00822D07"/>
    <w:rsid w:val="00824FB7"/>
    <w:rsid w:val="00826D10"/>
    <w:rsid w:val="008271E0"/>
    <w:rsid w:val="008309EB"/>
    <w:rsid w:val="00832B7C"/>
    <w:rsid w:val="00833A58"/>
    <w:rsid w:val="008356A7"/>
    <w:rsid w:val="00836A2E"/>
    <w:rsid w:val="00836A6C"/>
    <w:rsid w:val="00837489"/>
    <w:rsid w:val="0084044A"/>
    <w:rsid w:val="0084178B"/>
    <w:rsid w:val="0084420A"/>
    <w:rsid w:val="0084470B"/>
    <w:rsid w:val="008448FD"/>
    <w:rsid w:val="0084721E"/>
    <w:rsid w:val="00851698"/>
    <w:rsid w:val="00852D91"/>
    <w:rsid w:val="0085433F"/>
    <w:rsid w:val="0085713E"/>
    <w:rsid w:val="00860157"/>
    <w:rsid w:val="008623FF"/>
    <w:rsid w:val="00862602"/>
    <w:rsid w:val="00862BEF"/>
    <w:rsid w:val="00866E86"/>
    <w:rsid w:val="00872710"/>
    <w:rsid w:val="00873AC6"/>
    <w:rsid w:val="0087639E"/>
    <w:rsid w:val="00882CC5"/>
    <w:rsid w:val="00883411"/>
    <w:rsid w:val="008835AC"/>
    <w:rsid w:val="008843B3"/>
    <w:rsid w:val="00885C57"/>
    <w:rsid w:val="00886CB2"/>
    <w:rsid w:val="00890B2F"/>
    <w:rsid w:val="008922A7"/>
    <w:rsid w:val="00892701"/>
    <w:rsid w:val="008927A8"/>
    <w:rsid w:val="00892C15"/>
    <w:rsid w:val="008948E1"/>
    <w:rsid w:val="008959FC"/>
    <w:rsid w:val="00895D18"/>
    <w:rsid w:val="008A1A3E"/>
    <w:rsid w:val="008A451F"/>
    <w:rsid w:val="008A45F7"/>
    <w:rsid w:val="008A50EA"/>
    <w:rsid w:val="008A6A36"/>
    <w:rsid w:val="008A7790"/>
    <w:rsid w:val="008B02BC"/>
    <w:rsid w:val="008B1015"/>
    <w:rsid w:val="008B135E"/>
    <w:rsid w:val="008B266C"/>
    <w:rsid w:val="008B3DD7"/>
    <w:rsid w:val="008B3F4D"/>
    <w:rsid w:val="008B7099"/>
    <w:rsid w:val="008B7FB3"/>
    <w:rsid w:val="008C0894"/>
    <w:rsid w:val="008C1584"/>
    <w:rsid w:val="008C463B"/>
    <w:rsid w:val="008C635E"/>
    <w:rsid w:val="008D33E7"/>
    <w:rsid w:val="008D3960"/>
    <w:rsid w:val="008D4878"/>
    <w:rsid w:val="008D7DE3"/>
    <w:rsid w:val="008D7ECC"/>
    <w:rsid w:val="008E1577"/>
    <w:rsid w:val="008E2FA6"/>
    <w:rsid w:val="008E3C70"/>
    <w:rsid w:val="008E435C"/>
    <w:rsid w:val="008E4AEA"/>
    <w:rsid w:val="008E50A3"/>
    <w:rsid w:val="008E5195"/>
    <w:rsid w:val="008E695A"/>
    <w:rsid w:val="008F28BE"/>
    <w:rsid w:val="008F3C4E"/>
    <w:rsid w:val="008F4070"/>
    <w:rsid w:val="00901314"/>
    <w:rsid w:val="00904849"/>
    <w:rsid w:val="0090614E"/>
    <w:rsid w:val="009100CE"/>
    <w:rsid w:val="0091359B"/>
    <w:rsid w:val="00913F4E"/>
    <w:rsid w:val="00914371"/>
    <w:rsid w:val="00914A16"/>
    <w:rsid w:val="00924F7C"/>
    <w:rsid w:val="00927322"/>
    <w:rsid w:val="00930A51"/>
    <w:rsid w:val="00932B98"/>
    <w:rsid w:val="009376B8"/>
    <w:rsid w:val="00944A72"/>
    <w:rsid w:val="00952997"/>
    <w:rsid w:val="00952D7F"/>
    <w:rsid w:val="00953B2A"/>
    <w:rsid w:val="00954716"/>
    <w:rsid w:val="00957FAD"/>
    <w:rsid w:val="009609FD"/>
    <w:rsid w:val="00961F38"/>
    <w:rsid w:val="009643F3"/>
    <w:rsid w:val="00964E47"/>
    <w:rsid w:val="00965128"/>
    <w:rsid w:val="009710E2"/>
    <w:rsid w:val="00976C93"/>
    <w:rsid w:val="00980200"/>
    <w:rsid w:val="00980503"/>
    <w:rsid w:val="009837AC"/>
    <w:rsid w:val="009847C6"/>
    <w:rsid w:val="009848A2"/>
    <w:rsid w:val="00984F65"/>
    <w:rsid w:val="009901F3"/>
    <w:rsid w:val="009902F6"/>
    <w:rsid w:val="0099151A"/>
    <w:rsid w:val="00992632"/>
    <w:rsid w:val="009960AC"/>
    <w:rsid w:val="00997792"/>
    <w:rsid w:val="009A0537"/>
    <w:rsid w:val="009A09FF"/>
    <w:rsid w:val="009A1E8C"/>
    <w:rsid w:val="009A1FAF"/>
    <w:rsid w:val="009A2F44"/>
    <w:rsid w:val="009A307F"/>
    <w:rsid w:val="009A38A6"/>
    <w:rsid w:val="009A4C4F"/>
    <w:rsid w:val="009A59AD"/>
    <w:rsid w:val="009B1D59"/>
    <w:rsid w:val="009B6D55"/>
    <w:rsid w:val="009B72E0"/>
    <w:rsid w:val="009C2060"/>
    <w:rsid w:val="009C2857"/>
    <w:rsid w:val="009C3D2F"/>
    <w:rsid w:val="009C7BCA"/>
    <w:rsid w:val="009D1835"/>
    <w:rsid w:val="009D2B83"/>
    <w:rsid w:val="009D43A0"/>
    <w:rsid w:val="009D529D"/>
    <w:rsid w:val="009D5504"/>
    <w:rsid w:val="009D65DD"/>
    <w:rsid w:val="009E29F6"/>
    <w:rsid w:val="009E427A"/>
    <w:rsid w:val="009E48B2"/>
    <w:rsid w:val="009F061A"/>
    <w:rsid w:val="009F09F1"/>
    <w:rsid w:val="009F1124"/>
    <w:rsid w:val="009F18AB"/>
    <w:rsid w:val="009F2C3C"/>
    <w:rsid w:val="009F3080"/>
    <w:rsid w:val="009F4BC4"/>
    <w:rsid w:val="009F4DE7"/>
    <w:rsid w:val="00A00CE9"/>
    <w:rsid w:val="00A012DE"/>
    <w:rsid w:val="00A0160D"/>
    <w:rsid w:val="00A03638"/>
    <w:rsid w:val="00A036A3"/>
    <w:rsid w:val="00A0476B"/>
    <w:rsid w:val="00A069D0"/>
    <w:rsid w:val="00A07F75"/>
    <w:rsid w:val="00A1078A"/>
    <w:rsid w:val="00A118F9"/>
    <w:rsid w:val="00A121FF"/>
    <w:rsid w:val="00A12E8B"/>
    <w:rsid w:val="00A1589E"/>
    <w:rsid w:val="00A1752D"/>
    <w:rsid w:val="00A20483"/>
    <w:rsid w:val="00A21246"/>
    <w:rsid w:val="00A217C4"/>
    <w:rsid w:val="00A2230B"/>
    <w:rsid w:val="00A26229"/>
    <w:rsid w:val="00A26C76"/>
    <w:rsid w:val="00A27943"/>
    <w:rsid w:val="00A344D5"/>
    <w:rsid w:val="00A355B1"/>
    <w:rsid w:val="00A400AC"/>
    <w:rsid w:val="00A40317"/>
    <w:rsid w:val="00A405C5"/>
    <w:rsid w:val="00A40C65"/>
    <w:rsid w:val="00A41547"/>
    <w:rsid w:val="00A4307C"/>
    <w:rsid w:val="00A44BFC"/>
    <w:rsid w:val="00A4620F"/>
    <w:rsid w:val="00A53F8E"/>
    <w:rsid w:val="00A5544C"/>
    <w:rsid w:val="00A55E9E"/>
    <w:rsid w:val="00A60201"/>
    <w:rsid w:val="00A61550"/>
    <w:rsid w:val="00A62030"/>
    <w:rsid w:val="00A63E81"/>
    <w:rsid w:val="00A66834"/>
    <w:rsid w:val="00A702F8"/>
    <w:rsid w:val="00A71132"/>
    <w:rsid w:val="00A74D16"/>
    <w:rsid w:val="00A75D8A"/>
    <w:rsid w:val="00A77C34"/>
    <w:rsid w:val="00A77F11"/>
    <w:rsid w:val="00A80F08"/>
    <w:rsid w:val="00A813D5"/>
    <w:rsid w:val="00A90B30"/>
    <w:rsid w:val="00A92293"/>
    <w:rsid w:val="00A9241B"/>
    <w:rsid w:val="00A9306E"/>
    <w:rsid w:val="00A9317D"/>
    <w:rsid w:val="00AA0CAF"/>
    <w:rsid w:val="00AA3737"/>
    <w:rsid w:val="00AA582A"/>
    <w:rsid w:val="00AA5866"/>
    <w:rsid w:val="00AA6A62"/>
    <w:rsid w:val="00AA7EAB"/>
    <w:rsid w:val="00AB036B"/>
    <w:rsid w:val="00AB398E"/>
    <w:rsid w:val="00AB4381"/>
    <w:rsid w:val="00AB5E15"/>
    <w:rsid w:val="00AB735C"/>
    <w:rsid w:val="00AC0260"/>
    <w:rsid w:val="00AC09D2"/>
    <w:rsid w:val="00AC1AE1"/>
    <w:rsid w:val="00AC2245"/>
    <w:rsid w:val="00AC2C71"/>
    <w:rsid w:val="00AC39AA"/>
    <w:rsid w:val="00AC3A75"/>
    <w:rsid w:val="00AC3EC9"/>
    <w:rsid w:val="00AD1012"/>
    <w:rsid w:val="00AD1B46"/>
    <w:rsid w:val="00AD282E"/>
    <w:rsid w:val="00AD323C"/>
    <w:rsid w:val="00AD49BC"/>
    <w:rsid w:val="00AD7BD8"/>
    <w:rsid w:val="00AE0E6D"/>
    <w:rsid w:val="00AE1BE1"/>
    <w:rsid w:val="00AE3471"/>
    <w:rsid w:val="00AE4AD6"/>
    <w:rsid w:val="00AF0933"/>
    <w:rsid w:val="00AF53EB"/>
    <w:rsid w:val="00B00EAC"/>
    <w:rsid w:val="00B011AC"/>
    <w:rsid w:val="00B022A7"/>
    <w:rsid w:val="00B050B5"/>
    <w:rsid w:val="00B06C0E"/>
    <w:rsid w:val="00B07D70"/>
    <w:rsid w:val="00B10E93"/>
    <w:rsid w:val="00B17D43"/>
    <w:rsid w:val="00B21974"/>
    <w:rsid w:val="00B22564"/>
    <w:rsid w:val="00B22712"/>
    <w:rsid w:val="00B22ABE"/>
    <w:rsid w:val="00B24E61"/>
    <w:rsid w:val="00B24E89"/>
    <w:rsid w:val="00B24EE3"/>
    <w:rsid w:val="00B33E4B"/>
    <w:rsid w:val="00B3586D"/>
    <w:rsid w:val="00B3728C"/>
    <w:rsid w:val="00B40B24"/>
    <w:rsid w:val="00B4248E"/>
    <w:rsid w:val="00B47364"/>
    <w:rsid w:val="00B52C78"/>
    <w:rsid w:val="00B53340"/>
    <w:rsid w:val="00B540DD"/>
    <w:rsid w:val="00B54185"/>
    <w:rsid w:val="00B54CA2"/>
    <w:rsid w:val="00B5651D"/>
    <w:rsid w:val="00B6017A"/>
    <w:rsid w:val="00B63DE1"/>
    <w:rsid w:val="00B70EC6"/>
    <w:rsid w:val="00B7685C"/>
    <w:rsid w:val="00B870F0"/>
    <w:rsid w:val="00B87197"/>
    <w:rsid w:val="00B90345"/>
    <w:rsid w:val="00B90B0E"/>
    <w:rsid w:val="00B90B36"/>
    <w:rsid w:val="00B90F30"/>
    <w:rsid w:val="00B9330E"/>
    <w:rsid w:val="00B94DEC"/>
    <w:rsid w:val="00B96739"/>
    <w:rsid w:val="00B971BC"/>
    <w:rsid w:val="00BA237C"/>
    <w:rsid w:val="00BA2707"/>
    <w:rsid w:val="00BA3279"/>
    <w:rsid w:val="00BA38ED"/>
    <w:rsid w:val="00BA5B31"/>
    <w:rsid w:val="00BA6A7E"/>
    <w:rsid w:val="00BB14CC"/>
    <w:rsid w:val="00BB2079"/>
    <w:rsid w:val="00BB2CBA"/>
    <w:rsid w:val="00BB2F30"/>
    <w:rsid w:val="00BB46FB"/>
    <w:rsid w:val="00BB56F3"/>
    <w:rsid w:val="00BC133C"/>
    <w:rsid w:val="00BC393C"/>
    <w:rsid w:val="00BC4728"/>
    <w:rsid w:val="00BC7789"/>
    <w:rsid w:val="00BD114C"/>
    <w:rsid w:val="00BD1569"/>
    <w:rsid w:val="00BD2722"/>
    <w:rsid w:val="00BD2DCD"/>
    <w:rsid w:val="00BD3F01"/>
    <w:rsid w:val="00BD515E"/>
    <w:rsid w:val="00BD527B"/>
    <w:rsid w:val="00BD597C"/>
    <w:rsid w:val="00BD7A2B"/>
    <w:rsid w:val="00BE0272"/>
    <w:rsid w:val="00BE3AF4"/>
    <w:rsid w:val="00BE5DB0"/>
    <w:rsid w:val="00BE63F0"/>
    <w:rsid w:val="00BE669E"/>
    <w:rsid w:val="00BE7CF1"/>
    <w:rsid w:val="00BF0B03"/>
    <w:rsid w:val="00BF1F85"/>
    <w:rsid w:val="00BF2A56"/>
    <w:rsid w:val="00C00036"/>
    <w:rsid w:val="00C001CD"/>
    <w:rsid w:val="00C001DC"/>
    <w:rsid w:val="00C010A7"/>
    <w:rsid w:val="00C02F39"/>
    <w:rsid w:val="00C0346E"/>
    <w:rsid w:val="00C05575"/>
    <w:rsid w:val="00C1003A"/>
    <w:rsid w:val="00C112A5"/>
    <w:rsid w:val="00C1304A"/>
    <w:rsid w:val="00C13A55"/>
    <w:rsid w:val="00C13A5E"/>
    <w:rsid w:val="00C14EA1"/>
    <w:rsid w:val="00C153BF"/>
    <w:rsid w:val="00C16344"/>
    <w:rsid w:val="00C171A9"/>
    <w:rsid w:val="00C201C8"/>
    <w:rsid w:val="00C22664"/>
    <w:rsid w:val="00C2349F"/>
    <w:rsid w:val="00C23F25"/>
    <w:rsid w:val="00C25A15"/>
    <w:rsid w:val="00C26026"/>
    <w:rsid w:val="00C26650"/>
    <w:rsid w:val="00C3000B"/>
    <w:rsid w:val="00C30DC0"/>
    <w:rsid w:val="00C312D2"/>
    <w:rsid w:val="00C31F5B"/>
    <w:rsid w:val="00C32422"/>
    <w:rsid w:val="00C32AAE"/>
    <w:rsid w:val="00C33665"/>
    <w:rsid w:val="00C33883"/>
    <w:rsid w:val="00C34965"/>
    <w:rsid w:val="00C35124"/>
    <w:rsid w:val="00C364B1"/>
    <w:rsid w:val="00C442DD"/>
    <w:rsid w:val="00C4561C"/>
    <w:rsid w:val="00C462A0"/>
    <w:rsid w:val="00C46AA3"/>
    <w:rsid w:val="00C46EFC"/>
    <w:rsid w:val="00C50E5C"/>
    <w:rsid w:val="00C51547"/>
    <w:rsid w:val="00C51C4C"/>
    <w:rsid w:val="00C53BD6"/>
    <w:rsid w:val="00C5512D"/>
    <w:rsid w:val="00C55DE2"/>
    <w:rsid w:val="00C63FC6"/>
    <w:rsid w:val="00C6675F"/>
    <w:rsid w:val="00C6769A"/>
    <w:rsid w:val="00C70BAA"/>
    <w:rsid w:val="00C7126A"/>
    <w:rsid w:val="00C72614"/>
    <w:rsid w:val="00C728D0"/>
    <w:rsid w:val="00C733B6"/>
    <w:rsid w:val="00C74B36"/>
    <w:rsid w:val="00C74C27"/>
    <w:rsid w:val="00C74C8F"/>
    <w:rsid w:val="00C75CA3"/>
    <w:rsid w:val="00C7722B"/>
    <w:rsid w:val="00C80711"/>
    <w:rsid w:val="00C80721"/>
    <w:rsid w:val="00C814B5"/>
    <w:rsid w:val="00C81C16"/>
    <w:rsid w:val="00C8438E"/>
    <w:rsid w:val="00C86E56"/>
    <w:rsid w:val="00C901BC"/>
    <w:rsid w:val="00C91578"/>
    <w:rsid w:val="00C92D7E"/>
    <w:rsid w:val="00C956E0"/>
    <w:rsid w:val="00C96289"/>
    <w:rsid w:val="00CA1630"/>
    <w:rsid w:val="00CA462A"/>
    <w:rsid w:val="00CA67D1"/>
    <w:rsid w:val="00CA70C0"/>
    <w:rsid w:val="00CB4186"/>
    <w:rsid w:val="00CB4E07"/>
    <w:rsid w:val="00CB5665"/>
    <w:rsid w:val="00CC109A"/>
    <w:rsid w:val="00CC1E91"/>
    <w:rsid w:val="00CC4704"/>
    <w:rsid w:val="00CC7AC4"/>
    <w:rsid w:val="00CD0879"/>
    <w:rsid w:val="00CD0EF4"/>
    <w:rsid w:val="00CD2436"/>
    <w:rsid w:val="00CD3393"/>
    <w:rsid w:val="00CD4EA1"/>
    <w:rsid w:val="00CD55A1"/>
    <w:rsid w:val="00CD5805"/>
    <w:rsid w:val="00CD6D0F"/>
    <w:rsid w:val="00CD7B5C"/>
    <w:rsid w:val="00CE091C"/>
    <w:rsid w:val="00CE4D97"/>
    <w:rsid w:val="00CE4F5A"/>
    <w:rsid w:val="00CF0595"/>
    <w:rsid w:val="00CF1535"/>
    <w:rsid w:val="00CF483B"/>
    <w:rsid w:val="00CF4EF2"/>
    <w:rsid w:val="00CF6737"/>
    <w:rsid w:val="00D01B00"/>
    <w:rsid w:val="00D02B08"/>
    <w:rsid w:val="00D04D95"/>
    <w:rsid w:val="00D058E8"/>
    <w:rsid w:val="00D05DFE"/>
    <w:rsid w:val="00D071A4"/>
    <w:rsid w:val="00D11AEA"/>
    <w:rsid w:val="00D15AED"/>
    <w:rsid w:val="00D15E69"/>
    <w:rsid w:val="00D1634A"/>
    <w:rsid w:val="00D17C45"/>
    <w:rsid w:val="00D17C97"/>
    <w:rsid w:val="00D20555"/>
    <w:rsid w:val="00D2389F"/>
    <w:rsid w:val="00D2444B"/>
    <w:rsid w:val="00D2467C"/>
    <w:rsid w:val="00D33B29"/>
    <w:rsid w:val="00D34CA4"/>
    <w:rsid w:val="00D36B4E"/>
    <w:rsid w:val="00D373D1"/>
    <w:rsid w:val="00D41B1B"/>
    <w:rsid w:val="00D4368C"/>
    <w:rsid w:val="00D441DE"/>
    <w:rsid w:val="00D461CB"/>
    <w:rsid w:val="00D46564"/>
    <w:rsid w:val="00D46DDA"/>
    <w:rsid w:val="00D475B0"/>
    <w:rsid w:val="00D51389"/>
    <w:rsid w:val="00D5438A"/>
    <w:rsid w:val="00D54916"/>
    <w:rsid w:val="00D5496E"/>
    <w:rsid w:val="00D640DC"/>
    <w:rsid w:val="00D67483"/>
    <w:rsid w:val="00D7228B"/>
    <w:rsid w:val="00D734FD"/>
    <w:rsid w:val="00D75DB0"/>
    <w:rsid w:val="00D76877"/>
    <w:rsid w:val="00D770B7"/>
    <w:rsid w:val="00D772E3"/>
    <w:rsid w:val="00D84AA9"/>
    <w:rsid w:val="00D84EB4"/>
    <w:rsid w:val="00D86380"/>
    <w:rsid w:val="00D87C6F"/>
    <w:rsid w:val="00D91048"/>
    <w:rsid w:val="00D9186F"/>
    <w:rsid w:val="00D9398C"/>
    <w:rsid w:val="00D946DE"/>
    <w:rsid w:val="00D96940"/>
    <w:rsid w:val="00D97458"/>
    <w:rsid w:val="00DA2DF3"/>
    <w:rsid w:val="00DA37E4"/>
    <w:rsid w:val="00DA6530"/>
    <w:rsid w:val="00DA6B7D"/>
    <w:rsid w:val="00DB0FCB"/>
    <w:rsid w:val="00DB1449"/>
    <w:rsid w:val="00DB1573"/>
    <w:rsid w:val="00DB1DB5"/>
    <w:rsid w:val="00DB286A"/>
    <w:rsid w:val="00DB5E37"/>
    <w:rsid w:val="00DB6C66"/>
    <w:rsid w:val="00DC2A35"/>
    <w:rsid w:val="00DC2B44"/>
    <w:rsid w:val="00DC3B80"/>
    <w:rsid w:val="00DC4B1E"/>
    <w:rsid w:val="00DC5EBD"/>
    <w:rsid w:val="00DC6D4B"/>
    <w:rsid w:val="00DC6E05"/>
    <w:rsid w:val="00DC7E68"/>
    <w:rsid w:val="00DD4306"/>
    <w:rsid w:val="00DD4E0E"/>
    <w:rsid w:val="00DE45E7"/>
    <w:rsid w:val="00DE48A0"/>
    <w:rsid w:val="00DE5CA1"/>
    <w:rsid w:val="00DE74F7"/>
    <w:rsid w:val="00DF1982"/>
    <w:rsid w:val="00DF72EC"/>
    <w:rsid w:val="00DF73F9"/>
    <w:rsid w:val="00DF7836"/>
    <w:rsid w:val="00DF79E1"/>
    <w:rsid w:val="00E01217"/>
    <w:rsid w:val="00E015E8"/>
    <w:rsid w:val="00E033BE"/>
    <w:rsid w:val="00E05F1F"/>
    <w:rsid w:val="00E062DA"/>
    <w:rsid w:val="00E069BF"/>
    <w:rsid w:val="00E124D5"/>
    <w:rsid w:val="00E1364F"/>
    <w:rsid w:val="00E13905"/>
    <w:rsid w:val="00E149D5"/>
    <w:rsid w:val="00E20103"/>
    <w:rsid w:val="00E21915"/>
    <w:rsid w:val="00E24F1A"/>
    <w:rsid w:val="00E26394"/>
    <w:rsid w:val="00E27281"/>
    <w:rsid w:val="00E4280A"/>
    <w:rsid w:val="00E461CE"/>
    <w:rsid w:val="00E46B8C"/>
    <w:rsid w:val="00E47759"/>
    <w:rsid w:val="00E50061"/>
    <w:rsid w:val="00E50A74"/>
    <w:rsid w:val="00E50D1D"/>
    <w:rsid w:val="00E51A4D"/>
    <w:rsid w:val="00E5297E"/>
    <w:rsid w:val="00E52F63"/>
    <w:rsid w:val="00E54DAC"/>
    <w:rsid w:val="00E62BA1"/>
    <w:rsid w:val="00E62E1D"/>
    <w:rsid w:val="00E63C12"/>
    <w:rsid w:val="00E657D2"/>
    <w:rsid w:val="00E65F04"/>
    <w:rsid w:val="00E66849"/>
    <w:rsid w:val="00E71365"/>
    <w:rsid w:val="00E71F48"/>
    <w:rsid w:val="00E727D1"/>
    <w:rsid w:val="00E72B2F"/>
    <w:rsid w:val="00E73D24"/>
    <w:rsid w:val="00E80A5E"/>
    <w:rsid w:val="00E8338E"/>
    <w:rsid w:val="00E842EF"/>
    <w:rsid w:val="00E84468"/>
    <w:rsid w:val="00E84AD2"/>
    <w:rsid w:val="00E84C4F"/>
    <w:rsid w:val="00E87A11"/>
    <w:rsid w:val="00E9117A"/>
    <w:rsid w:val="00E9305F"/>
    <w:rsid w:val="00EA535A"/>
    <w:rsid w:val="00EB5081"/>
    <w:rsid w:val="00EB5DA0"/>
    <w:rsid w:val="00EC0567"/>
    <w:rsid w:val="00EC4550"/>
    <w:rsid w:val="00EC4AB4"/>
    <w:rsid w:val="00EC708A"/>
    <w:rsid w:val="00EC72B6"/>
    <w:rsid w:val="00EC7C7E"/>
    <w:rsid w:val="00ED04C9"/>
    <w:rsid w:val="00ED0EFA"/>
    <w:rsid w:val="00ED4B20"/>
    <w:rsid w:val="00ED6871"/>
    <w:rsid w:val="00ED6E9E"/>
    <w:rsid w:val="00EE262A"/>
    <w:rsid w:val="00EE382A"/>
    <w:rsid w:val="00EE482E"/>
    <w:rsid w:val="00EE4893"/>
    <w:rsid w:val="00EF60ED"/>
    <w:rsid w:val="00EF6E73"/>
    <w:rsid w:val="00F02477"/>
    <w:rsid w:val="00F06586"/>
    <w:rsid w:val="00F13796"/>
    <w:rsid w:val="00F21246"/>
    <w:rsid w:val="00F25192"/>
    <w:rsid w:val="00F25D7F"/>
    <w:rsid w:val="00F2718B"/>
    <w:rsid w:val="00F2776A"/>
    <w:rsid w:val="00F43B61"/>
    <w:rsid w:val="00F44905"/>
    <w:rsid w:val="00F45053"/>
    <w:rsid w:val="00F45297"/>
    <w:rsid w:val="00F47B15"/>
    <w:rsid w:val="00F47D91"/>
    <w:rsid w:val="00F47DB8"/>
    <w:rsid w:val="00F47F68"/>
    <w:rsid w:val="00F50409"/>
    <w:rsid w:val="00F52F31"/>
    <w:rsid w:val="00F53BDC"/>
    <w:rsid w:val="00F55650"/>
    <w:rsid w:val="00F56685"/>
    <w:rsid w:val="00F576B6"/>
    <w:rsid w:val="00F61F3E"/>
    <w:rsid w:val="00F622EC"/>
    <w:rsid w:val="00F63BE4"/>
    <w:rsid w:val="00F644E7"/>
    <w:rsid w:val="00F65EBB"/>
    <w:rsid w:val="00F661B7"/>
    <w:rsid w:val="00F66E0F"/>
    <w:rsid w:val="00F73C38"/>
    <w:rsid w:val="00F73CCE"/>
    <w:rsid w:val="00F75735"/>
    <w:rsid w:val="00F75E51"/>
    <w:rsid w:val="00F800B7"/>
    <w:rsid w:val="00F82B49"/>
    <w:rsid w:val="00F8407F"/>
    <w:rsid w:val="00F84811"/>
    <w:rsid w:val="00F86BC0"/>
    <w:rsid w:val="00F93D32"/>
    <w:rsid w:val="00F93F41"/>
    <w:rsid w:val="00F940F8"/>
    <w:rsid w:val="00F9531A"/>
    <w:rsid w:val="00F96451"/>
    <w:rsid w:val="00F96BD4"/>
    <w:rsid w:val="00FA2083"/>
    <w:rsid w:val="00FA2BB3"/>
    <w:rsid w:val="00FA2EE7"/>
    <w:rsid w:val="00FA3537"/>
    <w:rsid w:val="00FA3DF3"/>
    <w:rsid w:val="00FA59A4"/>
    <w:rsid w:val="00FA5A3C"/>
    <w:rsid w:val="00FA7505"/>
    <w:rsid w:val="00FB11FC"/>
    <w:rsid w:val="00FB4CC2"/>
    <w:rsid w:val="00FC155F"/>
    <w:rsid w:val="00FC3350"/>
    <w:rsid w:val="00FC4B55"/>
    <w:rsid w:val="00FD0AEB"/>
    <w:rsid w:val="00FE60E3"/>
    <w:rsid w:val="00FE6C41"/>
    <w:rsid w:val="00FE7A62"/>
    <w:rsid w:val="00FF593C"/>
    <w:rsid w:val="00FF780B"/>
    <w:rsid w:val="0835CE65"/>
    <w:rsid w:val="132D64FB"/>
    <w:rsid w:val="14721751"/>
    <w:rsid w:val="2E66E1FE"/>
    <w:rsid w:val="3256B01F"/>
    <w:rsid w:val="3A3EAC82"/>
    <w:rsid w:val="3B4E2C36"/>
    <w:rsid w:val="41C0F659"/>
    <w:rsid w:val="4B67A3EF"/>
    <w:rsid w:val="4C6CDAAC"/>
    <w:rsid w:val="4EE3796D"/>
    <w:rsid w:val="53217B6C"/>
    <w:rsid w:val="55EC63BC"/>
    <w:rsid w:val="573865C2"/>
    <w:rsid w:val="5C4EFA3A"/>
    <w:rsid w:val="60798EEC"/>
    <w:rsid w:val="6E0CED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A064D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1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2F1515"/>
    <w:pPr>
      <w:spacing w:after="0" w:line="240" w:lineRule="auto"/>
    </w:pPr>
  </w:style>
  <w:style w:type="character" w:styleId="CommentReference">
    <w:name w:val="annotation reference"/>
    <w:basedOn w:val="DefaultParagraphFont"/>
    <w:uiPriority w:val="99"/>
    <w:semiHidden/>
    <w:unhideWhenUsed/>
    <w:rsid w:val="00A55E9E"/>
    <w:rPr>
      <w:sz w:val="16"/>
      <w:szCs w:val="16"/>
    </w:rPr>
  </w:style>
  <w:style w:type="character" w:styleId="Hyperlink">
    <w:name w:val="Hyperlink"/>
    <w:basedOn w:val="DefaultParagraphFont"/>
    <w:uiPriority w:val="99"/>
    <w:unhideWhenUsed/>
    <w:rsid w:val="008A1A3E"/>
    <w:rPr>
      <w:color w:val="0563C1" w:themeColor="hyperlink"/>
      <w:u w:val="single"/>
    </w:rPr>
  </w:style>
  <w:style w:type="character" w:styleId="UnresolvedMention">
    <w:name w:val="Unresolved Mention"/>
    <w:basedOn w:val="DefaultParagraphFont"/>
    <w:uiPriority w:val="99"/>
    <w:semiHidden/>
    <w:unhideWhenUsed/>
    <w:rsid w:val="008A1A3E"/>
    <w:rPr>
      <w:color w:val="605E5C"/>
      <w:shd w:val="clear" w:color="auto" w:fill="E1DFDD"/>
    </w:rPr>
  </w:style>
  <w:style w:type="character" w:styleId="EndnoteReference">
    <w:name w:val="endnote reference"/>
    <w:basedOn w:val="DefaultParagraphFont"/>
    <w:uiPriority w:val="99"/>
    <w:semiHidden/>
    <w:unhideWhenUsed/>
    <w:rsid w:val="00545478"/>
    <w:rPr>
      <w:vertAlign w:val="superscript"/>
    </w:rPr>
  </w:style>
  <w:style w:type="character" w:customStyle="1" w:styleId="apple-converted-space">
    <w:name w:val="apple-converted-space"/>
    <w:basedOn w:val="DefaultParagraphFont"/>
    <w:rsid w:val="00AA7EAB"/>
  </w:style>
  <w:style w:type="paragraph" w:styleId="ListParagraph">
    <w:name w:val="List Paragraph"/>
    <w:basedOn w:val="Normal"/>
    <w:uiPriority w:val="34"/>
    <w:qFormat/>
    <w:rsid w:val="00A40C65"/>
    <w:pPr>
      <w:ind w:left="720"/>
      <w:contextualSpacing/>
    </w:pPr>
  </w:style>
  <w:style w:type="paragraph" w:customStyle="1" w:styleId="a">
    <w:basedOn w:val="Normal"/>
    <w:next w:val="ListParagraph"/>
    <w:link w:val="EndnoteTextChar"/>
    <w:uiPriority w:val="99"/>
    <w:qFormat/>
    <w:rsid w:val="007E0150"/>
    <w:pPr>
      <w:ind w:left="720"/>
      <w:contextualSpacing/>
    </w:pPr>
    <w:rPr>
      <w:sz w:val="20"/>
      <w:szCs w:val="20"/>
    </w:rPr>
  </w:style>
  <w:style w:type="character" w:customStyle="1" w:styleId="EndnoteTextChar">
    <w:name w:val="Endnote Text Char"/>
    <w:basedOn w:val="DefaultParagraphFont"/>
    <w:link w:val="a"/>
    <w:uiPriority w:val="99"/>
    <w:rsid w:val="007E0150"/>
    <w:rPr>
      <w:sz w:val="20"/>
      <w:szCs w:val="20"/>
    </w:rPr>
  </w:style>
  <w:style w:type="character" w:customStyle="1" w:styleId="HeaderChar">
    <w:name w:val="Header Char"/>
    <w:basedOn w:val="DefaultParagraphFont"/>
    <w:uiPriority w:val="99"/>
    <w:rsid w:val="007E0150"/>
  </w:style>
  <w:style w:type="character" w:customStyle="1" w:styleId="FooterChar">
    <w:name w:val="Footer Char"/>
    <w:basedOn w:val="DefaultParagraphFont"/>
    <w:uiPriority w:val="99"/>
    <w:rsid w:val="007E0150"/>
  </w:style>
  <w:style w:type="character" w:customStyle="1" w:styleId="CommentTextChar">
    <w:name w:val="Comment Text Char"/>
    <w:basedOn w:val="DefaultParagraphFont"/>
    <w:uiPriority w:val="99"/>
    <w:rsid w:val="007E0150"/>
    <w:rPr>
      <w:sz w:val="20"/>
      <w:szCs w:val="20"/>
    </w:rPr>
  </w:style>
  <w:style w:type="character" w:customStyle="1" w:styleId="CommentSubjectChar">
    <w:name w:val="Comment Subject Char"/>
    <w:basedOn w:val="CommentTextChar"/>
    <w:uiPriority w:val="99"/>
    <w:semiHidden/>
    <w:rsid w:val="007E0150"/>
    <w:rPr>
      <w:b/>
      <w:bCs/>
      <w:sz w:val="20"/>
      <w:szCs w:val="20"/>
    </w:rPr>
  </w:style>
  <w:style w:type="character" w:customStyle="1" w:styleId="HeaderChar1">
    <w:name w:val="Header Char1"/>
    <w:basedOn w:val="DefaultParagraphFont"/>
    <w:uiPriority w:val="99"/>
    <w:semiHidden/>
    <w:rsid w:val="00C50E5C"/>
  </w:style>
  <w:style w:type="paragraph" w:styleId="Header">
    <w:name w:val="header"/>
    <w:basedOn w:val="Normal"/>
    <w:link w:val="HeaderChar2"/>
    <w:uiPriority w:val="99"/>
    <w:unhideWhenUsed/>
    <w:rsid w:val="00647BBD"/>
    <w:pPr>
      <w:tabs>
        <w:tab w:val="center" w:pos="4536"/>
        <w:tab w:val="right" w:pos="9072"/>
      </w:tabs>
      <w:spacing w:after="0" w:line="240" w:lineRule="auto"/>
    </w:pPr>
  </w:style>
  <w:style w:type="character" w:customStyle="1" w:styleId="HeaderChar2">
    <w:name w:val="Header Char2"/>
    <w:basedOn w:val="DefaultParagraphFont"/>
    <w:link w:val="Header"/>
    <w:uiPriority w:val="99"/>
    <w:rsid w:val="00647BBD"/>
  </w:style>
  <w:style w:type="paragraph" w:styleId="Footer">
    <w:name w:val="footer"/>
    <w:basedOn w:val="Normal"/>
    <w:link w:val="FooterChar1"/>
    <w:uiPriority w:val="99"/>
    <w:unhideWhenUsed/>
    <w:rsid w:val="00647BBD"/>
    <w:pPr>
      <w:tabs>
        <w:tab w:val="center" w:pos="4536"/>
        <w:tab w:val="right" w:pos="9072"/>
      </w:tabs>
      <w:spacing w:after="0" w:line="240" w:lineRule="auto"/>
    </w:pPr>
  </w:style>
  <w:style w:type="character" w:customStyle="1" w:styleId="FooterChar1">
    <w:name w:val="Footer Char1"/>
    <w:basedOn w:val="DefaultParagraphFont"/>
    <w:link w:val="Footer"/>
    <w:uiPriority w:val="99"/>
    <w:rsid w:val="00647BBD"/>
  </w:style>
  <w:style w:type="character" w:customStyle="1" w:styleId="TekstkomentarzaZnak">
    <w:name w:val="Tekst komentarza Znak"/>
    <w:basedOn w:val="DefaultParagraphFont"/>
    <w:uiPriority w:val="99"/>
    <w:rsid w:val="00CF0595"/>
    <w:rPr>
      <w:sz w:val="20"/>
      <w:szCs w:val="20"/>
    </w:rPr>
  </w:style>
  <w:style w:type="character" w:customStyle="1" w:styleId="TematkomentarzaZnak">
    <w:name w:val="Temat komentarza Znak"/>
    <w:basedOn w:val="TekstkomentarzaZnak"/>
    <w:uiPriority w:val="99"/>
    <w:semiHidden/>
    <w:rsid w:val="00CF0595"/>
    <w:rPr>
      <w:b/>
      <w:bCs/>
      <w:sz w:val="20"/>
      <w:szCs w:val="20"/>
    </w:rPr>
  </w:style>
  <w:style w:type="character" w:customStyle="1" w:styleId="TekstkomentarzaZnak2">
    <w:name w:val="Tekst komentarza Znak2"/>
    <w:basedOn w:val="DefaultParagraphFont"/>
    <w:uiPriority w:val="99"/>
    <w:rsid w:val="00B9330E"/>
    <w:rPr>
      <w:sz w:val="20"/>
      <w:szCs w:val="20"/>
    </w:rPr>
  </w:style>
  <w:style w:type="character" w:customStyle="1" w:styleId="TematkomentarzaZnak2">
    <w:name w:val="Temat komentarza Znak2"/>
    <w:basedOn w:val="TekstkomentarzaZnak2"/>
    <w:uiPriority w:val="99"/>
    <w:semiHidden/>
    <w:rsid w:val="00B9330E"/>
    <w:rPr>
      <w:b/>
      <w:bCs/>
      <w:sz w:val="20"/>
      <w:szCs w:val="20"/>
    </w:rPr>
  </w:style>
  <w:style w:type="character" w:customStyle="1" w:styleId="TekstkomentarzaZnak1">
    <w:name w:val="Tekst komentarza Znak1"/>
    <w:basedOn w:val="DefaultParagraphFont"/>
    <w:uiPriority w:val="99"/>
    <w:rsid w:val="00B9330E"/>
    <w:rPr>
      <w:sz w:val="20"/>
      <w:szCs w:val="20"/>
    </w:rPr>
  </w:style>
  <w:style w:type="character" w:customStyle="1" w:styleId="TematkomentarzaZnak1">
    <w:name w:val="Temat komentarza Znak1"/>
    <w:basedOn w:val="TekstkomentarzaZnak1"/>
    <w:uiPriority w:val="99"/>
    <w:semiHidden/>
    <w:rsid w:val="00B9330E"/>
    <w:rPr>
      <w:b/>
      <w:bCs/>
      <w:sz w:val="20"/>
      <w:szCs w:val="20"/>
    </w:rPr>
  </w:style>
  <w:style w:type="character" w:customStyle="1" w:styleId="NagwekZnak">
    <w:name w:val="Nagłówek Znak"/>
    <w:basedOn w:val="DefaultParagraphFont"/>
    <w:uiPriority w:val="99"/>
    <w:semiHidden/>
    <w:rsid w:val="00B9330E"/>
  </w:style>
  <w:style w:type="character" w:customStyle="1" w:styleId="StopkaZnak">
    <w:name w:val="Stopka Znak"/>
    <w:basedOn w:val="DefaultParagraphFont"/>
    <w:uiPriority w:val="99"/>
    <w:semiHidden/>
    <w:rsid w:val="00B9330E"/>
  </w:style>
  <w:style w:type="character" w:customStyle="1" w:styleId="NagwekZnak1">
    <w:name w:val="Nagłówek Znak1"/>
    <w:basedOn w:val="DefaultParagraphFont"/>
    <w:uiPriority w:val="99"/>
    <w:semiHidden/>
    <w:rsid w:val="00B9330E"/>
  </w:style>
  <w:style w:type="character" w:customStyle="1" w:styleId="StopkaZnak1">
    <w:name w:val="Stopka Znak1"/>
    <w:basedOn w:val="DefaultParagraphFont"/>
    <w:uiPriority w:val="99"/>
    <w:semiHidden/>
    <w:rsid w:val="00B9330E"/>
  </w:style>
  <w:style w:type="paragraph" w:styleId="CommentText">
    <w:name w:val="annotation text"/>
    <w:basedOn w:val="Normal"/>
    <w:link w:val="CommentTextChar1"/>
    <w:uiPriority w:val="99"/>
    <w:semiHidden/>
    <w:unhideWhenUsed/>
    <w:rsid w:val="009710E2"/>
    <w:pPr>
      <w:spacing w:line="240" w:lineRule="auto"/>
    </w:pPr>
    <w:rPr>
      <w:sz w:val="20"/>
      <w:szCs w:val="20"/>
    </w:rPr>
  </w:style>
  <w:style w:type="character" w:customStyle="1" w:styleId="CommentTextChar1">
    <w:name w:val="Comment Text Char1"/>
    <w:basedOn w:val="DefaultParagraphFont"/>
    <w:link w:val="CommentText"/>
    <w:uiPriority w:val="99"/>
    <w:semiHidden/>
    <w:rsid w:val="009710E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332A36832A0A41A9315B265E6415BB" ma:contentTypeVersion="17" ma:contentTypeDescription="Create a new document." ma:contentTypeScope="" ma:versionID="d4eedba06b772320ad92c4f20419bbfc">
  <xsd:schema xmlns:xsd="http://www.w3.org/2001/XMLSchema" xmlns:xs="http://www.w3.org/2001/XMLSchema" xmlns:p="http://schemas.microsoft.com/office/2006/metadata/properties" xmlns:ns2="8a011db4-53a2-4d1b-82ae-320485071b7a" xmlns:ns3="deeda2bc-8a38-4937-ba20-8ba6d0b056de" targetNamespace="http://schemas.microsoft.com/office/2006/metadata/properties" ma:root="true" ma:fieldsID="ce818b489b55f6b6a86b6eb6e1ef1868" ns2:_="" ns3:_="">
    <xsd:import namespace="8a011db4-53a2-4d1b-82ae-320485071b7a"/>
    <xsd:import namespace="deeda2bc-8a38-4937-ba20-8ba6d0b056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1db4-53a2-4d1b-82ae-320485071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452cbc4-2314-4220-9d01-4e90849f7c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eda2bc-8a38-4937-ba20-8ba6d0b056de"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011db4-53a2-4d1b-82ae-320485071b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F7533D-D93F-4B6C-9B5A-6B1F7A9BA31C}">
  <ds:schemaRefs>
    <ds:schemaRef ds:uri="http://schemas.microsoft.com/sharepoint/v3/contenttype/forms"/>
  </ds:schemaRefs>
</ds:datastoreItem>
</file>

<file path=customXml/itemProps2.xml><?xml version="1.0" encoding="utf-8"?>
<ds:datastoreItem xmlns:ds="http://schemas.openxmlformats.org/officeDocument/2006/customXml" ds:itemID="{33ED5A9F-A257-405C-9812-70DBE0BCD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1db4-53a2-4d1b-82ae-320485071b7a"/>
    <ds:schemaRef ds:uri="deeda2bc-8a38-4937-ba20-8ba6d0b05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C56FF-ED66-478C-A283-E8B2DAC51A23}">
  <ds:schemaRefs>
    <ds:schemaRef ds:uri="http://schemas.microsoft.com/office/2006/metadata/properties"/>
    <ds:schemaRef ds:uri="http://schemas.microsoft.com/office/infopath/2007/PartnerControls"/>
    <ds:schemaRef ds:uri="8a011db4-53a2-4d1b-82ae-320485071b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1250</Words>
  <Characters>7127</Characters>
  <Application>Microsoft Office Word</Application>
  <DocSecurity>4</DocSecurity>
  <Lines>59</Lines>
  <Paragraphs>16</Paragraphs>
  <ScaleCrop>false</ScaleCrop>
  <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2026-11-04T17:12:00Z</dcterms:created>
  <dcterms:modified xsi:type="dcterms:W3CDTF">2026-11-04T08:13:00Z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0x01010026332A36832A0A41A9315B265E6415BB</vt:lpwstr>
  </property>
  <property fmtid="{D5CDD505-2E9C-101B-9397-08002B2CF9AE}" pid="3" name="MediaServiceImageTags">
    <vt:lpwstr/>
  </property>
</Properties>
</file>