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D822" w14:textId="77777777" w:rsidR="001E2C85" w:rsidRDefault="001E2C85" w:rsidP="00177088">
      <w:pPr>
        <w:jc w:val="both"/>
        <w:rPr>
          <w:rFonts w:ascii="Aptos Display" w:hAnsi="Aptos Display"/>
          <w:b/>
          <w:bCs/>
          <w:sz w:val="28"/>
          <w:szCs w:val="28"/>
        </w:rPr>
      </w:pPr>
      <w:r w:rsidRPr="001E2C85">
        <w:rPr>
          <w:rFonts w:ascii="Aptos Display" w:hAnsi="Aptos Display"/>
          <w:b/>
          <w:bCs/>
          <w:sz w:val="28"/>
          <w:szCs w:val="28"/>
        </w:rPr>
        <w:t>Mobbing i dyskryminacja: od listopada więcej wymagań wobec pracodawców</w:t>
      </w:r>
    </w:p>
    <w:p w14:paraId="5DBF9F7C" w14:textId="34B2B714" w:rsidR="003C4035" w:rsidRPr="003C4035" w:rsidRDefault="003C4035" w:rsidP="003C4035">
      <w:pPr>
        <w:jc w:val="both"/>
        <w:rPr>
          <w:rFonts w:ascii="Aptos Display" w:hAnsi="Aptos Display"/>
          <w:b/>
          <w:bCs/>
        </w:rPr>
      </w:pPr>
      <w:r w:rsidRPr="003C4035">
        <w:rPr>
          <w:rFonts w:ascii="Aptos Display" w:hAnsi="Aptos Display"/>
          <w:b/>
          <w:bCs/>
        </w:rPr>
        <w:t>Od 5 listopada 2026 r. zmienią się zasady ochrony pracowników przed mobbingiem, dyskryminacją oraz innymi naruszeniami godności i dóbr osobistych.</w:t>
      </w:r>
      <w:r w:rsidR="00A64F09">
        <w:rPr>
          <w:rFonts w:ascii="Aptos Display" w:hAnsi="Aptos Display"/>
          <w:b/>
          <w:bCs/>
        </w:rPr>
        <w:t xml:space="preserve"> </w:t>
      </w:r>
      <w:r w:rsidRPr="003C4035">
        <w:rPr>
          <w:rFonts w:ascii="Aptos Display" w:hAnsi="Aptos Display"/>
          <w:b/>
          <w:bCs/>
        </w:rPr>
        <w:t xml:space="preserve">Pracodawcy będą zobowiązani do systematycznych działań zapobiegawczych, rozpoznawania zagrożeń i wspierania osób dotkniętych niepożądanymi </w:t>
      </w:r>
      <w:proofErr w:type="spellStart"/>
      <w:r w:rsidRPr="003C4035">
        <w:rPr>
          <w:rFonts w:ascii="Aptos Display" w:hAnsi="Aptos Display"/>
          <w:b/>
          <w:bCs/>
        </w:rPr>
        <w:t>zachowaniami</w:t>
      </w:r>
      <w:proofErr w:type="spellEnd"/>
      <w:r w:rsidRPr="003C4035">
        <w:rPr>
          <w:rFonts w:ascii="Aptos Display" w:hAnsi="Aptos Display"/>
          <w:b/>
          <w:bCs/>
        </w:rPr>
        <w:t xml:space="preserve"> w miejscu pracy. Nowelizacja przewiduje również formalne procedury dla </w:t>
      </w:r>
      <w:r w:rsidR="00E70629">
        <w:rPr>
          <w:rFonts w:ascii="Aptos Display" w:hAnsi="Aptos Display"/>
          <w:b/>
          <w:bCs/>
        </w:rPr>
        <w:t>pracodawców</w:t>
      </w:r>
      <w:r w:rsidRPr="003C4035">
        <w:rPr>
          <w:rFonts w:ascii="Aptos Display" w:hAnsi="Aptos Display"/>
          <w:b/>
          <w:bCs/>
        </w:rPr>
        <w:t xml:space="preserve"> zatrudniających co najmniej 10 pracowników oraz podnosi minimalny poziom zadośćuczynienia za mobbing</w:t>
      </w:r>
      <w:r w:rsidR="00D913C0">
        <w:rPr>
          <w:rFonts w:ascii="Aptos Display" w:hAnsi="Aptos Display"/>
          <w:b/>
          <w:bCs/>
        </w:rPr>
        <w:t xml:space="preserve"> </w:t>
      </w:r>
      <w:r w:rsidR="00D913C0" w:rsidRPr="00D913C0">
        <w:rPr>
          <w:rFonts w:ascii="Aptos Display" w:hAnsi="Aptos Display"/>
          <w:b/>
          <w:bCs/>
        </w:rPr>
        <w:t>na poziom sześciokrotności minimalnego wynagrodzenia za pracę</w:t>
      </w:r>
      <w:r w:rsidRPr="003C4035">
        <w:rPr>
          <w:rFonts w:ascii="Aptos Display" w:hAnsi="Aptos Display"/>
          <w:b/>
          <w:bCs/>
        </w:rPr>
        <w:t>.</w:t>
      </w:r>
    </w:p>
    <w:p w14:paraId="02F9EA9C" w14:textId="48AA17A5" w:rsidR="00D913C0" w:rsidRPr="00D913C0" w:rsidRDefault="00793C8B" w:rsidP="003C4035">
      <w:pPr>
        <w:jc w:val="both"/>
        <w:rPr>
          <w:rFonts w:ascii="Aptos Display" w:hAnsi="Aptos Display"/>
        </w:rPr>
      </w:pPr>
      <w:r w:rsidRPr="00793C8B">
        <w:rPr>
          <w:rFonts w:ascii="Aptos Display" w:hAnsi="Aptos Display"/>
        </w:rPr>
        <w:t>Zmiany wynikają z ustawy z dnia 19 czerwca 2026 r. o zmianie ustawy – Kodeks pracy oraz ustawy – Kodeks postępowania cywilnego, opublikowanej w Dz.U. z 2026 r. poz. 1046.</w:t>
      </w:r>
      <w:r>
        <w:rPr>
          <w:rFonts w:ascii="Aptos Display" w:hAnsi="Aptos Display"/>
        </w:rPr>
        <w:t xml:space="preserve"> </w:t>
      </w:r>
      <w:r w:rsidR="003C4035" w:rsidRPr="003C4035">
        <w:rPr>
          <w:rFonts w:ascii="Aptos Display" w:hAnsi="Aptos Display"/>
        </w:rPr>
        <w:t xml:space="preserve">Nowelizacja przesuwa akcent z samego zakazu niewłaściwych zachowań na organizację skutecznej ochrony pracowników. Coraz większe znaczenie będzie miało to, czy </w:t>
      </w:r>
      <w:r w:rsidR="00E70629">
        <w:rPr>
          <w:rFonts w:ascii="Aptos Display" w:hAnsi="Aptos Display"/>
        </w:rPr>
        <w:t xml:space="preserve">pracodawca </w:t>
      </w:r>
      <w:r w:rsidR="003C4035" w:rsidRPr="003C4035">
        <w:rPr>
          <w:rFonts w:ascii="Aptos Display" w:hAnsi="Aptos Display"/>
        </w:rPr>
        <w:t>potrafi odpowiednio wcześnie dostrzec problem, rzetelnie zbadać zgłoszenie i podjąć działania zapobiegające kolejnym naruszeniom. Obowiązek przeciwdziałania mobbingowi będzie obejmował działania prewencyjne, wykrywanie zagrożeń, reagowanie na zgłoszenia, działania naprawcze oraz wsparcie osób dotkniętych mobbingiem.</w:t>
      </w:r>
    </w:p>
    <w:p w14:paraId="32CD7FE9" w14:textId="58F757D4" w:rsidR="003C4035" w:rsidRPr="003C4035" w:rsidRDefault="003C4035" w:rsidP="003C4035">
      <w:pPr>
        <w:jc w:val="both"/>
        <w:rPr>
          <w:rFonts w:ascii="Aptos Display" w:hAnsi="Aptos Display"/>
        </w:rPr>
      </w:pPr>
      <w:r w:rsidRPr="003C4035">
        <w:rPr>
          <w:rFonts w:ascii="Aptos Display" w:hAnsi="Aptos Display"/>
        </w:rPr>
        <w:t xml:space="preserve">– </w:t>
      </w:r>
      <w:r w:rsidRPr="003C4035">
        <w:rPr>
          <w:rFonts w:ascii="Aptos Display" w:hAnsi="Aptos Display"/>
          <w:i/>
          <w:iCs/>
        </w:rPr>
        <w:t>Jednym z największych wyzwań w praktyce jest prawidłowe rozpoznanie mobbingu i odróżnienie go od innych nieprawidłowości występujących w środowisku pracy. Dane Państwowej Inspekcji Pracy pokazują, że w wielu przypadkach zgłaszane sytuacje budzą wątpliwości interpretacyjne. Dlatego nowelizacja porządkuje definicje i jednocześnie precyzuje obowiązki pracodawców. To ważny krok, ponieważ skuteczna ochrona pracowników wymaga nie tylko procedur, ale również systematycznych działań obejmujących edukację, monitorowanie ryzyk i właściwe reagowanie na zgłoszenia</w:t>
      </w:r>
      <w:r w:rsidRPr="003C4035">
        <w:rPr>
          <w:rFonts w:ascii="Aptos Display" w:hAnsi="Aptos Display"/>
        </w:rPr>
        <w:t xml:space="preserve"> – mówi Irmina Gocan, Dyrektor Consultingu ds. Zarządzania Wynagrodzeniami i Analityki, HRK Payroll Consulting.</w:t>
      </w:r>
    </w:p>
    <w:p w14:paraId="75B2743E" w14:textId="79A2CD55" w:rsidR="00023543" w:rsidRPr="00023543" w:rsidRDefault="003C4035" w:rsidP="003C4035">
      <w:pPr>
        <w:jc w:val="both"/>
        <w:rPr>
          <w:rFonts w:ascii="Aptos Display" w:hAnsi="Aptos Display"/>
          <w:b/>
          <w:bCs/>
        </w:rPr>
      </w:pPr>
      <w:r w:rsidRPr="003C4035">
        <w:rPr>
          <w:rFonts w:ascii="Aptos Display" w:hAnsi="Aptos Display"/>
          <w:b/>
          <w:bCs/>
        </w:rPr>
        <w:t xml:space="preserve">Przepisy dla dużych i małych </w:t>
      </w:r>
      <w:r w:rsidR="00E70629">
        <w:rPr>
          <w:rFonts w:ascii="Aptos Display" w:hAnsi="Aptos Display"/>
          <w:b/>
          <w:bCs/>
        </w:rPr>
        <w:t>pracodawców</w:t>
      </w:r>
    </w:p>
    <w:p w14:paraId="0C2EFA44" w14:textId="2C68D568" w:rsidR="002E0686" w:rsidRPr="003C4035" w:rsidRDefault="00023543" w:rsidP="003C4035">
      <w:pPr>
        <w:jc w:val="both"/>
        <w:rPr>
          <w:rFonts w:ascii="Aptos Display" w:hAnsi="Aptos Display"/>
        </w:rPr>
      </w:pPr>
      <w:r w:rsidRPr="00023543">
        <w:rPr>
          <w:rFonts w:ascii="Aptos Display" w:hAnsi="Aptos Display"/>
        </w:rPr>
        <w:t>Pracodawcy zatrudniający co najmniej 10 pracowników będą zobowiązani do formalnego określenia reguł, procedur oraz częstotliwości działań w wymaganych ustawą obszarach. Zasady te powinny zostać uregulowane w układzie zbiorowym pracy, regulaminie pracy albo jeżeli nie zostały zawarte w tych dokumentach, w odrębnym regulaminie.</w:t>
      </w:r>
      <w:r>
        <w:rPr>
          <w:rFonts w:ascii="Aptos Display" w:hAnsi="Aptos Display"/>
        </w:rPr>
        <w:t xml:space="preserve"> </w:t>
      </w:r>
      <w:r w:rsidR="003823C3" w:rsidRPr="003823C3">
        <w:rPr>
          <w:rFonts w:ascii="Aptos Display" w:hAnsi="Aptos Display"/>
        </w:rPr>
        <w:t>Pracodawcy mają obowiązek dostosować regulamin pracy albo wydać odrębny regulamin najpóźniej do 5 maja 2027 r.</w:t>
      </w:r>
      <w:r w:rsidR="00B27259">
        <w:rPr>
          <w:rFonts w:ascii="Aptos Display" w:hAnsi="Aptos Display"/>
        </w:rPr>
        <w:t xml:space="preserve"> </w:t>
      </w:r>
      <w:r w:rsidR="002E0686" w:rsidRPr="002E0686">
        <w:rPr>
          <w:rFonts w:ascii="Aptos Display" w:hAnsi="Aptos Display"/>
        </w:rPr>
        <w:t>Nie oznacza to jednak, że do tego czasu można odłożyć wszystkie działania. Obowiązek systematycznego przeciwdziałania mobbingowi i nierównemu traktowaniu zacznie obowiązywać już 5 listopada 2026 r.</w:t>
      </w:r>
    </w:p>
    <w:p w14:paraId="5F4EF430" w14:textId="00EFD42A" w:rsidR="003C4035" w:rsidRPr="003C4035" w:rsidRDefault="00AA3F81" w:rsidP="003C4035">
      <w:pPr>
        <w:jc w:val="both"/>
        <w:rPr>
          <w:rFonts w:ascii="Aptos Display" w:hAnsi="Aptos Display"/>
        </w:rPr>
      </w:pPr>
      <w:r w:rsidRPr="00AA3F81">
        <w:rPr>
          <w:rFonts w:ascii="Aptos Display" w:hAnsi="Aptos Display"/>
        </w:rPr>
        <w:t>Treść odrębnego regulaminu będzie podlegała uzgodnieniu z zakładową organizacją związkową albo zakładowymi organizacjami związkowymi, a jeżeli u pracodawcy nie działają związki zawodowe – z przedstawicielami pracowników wyłonionymi w trybie przyjętym u danego pracodawcy</w:t>
      </w:r>
      <w:r>
        <w:rPr>
          <w:rFonts w:ascii="Aptos Display" w:hAnsi="Aptos Display"/>
        </w:rPr>
        <w:t>.</w:t>
      </w:r>
      <w:r w:rsidR="00D43FFD">
        <w:rPr>
          <w:rFonts w:ascii="Aptos Display" w:hAnsi="Aptos Display"/>
        </w:rPr>
        <w:t xml:space="preserve"> </w:t>
      </w:r>
      <w:r w:rsidR="003C4035" w:rsidRPr="003C4035">
        <w:rPr>
          <w:rFonts w:ascii="Aptos Display" w:hAnsi="Aptos Display"/>
        </w:rPr>
        <w:t>Jeżeli w ciągu 30 dni od przedstawienia projektu nie zostanie osiągnięte porozumienie, pracodawca będzie mógł samodzielnie ustalić treść dokumentu, uwzględniając dotychczasowe ustalenia.</w:t>
      </w:r>
    </w:p>
    <w:p w14:paraId="19DA7DA9" w14:textId="493CD0F4" w:rsidR="003C4035" w:rsidRPr="003C4035" w:rsidRDefault="007D77A4" w:rsidP="003C4035">
      <w:pPr>
        <w:jc w:val="both"/>
        <w:rPr>
          <w:rFonts w:ascii="Aptos Display" w:hAnsi="Aptos Display"/>
        </w:rPr>
      </w:pPr>
      <w:r w:rsidRPr="007D77A4">
        <w:rPr>
          <w:rFonts w:ascii="Aptos Display" w:hAnsi="Aptos Display"/>
        </w:rPr>
        <w:t>Pracodawcy zatrudniający mniej niż 10 pracowników nie zostaną objęci szczególnym obowiązkiem wydania regulaminu wynikającym z art. 94³a Kodeksu pracy. Nadal jednak będą zobowiązani do systematycznego przeciwdziałania mobbingowi i nierównemu traktowaniu oraz ochrony godności i innych dóbr osobistych pracowników.</w:t>
      </w:r>
      <w:r w:rsidR="0046684E">
        <w:rPr>
          <w:rFonts w:ascii="Aptos Display" w:hAnsi="Aptos Display"/>
        </w:rPr>
        <w:t xml:space="preserve"> </w:t>
      </w:r>
      <w:r w:rsidR="003C4035" w:rsidRPr="003C4035">
        <w:rPr>
          <w:rFonts w:ascii="Aptos Display" w:hAnsi="Aptos Display"/>
        </w:rPr>
        <w:t>Próg zatrudnienia decyduje więc wyłącznie o obowiązku formalnego opisania zasad, a nie o samym obowiązku ochrony pracowników.</w:t>
      </w:r>
    </w:p>
    <w:p w14:paraId="7D35B2F8" w14:textId="6CC4DE8F" w:rsidR="003C4035" w:rsidRPr="003C4035" w:rsidRDefault="003C4035" w:rsidP="003C4035">
      <w:pPr>
        <w:jc w:val="both"/>
        <w:rPr>
          <w:rFonts w:ascii="Aptos Display" w:hAnsi="Aptos Display"/>
          <w:b/>
          <w:bCs/>
        </w:rPr>
      </w:pPr>
      <w:r w:rsidRPr="003C4035">
        <w:rPr>
          <w:rFonts w:ascii="Aptos Display" w:hAnsi="Aptos Display"/>
          <w:b/>
          <w:bCs/>
        </w:rPr>
        <w:t>O kwalifikacji decydują fakty, nie nazwa zgłoszenia</w:t>
      </w:r>
    </w:p>
    <w:p w14:paraId="36E4353B" w14:textId="77777777" w:rsidR="008E58C8" w:rsidRDefault="003C4035" w:rsidP="003C4035">
      <w:pPr>
        <w:jc w:val="both"/>
        <w:rPr>
          <w:rFonts w:ascii="Aptos Display" w:hAnsi="Aptos Display"/>
        </w:rPr>
      </w:pPr>
      <w:r w:rsidRPr="003C4035">
        <w:rPr>
          <w:rFonts w:ascii="Aptos Display" w:hAnsi="Aptos Display"/>
        </w:rPr>
        <w:lastRenderedPageBreak/>
        <w:t xml:space="preserve">Zgodnie z nową definicją mobbing oznacza uporczywe nękanie pracownika, które ma charakter powtarzalny, nawracający lub stały. Z przepisów znika natomiast odrębny wymóg długotrwałości. </w:t>
      </w:r>
    </w:p>
    <w:p w14:paraId="4AE62995" w14:textId="13E93921" w:rsidR="008E58C8" w:rsidRDefault="007721F1" w:rsidP="003C4035">
      <w:pPr>
        <w:jc w:val="both"/>
        <w:rPr>
          <w:rFonts w:ascii="Aptos Display" w:hAnsi="Aptos Display"/>
        </w:rPr>
      </w:pPr>
      <w:r w:rsidRPr="007721F1">
        <w:rPr>
          <w:rFonts w:ascii="Aptos Display" w:hAnsi="Aptos Display"/>
        </w:rPr>
        <w:t>Nowe przepisy doprecyzowują również, że zachowania stanowiące mobbing mogą pochodzić zarówno od pracodawcy i przełożonego, jak i współpracowników, podwładnych czy innych osób wykonujących pracę na rzecz pracodawcy. Mobbing może być działaniem jednej osoby lub grupy osób, a odpowiedzialność za takie zachowania może dotyczyć również tych, którzy nakłaniają innych do ich podejmowania.</w:t>
      </w:r>
    </w:p>
    <w:p w14:paraId="7D655DF6" w14:textId="1D6CAFE8" w:rsidR="009C6C42" w:rsidRPr="003C4035" w:rsidRDefault="003724C4" w:rsidP="003C4035">
      <w:pPr>
        <w:jc w:val="both"/>
        <w:rPr>
          <w:rFonts w:ascii="Aptos Display" w:hAnsi="Aptos Display"/>
        </w:rPr>
      </w:pPr>
      <w:r w:rsidRPr="00065F46">
        <w:rPr>
          <w:rFonts w:ascii="Aptos Display" w:hAnsi="Aptos Display"/>
        </w:rPr>
        <w:t>Ocena, czy doszło do mobbingu, będzie miała charakter zindywidualizowany i będzie uwzględniała zarówno rodzaj i natężenie zachowań, jak i sytuację konkretnego pracownika.</w:t>
      </w:r>
      <w:r>
        <w:rPr>
          <w:rFonts w:ascii="Aptos Display" w:hAnsi="Aptos Display"/>
        </w:rPr>
        <w:t xml:space="preserve"> </w:t>
      </w:r>
      <w:r w:rsidR="003C4035" w:rsidRPr="003C4035">
        <w:rPr>
          <w:rFonts w:ascii="Aptos Display" w:hAnsi="Aptos Display"/>
        </w:rPr>
        <w:t>Przejawami mobbingu mogą być m.in. regularne ośmieszanie pracownika, blokowanie dostępu do istotnych informacji czy izolowanie go od zespołu.</w:t>
      </w:r>
    </w:p>
    <w:p w14:paraId="13201237" w14:textId="77777777" w:rsidR="00E31C9B" w:rsidRDefault="00E31C9B" w:rsidP="003C4035">
      <w:pPr>
        <w:jc w:val="both"/>
        <w:rPr>
          <w:rFonts w:ascii="Aptos Display" w:hAnsi="Aptos Display"/>
        </w:rPr>
      </w:pPr>
      <w:r w:rsidRPr="00E31C9B">
        <w:rPr>
          <w:rFonts w:ascii="Aptos Display" w:hAnsi="Aptos Display"/>
        </w:rPr>
        <w:t>Pojedyncze zdarzenie nie będzie mogło zostać zakwalifikowane jako mobbing, ale może stanowić molestowanie będące formą dyskryminacji, naruszenie zasady równego traktowania, naruszenie godności lub innych dóbr osobistych pracownika albo inne naruszenie prawa pracy.</w:t>
      </w:r>
    </w:p>
    <w:p w14:paraId="12F802CE" w14:textId="6B395C98" w:rsidR="00944C7A" w:rsidRDefault="00D43F37" w:rsidP="003C4035">
      <w:pPr>
        <w:jc w:val="both"/>
        <w:rPr>
          <w:rFonts w:ascii="Aptos Display" w:hAnsi="Aptos Display"/>
        </w:rPr>
      </w:pPr>
      <w:r w:rsidRPr="00D43F37">
        <w:rPr>
          <w:rFonts w:ascii="Aptos Display" w:hAnsi="Aptos Display"/>
        </w:rPr>
        <w:t xml:space="preserve">Warto przy tym rozróżnić nierówne traktowanie od dyskryminacji. Nie każde niejednakowe traktowanie pracowników oznacza dyskryminację – ta występuje wtedy, gdy mniej korzystne traktowanie pozostaje w związku z prawnie chronioną przyczyną i nie znajduje obiektywnego uzasadnienia. </w:t>
      </w:r>
    </w:p>
    <w:p w14:paraId="25C6F800" w14:textId="42821302" w:rsidR="003C4035" w:rsidRPr="003C4035" w:rsidRDefault="003C4035" w:rsidP="003C4035">
      <w:pPr>
        <w:jc w:val="both"/>
        <w:rPr>
          <w:rFonts w:ascii="Aptos Display" w:hAnsi="Aptos Display"/>
        </w:rPr>
      </w:pPr>
      <w:r w:rsidRPr="003C4035">
        <w:rPr>
          <w:rFonts w:ascii="Aptos Display" w:hAnsi="Aptos Display"/>
        </w:rPr>
        <w:t>Dlatego analiza zgłoszenia nie powinna kończyć się na ocenie, czy doszło do mobbingu. Nawet jeśli taka kwalifikacja zostanie wykluczona, pracodawca nadal może być zobowiązany do podjęcia działań wyjaśniających i naprawczych.</w:t>
      </w:r>
    </w:p>
    <w:p w14:paraId="688D6E42" w14:textId="3F460805" w:rsidR="003C4035" w:rsidRDefault="003C4035" w:rsidP="003C4035">
      <w:pPr>
        <w:jc w:val="both"/>
        <w:rPr>
          <w:rFonts w:ascii="Aptos Display" w:hAnsi="Aptos Display"/>
        </w:rPr>
      </w:pPr>
      <w:r w:rsidRPr="003C4035">
        <w:rPr>
          <w:rFonts w:ascii="Aptos Display" w:hAnsi="Aptos Display"/>
        </w:rPr>
        <w:t>Nowe regulacje nie ograniczają jednocześnie możliwości stawiania pracownikom wymagań i rozliczania ich z wykonywanych obowiązków. Merytoryczna ocena pracy, wydawanie poleceń służbowych czy egzekwowanie wyników pozostają dopuszczalnymi elementami zarządzania, o ile odbywają się w sposób zgodny z zasadami szacunku i poszanowania godności pracownika.</w:t>
      </w:r>
    </w:p>
    <w:p w14:paraId="6F3E8A49" w14:textId="75A77266" w:rsidR="00B91397" w:rsidRDefault="00B91397" w:rsidP="003C4035">
      <w:pPr>
        <w:jc w:val="both"/>
        <w:rPr>
          <w:rFonts w:ascii="Aptos Display" w:hAnsi="Aptos Display"/>
        </w:rPr>
      </w:pPr>
      <w:r w:rsidRPr="00B91397">
        <w:rPr>
          <w:rFonts w:ascii="Aptos Display" w:hAnsi="Aptos Display"/>
        </w:rPr>
        <w:t>Podobna zasada znajdzie zastosowanie w postępowaniu sądowym. Sąd nie będzie mógł oddalić roszczenia tylko dlatego, że pracownik błędnie zakwalifikował opisane zachowania, jeżeli ustalony stan faktyczny uzasadnia świadczenie z innej podstawy prawnej.</w:t>
      </w:r>
    </w:p>
    <w:p w14:paraId="20D9C7DF" w14:textId="34AADE58" w:rsidR="00A71B34" w:rsidRPr="003C4035" w:rsidRDefault="00A71B34" w:rsidP="003C4035">
      <w:pPr>
        <w:jc w:val="both"/>
        <w:rPr>
          <w:rFonts w:ascii="Aptos Display" w:hAnsi="Aptos Display"/>
        </w:rPr>
      </w:pPr>
      <w:r w:rsidRPr="00A71B34">
        <w:rPr>
          <w:rFonts w:ascii="Aptos Display" w:hAnsi="Aptos Display"/>
        </w:rPr>
        <w:t>Zmiany obejmują również zasady dochodzenia roszczeń związanych z naruszeniem zasady równego traktowania. Pracownik będzie musiał uprawdopodobnić fakt naruszenia, natomiast następnie to pracodawca będzie zobowiązany wykazać, że do naruszenia nie doszło. Ma to znaczenie również przy projektowaniu wewnętrznych procedur – nie powinny one przerzucać na pracownika całego ciężaru udowodnienia dyskryminacji.</w:t>
      </w:r>
    </w:p>
    <w:p w14:paraId="662885D0" w14:textId="20EE4BC6" w:rsidR="003C4035" w:rsidRPr="003C4035" w:rsidRDefault="003C4035" w:rsidP="003C4035">
      <w:pPr>
        <w:jc w:val="both"/>
        <w:rPr>
          <w:rFonts w:ascii="Aptos Display" w:hAnsi="Aptos Display"/>
          <w:b/>
          <w:bCs/>
        </w:rPr>
      </w:pPr>
      <w:r w:rsidRPr="003C4035">
        <w:rPr>
          <w:rFonts w:ascii="Aptos Display" w:hAnsi="Aptos Display"/>
          <w:b/>
          <w:bCs/>
        </w:rPr>
        <w:t>Większe konsekwencje finansowe</w:t>
      </w:r>
    </w:p>
    <w:p w14:paraId="41619845" w14:textId="526BCF07" w:rsidR="00B34335" w:rsidRPr="003C4035" w:rsidRDefault="006131C2" w:rsidP="003C4035">
      <w:pPr>
        <w:jc w:val="both"/>
        <w:rPr>
          <w:rFonts w:ascii="Aptos Display" w:hAnsi="Aptos Display"/>
        </w:rPr>
      </w:pPr>
      <w:r>
        <w:rPr>
          <w:rFonts w:ascii="Aptos Display" w:hAnsi="Aptos Display"/>
        </w:rPr>
        <w:t>P</w:t>
      </w:r>
      <w:r w:rsidRPr="004665B1">
        <w:rPr>
          <w:rFonts w:ascii="Aptos Display" w:hAnsi="Aptos Display"/>
        </w:rPr>
        <w:t xml:space="preserve">o zmianie </w:t>
      </w:r>
      <w:r>
        <w:rPr>
          <w:rFonts w:ascii="Aptos Display" w:hAnsi="Aptos Display"/>
        </w:rPr>
        <w:t xml:space="preserve">ustawy </w:t>
      </w:r>
      <w:r w:rsidRPr="004665B1">
        <w:rPr>
          <w:rFonts w:ascii="Aptos Display" w:hAnsi="Aptos Display"/>
        </w:rPr>
        <w:t>pracownik będzie mógł dochodzić zadośćuczynienia za samo doznanie mobbingu, bez konieczności wykazywania rozstroju zdrowia jako odrębnej przesłanki roszczenia.</w:t>
      </w:r>
      <w:r>
        <w:rPr>
          <w:rFonts w:ascii="Aptos Display" w:hAnsi="Aptos Display"/>
        </w:rPr>
        <w:t xml:space="preserve"> </w:t>
      </w:r>
      <w:r w:rsidR="003C4035" w:rsidRPr="003C4035">
        <w:rPr>
          <w:rFonts w:ascii="Aptos Display" w:hAnsi="Aptos Display"/>
        </w:rPr>
        <w:t xml:space="preserve">Minimalne zadośćuczynienie za mobbing będzie wynosiło nie mniej niż sześciokrotność minimalnego wynagrodzenia za pracę. </w:t>
      </w:r>
      <w:r w:rsidRPr="006131C2">
        <w:rPr>
          <w:rFonts w:ascii="Aptos Display" w:hAnsi="Aptos Display"/>
        </w:rPr>
        <w:t>W 2026 r. sześciokrotność minimalnego wynagrodzenia wynosi 28 836 zł. Od 1 stycznia 2027 r., przy minimalnym wynagrodzeniu wynoszącym 4 950 zł, minimalny poziom zadośćuczynienia wyniesie 29 700 zł</w:t>
      </w:r>
      <w:r>
        <w:rPr>
          <w:rFonts w:ascii="Aptos Display" w:hAnsi="Aptos Display"/>
        </w:rPr>
        <w:t>.</w:t>
      </w:r>
    </w:p>
    <w:p w14:paraId="7DD7D6AA" w14:textId="77777777" w:rsidR="00772024" w:rsidRDefault="00772024" w:rsidP="003C4035">
      <w:pPr>
        <w:jc w:val="both"/>
        <w:rPr>
          <w:rFonts w:ascii="Aptos Display" w:hAnsi="Aptos Display"/>
        </w:rPr>
      </w:pPr>
      <w:r w:rsidRPr="00772024">
        <w:rPr>
          <w:rFonts w:ascii="Aptos Display" w:hAnsi="Aptos Display"/>
        </w:rPr>
        <w:t xml:space="preserve">Pracodawca, który wypłacił pracownikowi zadośćuczynienie lub odszkodowanie z tytułu mobbingu, będzie mógł dochodzić od osoby, od której pochodziły zachowania stanowiące mobbing, wyrównania </w:t>
      </w:r>
      <w:r w:rsidRPr="00772024">
        <w:rPr>
          <w:rFonts w:ascii="Aptos Display" w:hAnsi="Aptos Display"/>
        </w:rPr>
        <w:lastRenderedPageBreak/>
        <w:t>poniesionej szkody w wysokości odpowiadającej stopniowi winy tej osoby i pracodawcy w powstaniu szkody.</w:t>
      </w:r>
    </w:p>
    <w:p w14:paraId="25EA4AA7" w14:textId="4487D2A0" w:rsidR="003C4035" w:rsidRPr="003C4035" w:rsidRDefault="003C4035" w:rsidP="003C4035">
      <w:pPr>
        <w:jc w:val="both"/>
        <w:rPr>
          <w:rFonts w:ascii="Aptos Display" w:hAnsi="Aptos Display"/>
        </w:rPr>
      </w:pPr>
      <w:r w:rsidRPr="003C4035">
        <w:rPr>
          <w:rFonts w:ascii="Aptos Display" w:hAnsi="Aptos Display"/>
        </w:rPr>
        <w:t xml:space="preserve">Przygotowania do zmian warto rozpocząć od </w:t>
      </w:r>
      <w:r w:rsidR="00A07AB7" w:rsidRPr="003C4035">
        <w:rPr>
          <w:rFonts w:ascii="Aptos Display" w:hAnsi="Aptos Display"/>
        </w:rPr>
        <w:t>sprawdzenia</w:t>
      </w:r>
      <w:r w:rsidRPr="003C4035">
        <w:rPr>
          <w:rFonts w:ascii="Aptos Display" w:hAnsi="Aptos Display"/>
        </w:rPr>
        <w:t xml:space="preserve"> czy pracownicy wiedzą, gdzie i w jaki sposób mogą zgłaszać nieprawidłowości, również wtedy, gdy dotyczą one bezpośredniego przełożonego. Niezbędne będzie także określenie osób odpowiedzialnych za przyjmowanie zgłoszeń, </w:t>
      </w:r>
      <w:r w:rsidR="00250508" w:rsidRPr="00250508">
        <w:rPr>
          <w:rFonts w:ascii="Aptos Display" w:hAnsi="Aptos Display"/>
        </w:rPr>
        <w:t>przyjmowanie i zabezpieczanie informacji oraz materiałów związanych ze zgłoszeniem</w:t>
      </w:r>
      <w:r w:rsidRPr="00250508">
        <w:rPr>
          <w:rFonts w:ascii="Aptos Display" w:hAnsi="Aptos Display"/>
        </w:rPr>
        <w:t>,</w:t>
      </w:r>
      <w:r w:rsidRPr="003C4035">
        <w:rPr>
          <w:rFonts w:ascii="Aptos Display" w:hAnsi="Aptos Display"/>
        </w:rPr>
        <w:t xml:space="preserve"> prowadzenie rozmów wyjaśniających oraz podejmowanie dalszych decyzji.</w:t>
      </w:r>
    </w:p>
    <w:p w14:paraId="086E6149" w14:textId="681730BE" w:rsidR="003C4035" w:rsidRPr="003C4035" w:rsidRDefault="003C4035" w:rsidP="003C4035">
      <w:pPr>
        <w:jc w:val="both"/>
        <w:rPr>
          <w:rFonts w:ascii="Aptos Display" w:hAnsi="Aptos Display"/>
        </w:rPr>
      </w:pPr>
      <w:r w:rsidRPr="003C4035">
        <w:rPr>
          <w:rFonts w:ascii="Aptos Display" w:hAnsi="Aptos Display"/>
        </w:rPr>
        <w:t>Istotnym elementem przygotowań powinny być również</w:t>
      </w:r>
      <w:r w:rsidR="00C0251B">
        <w:rPr>
          <w:rFonts w:ascii="Aptos Display" w:hAnsi="Aptos Display"/>
        </w:rPr>
        <w:t xml:space="preserve"> </w:t>
      </w:r>
      <w:r w:rsidR="00C0251B" w:rsidRPr="00C0251B">
        <w:rPr>
          <w:rFonts w:ascii="Aptos Display" w:hAnsi="Aptos Display"/>
        </w:rPr>
        <w:t xml:space="preserve">szkolenia oparte na praktycznych, odpowiednio zanonimizowanych przykładach odpowiadających sytuacjom, które mogą występować </w:t>
      </w:r>
      <w:r w:rsidR="00832366">
        <w:rPr>
          <w:rFonts w:ascii="Aptos Display" w:hAnsi="Aptos Display"/>
        </w:rPr>
        <w:t>u danego pracodawcy</w:t>
      </w:r>
      <w:r w:rsidRPr="003C4035">
        <w:rPr>
          <w:rFonts w:ascii="Aptos Display" w:hAnsi="Aptos Display"/>
        </w:rPr>
        <w:t>, a także wdrożenie zasad ochrony poufności i przeciwdziałania działaniom odwetowym. Po zakończeniu postępowania warto natomiast ocenić skuteczność zastosowanych działań i zweryfikować, czy problem rzeczywiście został rozwiązany.</w:t>
      </w:r>
    </w:p>
    <w:p w14:paraId="6FB2AEC6" w14:textId="4CA0A5D8" w:rsidR="003C4035" w:rsidRPr="003C4035" w:rsidRDefault="003C4035" w:rsidP="003C4035">
      <w:pPr>
        <w:jc w:val="both"/>
        <w:rPr>
          <w:rFonts w:ascii="Aptos Display" w:hAnsi="Aptos Display"/>
        </w:rPr>
      </w:pPr>
      <w:r w:rsidRPr="003C4035">
        <w:rPr>
          <w:rFonts w:ascii="Aptos Display" w:hAnsi="Aptos Display"/>
        </w:rPr>
        <w:t xml:space="preserve">– </w:t>
      </w:r>
      <w:r w:rsidRPr="003F72B0">
        <w:rPr>
          <w:rFonts w:ascii="Aptos Display" w:hAnsi="Aptos Display"/>
          <w:i/>
          <w:iCs/>
        </w:rPr>
        <w:t xml:space="preserve">Praktyka pokazuje, że </w:t>
      </w:r>
      <w:r w:rsidR="00832366">
        <w:rPr>
          <w:rFonts w:ascii="Aptos Display" w:hAnsi="Aptos Display"/>
          <w:i/>
          <w:iCs/>
        </w:rPr>
        <w:t>pracodawcy</w:t>
      </w:r>
      <w:r w:rsidRPr="003F72B0">
        <w:rPr>
          <w:rFonts w:ascii="Aptos Display" w:hAnsi="Aptos Display"/>
          <w:i/>
          <w:iCs/>
        </w:rPr>
        <w:t xml:space="preserve"> potrafiąc</w:t>
      </w:r>
      <w:r w:rsidR="00832366">
        <w:rPr>
          <w:rFonts w:ascii="Aptos Display" w:hAnsi="Aptos Display"/>
          <w:i/>
          <w:iCs/>
        </w:rPr>
        <w:t>y</w:t>
      </w:r>
      <w:r w:rsidRPr="003F72B0">
        <w:rPr>
          <w:rFonts w:ascii="Aptos Display" w:hAnsi="Aptos Display"/>
          <w:i/>
          <w:iCs/>
        </w:rPr>
        <w:t xml:space="preserve"> połączyć zgodność z prawem z dojrzałym zarządzaniem ludźmi osiągają lepsze wyniki biznesowe. Korzyści widoczne są nie tylko w retencji pracowników i wzmocnieniu marki pracodawcy, ale przede wszystkim w jakości współpracy, efektywności zespołów oraz poziomie zaangażowania pracowników</w:t>
      </w:r>
      <w:r w:rsidRPr="003C4035">
        <w:rPr>
          <w:rFonts w:ascii="Aptos Display" w:hAnsi="Aptos Display"/>
        </w:rPr>
        <w:t xml:space="preserve"> – podkreśla Oskar Sobolewski, ekspert emerytalny i rynku pracy, HRK Payroll Consulting.</w:t>
      </w:r>
    </w:p>
    <w:p w14:paraId="34E7C98E" w14:textId="3A9FBD5B" w:rsidR="003C4035" w:rsidRPr="003C4035" w:rsidRDefault="003C4035" w:rsidP="003C4035">
      <w:pPr>
        <w:jc w:val="both"/>
        <w:rPr>
          <w:rFonts w:ascii="Aptos Display" w:hAnsi="Aptos Display"/>
        </w:rPr>
      </w:pPr>
      <w:r w:rsidRPr="003C4035">
        <w:rPr>
          <w:rFonts w:ascii="Aptos Display" w:hAnsi="Aptos Display"/>
        </w:rPr>
        <w:t xml:space="preserve">O powodzeniu wdrożenia nowych regulacji zdecyduje jednak nie samo przyjęcie dokumentów i procedur, lecz to, czy opisane w nich zasady będą faktycznie stosowane w codziennych relacjach między pracownikami, </w:t>
      </w:r>
      <w:r w:rsidR="00FC6DA4">
        <w:rPr>
          <w:rFonts w:ascii="Aptos Display" w:hAnsi="Aptos Display"/>
        </w:rPr>
        <w:t xml:space="preserve">menedżerami </w:t>
      </w:r>
      <w:r w:rsidRPr="003C4035">
        <w:rPr>
          <w:rFonts w:ascii="Aptos Display" w:hAnsi="Aptos Display"/>
        </w:rPr>
        <w:t xml:space="preserve">i </w:t>
      </w:r>
      <w:r w:rsidR="00A202CD">
        <w:rPr>
          <w:rFonts w:ascii="Aptos Display" w:hAnsi="Aptos Display"/>
        </w:rPr>
        <w:t>członkami kadry zarządzającej</w:t>
      </w:r>
      <w:r w:rsidRPr="003C4035">
        <w:rPr>
          <w:rFonts w:ascii="Aptos Display" w:hAnsi="Aptos Display"/>
        </w:rPr>
        <w:t>.</w:t>
      </w:r>
    </w:p>
    <w:p w14:paraId="3147326C" w14:textId="77777777" w:rsidR="001E2C85" w:rsidRPr="001E2C85" w:rsidRDefault="001E2C85" w:rsidP="00177088">
      <w:pPr>
        <w:jc w:val="both"/>
        <w:rPr>
          <w:rFonts w:ascii="Aptos Display" w:hAnsi="Aptos Display"/>
          <w:b/>
          <w:bCs/>
        </w:rPr>
      </w:pPr>
    </w:p>
    <w:p w14:paraId="31DD3713" w14:textId="098C71EC" w:rsidR="00001D34" w:rsidRPr="00001D34" w:rsidRDefault="00001D34" w:rsidP="31F137E3">
      <w:pPr>
        <w:spacing w:line="276" w:lineRule="auto"/>
        <w:jc w:val="center"/>
        <w:rPr>
          <w:rFonts w:ascii="Aptos Display" w:hAnsi="Aptos Display"/>
          <w:b/>
          <w:bCs/>
        </w:rPr>
      </w:pPr>
      <w:r w:rsidRPr="31F137E3">
        <w:rPr>
          <w:rFonts w:ascii="Aptos Display" w:hAnsi="Aptos Display"/>
        </w:rPr>
        <w:t>###</w:t>
      </w:r>
    </w:p>
    <w:p w14:paraId="72F4324D" w14:textId="2E67429E" w:rsidR="00001D34" w:rsidRPr="00753B71" w:rsidRDefault="00001D34" w:rsidP="31F137E3">
      <w:pPr>
        <w:spacing w:line="276" w:lineRule="auto"/>
        <w:rPr>
          <w:rFonts w:ascii="Aptos Display" w:hAnsi="Aptos Display"/>
          <w:b/>
          <w:bCs/>
          <w:u w:val="single"/>
        </w:rPr>
      </w:pPr>
      <w:r w:rsidRPr="00753B71">
        <w:rPr>
          <w:rFonts w:ascii="Aptos Display" w:hAnsi="Aptos Display"/>
          <w:b/>
          <w:bCs/>
          <w:u w:val="single"/>
        </w:rPr>
        <w:t>Kontakt</w:t>
      </w:r>
    </w:p>
    <w:tbl>
      <w:tblPr>
        <w:tblW w:w="3720" w:type="dxa"/>
        <w:tblCellMar>
          <w:left w:w="0" w:type="dxa"/>
          <w:right w:w="0" w:type="dxa"/>
        </w:tblCellMar>
        <w:tblLook w:val="04A0" w:firstRow="1" w:lastRow="0" w:firstColumn="1" w:lastColumn="0" w:noHBand="0" w:noVBand="1"/>
      </w:tblPr>
      <w:tblGrid>
        <w:gridCol w:w="3720"/>
      </w:tblGrid>
      <w:tr w:rsidR="00001D34" w:rsidRPr="00D913C0" w14:paraId="6F52DD33" w14:textId="77777777" w:rsidTr="746319AE">
        <w:trPr>
          <w:trHeight w:val="300"/>
        </w:trPr>
        <w:tc>
          <w:tcPr>
            <w:tcW w:w="3720" w:type="dxa"/>
            <w:vAlign w:val="center"/>
            <w:hideMark/>
          </w:tcPr>
          <w:p w14:paraId="1D3AAEDC" w14:textId="6D292FD7" w:rsidR="00001D34" w:rsidRPr="00001D34" w:rsidRDefault="00001D34" w:rsidP="00001D34">
            <w:pPr>
              <w:spacing w:line="276" w:lineRule="auto"/>
              <w:rPr>
                <w:rFonts w:ascii="Aptos Display" w:hAnsi="Aptos Display"/>
                <w:lang w:val="en-US"/>
              </w:rPr>
            </w:pPr>
            <w:r w:rsidRPr="71D8134A">
              <w:rPr>
                <w:rFonts w:ascii="Aptos Display" w:hAnsi="Aptos Display"/>
                <w:lang w:val="en-US"/>
              </w:rPr>
              <w:t>Paula Kowalcze</w:t>
            </w:r>
            <w:r w:rsidRPr="00310452">
              <w:rPr>
                <w:lang w:val="en-US"/>
              </w:rPr>
              <w:br/>
            </w:r>
            <w:r w:rsidRPr="71D8134A">
              <w:rPr>
                <w:rFonts w:ascii="Aptos Display" w:hAnsi="Aptos Display"/>
                <w:lang w:val="en-US"/>
              </w:rPr>
              <w:t>Media Relations &amp; Content</w:t>
            </w:r>
            <w:r w:rsidR="61B279DB" w:rsidRPr="71D8134A">
              <w:rPr>
                <w:rFonts w:ascii="Aptos Display" w:hAnsi="Aptos Display"/>
                <w:lang w:val="en-US"/>
              </w:rPr>
              <w:t xml:space="preserve"> </w:t>
            </w:r>
            <w:r w:rsidRPr="71D8134A">
              <w:rPr>
                <w:rFonts w:ascii="Aptos Display" w:hAnsi="Aptos Display"/>
                <w:lang w:val="en-US"/>
              </w:rPr>
              <w:t>Expert</w:t>
            </w:r>
            <w:r w:rsidRPr="00310452">
              <w:rPr>
                <w:lang w:val="en-US"/>
              </w:rPr>
              <w:br/>
            </w:r>
            <w:r w:rsidRPr="71D8134A">
              <w:rPr>
                <w:rFonts w:ascii="Aptos Display" w:hAnsi="Aptos Display"/>
                <w:lang w:val="en-US"/>
              </w:rPr>
              <w:t>+48 532 433</w:t>
            </w:r>
            <w:r w:rsidR="50EE0BC6" w:rsidRPr="71D8134A">
              <w:rPr>
                <w:rFonts w:ascii="Aptos Display" w:hAnsi="Aptos Display"/>
                <w:lang w:val="en-US"/>
              </w:rPr>
              <w:t xml:space="preserve"> </w:t>
            </w:r>
            <w:r w:rsidRPr="71D8134A">
              <w:rPr>
                <w:rFonts w:ascii="Aptos Display" w:hAnsi="Aptos Display"/>
                <w:lang w:val="en-US"/>
              </w:rPr>
              <w:t>645</w:t>
            </w:r>
            <w:r w:rsidRPr="00310452">
              <w:rPr>
                <w:lang w:val="en-US"/>
              </w:rPr>
              <w:br/>
            </w:r>
            <w:r w:rsidRPr="71D8134A">
              <w:rPr>
                <w:rFonts w:ascii="Aptos Display" w:hAnsi="Aptos Display"/>
                <w:lang w:val="en-US"/>
              </w:rPr>
              <w:t>paula.kowalcze@hrk.pl</w:t>
            </w:r>
          </w:p>
        </w:tc>
      </w:tr>
    </w:tbl>
    <w:p w14:paraId="58FCDEF8" w14:textId="77777777" w:rsidR="00001D34" w:rsidRPr="00001D34" w:rsidRDefault="00001D34" w:rsidP="00001D34">
      <w:pPr>
        <w:spacing w:line="276" w:lineRule="auto"/>
        <w:jc w:val="both"/>
        <w:rPr>
          <w:rFonts w:ascii="Aptos Display" w:hAnsi="Aptos Display"/>
          <w:lang w:val="en-US"/>
        </w:rPr>
      </w:pPr>
    </w:p>
    <w:p w14:paraId="7802AA3B" w14:textId="77777777" w:rsidR="00001D34" w:rsidRPr="00001D34" w:rsidRDefault="00001D34" w:rsidP="00001D34">
      <w:pPr>
        <w:spacing w:line="276" w:lineRule="auto"/>
        <w:jc w:val="both"/>
        <w:rPr>
          <w:rFonts w:ascii="Aptos Display" w:hAnsi="Aptos Display"/>
        </w:rPr>
      </w:pPr>
      <w:r w:rsidRPr="00001D34">
        <w:rPr>
          <w:rFonts w:ascii="Aptos Display" w:hAnsi="Aptos Display"/>
        </w:rPr>
        <w:t xml:space="preserve">HRK S.A. to jedna z największych firm doradczych z obszaru zarządzania kapitałem ludzkim. Oferujemy usługi rekrutacji kadry średniego i wyższego szczebla, badań i rozwoju potencjału zawodowego (łącznie z badaniami </w:t>
      </w:r>
      <w:proofErr w:type="spellStart"/>
      <w:r w:rsidRPr="00001D34">
        <w:rPr>
          <w:rFonts w:ascii="Aptos Display" w:hAnsi="Aptos Display"/>
        </w:rPr>
        <w:t>Assessment</w:t>
      </w:r>
      <w:proofErr w:type="spellEnd"/>
      <w:r w:rsidRPr="00001D34">
        <w:rPr>
          <w:rFonts w:ascii="Aptos Display" w:hAnsi="Aptos Display"/>
        </w:rPr>
        <w:t xml:space="preserve"> &amp; Development Center), budowanie ścieżek kariery, a także usługi z zakresu </w:t>
      </w:r>
      <w:proofErr w:type="spellStart"/>
      <w:r w:rsidRPr="00001D34">
        <w:rPr>
          <w:rFonts w:ascii="Aptos Display" w:hAnsi="Aptos Display"/>
        </w:rPr>
        <w:t>employer</w:t>
      </w:r>
      <w:proofErr w:type="spellEnd"/>
      <w:r w:rsidRPr="00001D34">
        <w:rPr>
          <w:rFonts w:ascii="Aptos Display" w:hAnsi="Aptos Display"/>
        </w:rPr>
        <w:t xml:space="preserve"> </w:t>
      </w:r>
      <w:proofErr w:type="spellStart"/>
      <w:r w:rsidRPr="00001D34">
        <w:rPr>
          <w:rFonts w:ascii="Aptos Display" w:hAnsi="Aptos Display"/>
        </w:rPr>
        <w:t>brandingu</w:t>
      </w:r>
      <w:proofErr w:type="spellEnd"/>
      <w:r w:rsidRPr="00001D34">
        <w:rPr>
          <w:rFonts w:ascii="Aptos Display" w:hAnsi="Aptos Display"/>
        </w:rPr>
        <w:t xml:space="preserve"> oraz obsługi kadr i płac.</w:t>
      </w:r>
    </w:p>
    <w:p w14:paraId="194986FB" w14:textId="77777777" w:rsidR="00001D34" w:rsidRPr="00001D34" w:rsidRDefault="00001D34" w:rsidP="00001D34">
      <w:pPr>
        <w:spacing w:line="276" w:lineRule="auto"/>
        <w:jc w:val="both"/>
        <w:rPr>
          <w:rFonts w:ascii="Aptos Display" w:hAnsi="Aptos Display"/>
        </w:rPr>
      </w:pPr>
      <w:r w:rsidRPr="00001D34">
        <w:rPr>
          <w:rFonts w:ascii="Aptos Display" w:hAnsi="Aptos Display"/>
        </w:rPr>
        <w:t xml:space="preserve"> </w:t>
      </w:r>
    </w:p>
    <w:p w14:paraId="07ADC8D9" w14:textId="0B550AD0" w:rsidR="00070B41" w:rsidRPr="00001D34" w:rsidRDefault="00070B41" w:rsidP="00001D34">
      <w:pPr>
        <w:spacing w:line="276" w:lineRule="auto"/>
        <w:rPr>
          <w:rFonts w:ascii="Aptos Display" w:hAnsi="Aptos Display"/>
        </w:rPr>
      </w:pPr>
    </w:p>
    <w:sectPr w:rsidR="00070B41" w:rsidRPr="00001D3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0D2C6" w14:textId="77777777" w:rsidR="00200C5A" w:rsidRDefault="00200C5A" w:rsidP="00934983">
      <w:pPr>
        <w:spacing w:after="0" w:line="240" w:lineRule="auto"/>
      </w:pPr>
      <w:r>
        <w:separator/>
      </w:r>
    </w:p>
  </w:endnote>
  <w:endnote w:type="continuationSeparator" w:id="0">
    <w:p w14:paraId="0CD86A60" w14:textId="77777777" w:rsidR="00200C5A" w:rsidRDefault="00200C5A" w:rsidP="0093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D67" w14:textId="77777777" w:rsidR="0070242D" w:rsidRDefault="007024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2240" w14:textId="77777777" w:rsidR="00200C5A" w:rsidRDefault="00200C5A" w:rsidP="00934983">
      <w:pPr>
        <w:spacing w:after="0" w:line="240" w:lineRule="auto"/>
      </w:pPr>
      <w:r>
        <w:separator/>
      </w:r>
    </w:p>
  </w:footnote>
  <w:footnote w:type="continuationSeparator" w:id="0">
    <w:p w14:paraId="6C944EFC" w14:textId="77777777" w:rsidR="00200C5A" w:rsidRDefault="00200C5A" w:rsidP="0093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E448" w14:textId="41AE545A" w:rsidR="0058273F" w:rsidRDefault="0058273F">
    <w:pPr>
      <w:pStyle w:val="Nagwek"/>
    </w:pPr>
    <w:r>
      <w:rPr>
        <w:noProof/>
        <w:color w:val="2B579A"/>
        <w:shd w:val="clear" w:color="auto" w:fill="E6E6E6"/>
      </w:rPr>
      <w:drawing>
        <wp:anchor distT="0" distB="0" distL="114300" distR="114300" simplePos="0" relativeHeight="251658240" behindDoc="1" locked="0" layoutInCell="1" allowOverlap="1" wp14:anchorId="2AFF1167" wp14:editId="6F53E9A8">
          <wp:simplePos x="0" y="0"/>
          <wp:positionH relativeFrom="column">
            <wp:posOffset>5516245</wp:posOffset>
          </wp:positionH>
          <wp:positionV relativeFrom="paragraph">
            <wp:posOffset>-99060</wp:posOffset>
          </wp:positionV>
          <wp:extent cx="719859" cy="495300"/>
          <wp:effectExtent l="0" t="0" r="4445" b="0"/>
          <wp:wrapTight wrapText="bothSides">
            <wp:wrapPolygon edited="0">
              <wp:start x="0" y="0"/>
              <wp:lineTo x="0" y="20769"/>
              <wp:lineTo x="21162" y="20769"/>
              <wp:lineTo x="21162" y="0"/>
              <wp:lineTo x="0" y="0"/>
            </wp:wrapPolygon>
          </wp:wrapTight>
          <wp:docPr id="2" name="Obraz 2" descr="H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859"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7C85"/>
    <w:multiLevelType w:val="hybridMultilevel"/>
    <w:tmpl w:val="B87AC73A"/>
    <w:lvl w:ilvl="0" w:tplc="95EC12A0">
      <w:start w:val="1"/>
      <w:numFmt w:val="bullet"/>
      <w:lvlText w:val="-"/>
      <w:lvlJc w:val="left"/>
      <w:pPr>
        <w:ind w:left="720" w:hanging="360"/>
      </w:pPr>
      <w:rPr>
        <w:rFonts w:ascii="Aptos" w:hAnsi="Aptos" w:hint="default"/>
      </w:rPr>
    </w:lvl>
    <w:lvl w:ilvl="1" w:tplc="C36A42A4">
      <w:start w:val="1"/>
      <w:numFmt w:val="bullet"/>
      <w:lvlText w:val="o"/>
      <w:lvlJc w:val="left"/>
      <w:pPr>
        <w:ind w:left="1440" w:hanging="360"/>
      </w:pPr>
      <w:rPr>
        <w:rFonts w:ascii="Courier New" w:hAnsi="Courier New" w:hint="default"/>
      </w:rPr>
    </w:lvl>
    <w:lvl w:ilvl="2" w:tplc="04DA69E6">
      <w:start w:val="1"/>
      <w:numFmt w:val="bullet"/>
      <w:lvlText w:val=""/>
      <w:lvlJc w:val="left"/>
      <w:pPr>
        <w:ind w:left="2160" w:hanging="360"/>
      </w:pPr>
      <w:rPr>
        <w:rFonts w:ascii="Wingdings" w:hAnsi="Wingdings" w:hint="default"/>
      </w:rPr>
    </w:lvl>
    <w:lvl w:ilvl="3" w:tplc="FAA882DE">
      <w:start w:val="1"/>
      <w:numFmt w:val="bullet"/>
      <w:lvlText w:val=""/>
      <w:lvlJc w:val="left"/>
      <w:pPr>
        <w:ind w:left="2880" w:hanging="360"/>
      </w:pPr>
      <w:rPr>
        <w:rFonts w:ascii="Symbol" w:hAnsi="Symbol" w:hint="default"/>
      </w:rPr>
    </w:lvl>
    <w:lvl w:ilvl="4" w:tplc="135649C8">
      <w:start w:val="1"/>
      <w:numFmt w:val="bullet"/>
      <w:lvlText w:val="o"/>
      <w:lvlJc w:val="left"/>
      <w:pPr>
        <w:ind w:left="3600" w:hanging="360"/>
      </w:pPr>
      <w:rPr>
        <w:rFonts w:ascii="Courier New" w:hAnsi="Courier New" w:hint="default"/>
      </w:rPr>
    </w:lvl>
    <w:lvl w:ilvl="5" w:tplc="CD7EF4D2">
      <w:start w:val="1"/>
      <w:numFmt w:val="bullet"/>
      <w:lvlText w:val=""/>
      <w:lvlJc w:val="left"/>
      <w:pPr>
        <w:ind w:left="4320" w:hanging="360"/>
      </w:pPr>
      <w:rPr>
        <w:rFonts w:ascii="Wingdings" w:hAnsi="Wingdings" w:hint="default"/>
      </w:rPr>
    </w:lvl>
    <w:lvl w:ilvl="6" w:tplc="D3B8DCE8">
      <w:start w:val="1"/>
      <w:numFmt w:val="bullet"/>
      <w:lvlText w:val=""/>
      <w:lvlJc w:val="left"/>
      <w:pPr>
        <w:ind w:left="5040" w:hanging="360"/>
      </w:pPr>
      <w:rPr>
        <w:rFonts w:ascii="Symbol" w:hAnsi="Symbol" w:hint="default"/>
      </w:rPr>
    </w:lvl>
    <w:lvl w:ilvl="7" w:tplc="5C2EADA6">
      <w:start w:val="1"/>
      <w:numFmt w:val="bullet"/>
      <w:lvlText w:val="o"/>
      <w:lvlJc w:val="left"/>
      <w:pPr>
        <w:ind w:left="5760" w:hanging="360"/>
      </w:pPr>
      <w:rPr>
        <w:rFonts w:ascii="Courier New" w:hAnsi="Courier New" w:hint="default"/>
      </w:rPr>
    </w:lvl>
    <w:lvl w:ilvl="8" w:tplc="2D58FC30">
      <w:start w:val="1"/>
      <w:numFmt w:val="bullet"/>
      <w:lvlText w:val=""/>
      <w:lvlJc w:val="left"/>
      <w:pPr>
        <w:ind w:left="6480" w:hanging="360"/>
      </w:pPr>
      <w:rPr>
        <w:rFonts w:ascii="Wingdings" w:hAnsi="Wingdings" w:hint="default"/>
      </w:rPr>
    </w:lvl>
  </w:abstractNum>
  <w:abstractNum w:abstractNumId="1" w15:restartNumberingAfterBreak="0">
    <w:nsid w:val="22D9244C"/>
    <w:multiLevelType w:val="hybridMultilevel"/>
    <w:tmpl w:val="7402C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E2B33BE"/>
    <w:multiLevelType w:val="multilevel"/>
    <w:tmpl w:val="62A4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E1A08"/>
    <w:multiLevelType w:val="hybridMultilevel"/>
    <w:tmpl w:val="47DE9324"/>
    <w:lvl w:ilvl="0" w:tplc="33DC0E10">
      <w:start w:val="1"/>
      <w:numFmt w:val="bullet"/>
      <w:lvlText w:val="-"/>
      <w:lvlJc w:val="left"/>
      <w:pPr>
        <w:ind w:left="720" w:hanging="360"/>
      </w:pPr>
      <w:rPr>
        <w:rFonts w:ascii="Aptos" w:hAnsi="Aptos" w:hint="default"/>
      </w:rPr>
    </w:lvl>
    <w:lvl w:ilvl="1" w:tplc="D8B2DCEE">
      <w:start w:val="1"/>
      <w:numFmt w:val="bullet"/>
      <w:lvlText w:val="o"/>
      <w:lvlJc w:val="left"/>
      <w:pPr>
        <w:ind w:left="1440" w:hanging="360"/>
      </w:pPr>
      <w:rPr>
        <w:rFonts w:ascii="Courier New" w:hAnsi="Courier New" w:hint="default"/>
      </w:rPr>
    </w:lvl>
    <w:lvl w:ilvl="2" w:tplc="207CA7E6">
      <w:start w:val="1"/>
      <w:numFmt w:val="bullet"/>
      <w:lvlText w:val=""/>
      <w:lvlJc w:val="left"/>
      <w:pPr>
        <w:ind w:left="2160" w:hanging="360"/>
      </w:pPr>
      <w:rPr>
        <w:rFonts w:ascii="Wingdings" w:hAnsi="Wingdings" w:hint="default"/>
      </w:rPr>
    </w:lvl>
    <w:lvl w:ilvl="3" w:tplc="D3C48950">
      <w:start w:val="1"/>
      <w:numFmt w:val="bullet"/>
      <w:lvlText w:val=""/>
      <w:lvlJc w:val="left"/>
      <w:pPr>
        <w:ind w:left="2880" w:hanging="360"/>
      </w:pPr>
      <w:rPr>
        <w:rFonts w:ascii="Symbol" w:hAnsi="Symbol" w:hint="default"/>
      </w:rPr>
    </w:lvl>
    <w:lvl w:ilvl="4" w:tplc="3356BEB6">
      <w:start w:val="1"/>
      <w:numFmt w:val="bullet"/>
      <w:lvlText w:val="o"/>
      <w:lvlJc w:val="left"/>
      <w:pPr>
        <w:ind w:left="3600" w:hanging="360"/>
      </w:pPr>
      <w:rPr>
        <w:rFonts w:ascii="Courier New" w:hAnsi="Courier New" w:hint="default"/>
      </w:rPr>
    </w:lvl>
    <w:lvl w:ilvl="5" w:tplc="D7D6E88E">
      <w:start w:val="1"/>
      <w:numFmt w:val="bullet"/>
      <w:lvlText w:val=""/>
      <w:lvlJc w:val="left"/>
      <w:pPr>
        <w:ind w:left="4320" w:hanging="360"/>
      </w:pPr>
      <w:rPr>
        <w:rFonts w:ascii="Wingdings" w:hAnsi="Wingdings" w:hint="default"/>
      </w:rPr>
    </w:lvl>
    <w:lvl w:ilvl="6" w:tplc="16087234">
      <w:start w:val="1"/>
      <w:numFmt w:val="bullet"/>
      <w:lvlText w:val=""/>
      <w:lvlJc w:val="left"/>
      <w:pPr>
        <w:ind w:left="5040" w:hanging="360"/>
      </w:pPr>
      <w:rPr>
        <w:rFonts w:ascii="Symbol" w:hAnsi="Symbol" w:hint="default"/>
      </w:rPr>
    </w:lvl>
    <w:lvl w:ilvl="7" w:tplc="8F763358">
      <w:start w:val="1"/>
      <w:numFmt w:val="bullet"/>
      <w:lvlText w:val="o"/>
      <w:lvlJc w:val="left"/>
      <w:pPr>
        <w:ind w:left="5760" w:hanging="360"/>
      </w:pPr>
      <w:rPr>
        <w:rFonts w:ascii="Courier New" w:hAnsi="Courier New" w:hint="default"/>
      </w:rPr>
    </w:lvl>
    <w:lvl w:ilvl="8" w:tplc="38B87AB0">
      <w:start w:val="1"/>
      <w:numFmt w:val="bullet"/>
      <w:lvlText w:val=""/>
      <w:lvlJc w:val="left"/>
      <w:pPr>
        <w:ind w:left="6480" w:hanging="360"/>
      </w:pPr>
      <w:rPr>
        <w:rFonts w:ascii="Wingdings" w:hAnsi="Wingdings" w:hint="default"/>
      </w:rPr>
    </w:lvl>
  </w:abstractNum>
  <w:abstractNum w:abstractNumId="4" w15:restartNumberingAfterBreak="0">
    <w:nsid w:val="5D164EDC"/>
    <w:multiLevelType w:val="hybridMultilevel"/>
    <w:tmpl w:val="2DD834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F733643"/>
    <w:multiLevelType w:val="hybridMultilevel"/>
    <w:tmpl w:val="E578B856"/>
    <w:lvl w:ilvl="0" w:tplc="611497E0">
      <w:start w:val="1"/>
      <w:numFmt w:val="bullet"/>
      <w:lvlText w:val="-"/>
      <w:lvlJc w:val="left"/>
      <w:pPr>
        <w:ind w:left="720" w:hanging="360"/>
      </w:pPr>
      <w:rPr>
        <w:rFonts w:ascii="Aptos" w:hAnsi="Aptos" w:hint="default"/>
      </w:rPr>
    </w:lvl>
    <w:lvl w:ilvl="1" w:tplc="E27428C6">
      <w:start w:val="1"/>
      <w:numFmt w:val="bullet"/>
      <w:lvlText w:val="o"/>
      <w:lvlJc w:val="left"/>
      <w:pPr>
        <w:ind w:left="1440" w:hanging="360"/>
      </w:pPr>
      <w:rPr>
        <w:rFonts w:ascii="Courier New" w:hAnsi="Courier New" w:hint="default"/>
      </w:rPr>
    </w:lvl>
    <w:lvl w:ilvl="2" w:tplc="A5287A96">
      <w:start w:val="1"/>
      <w:numFmt w:val="bullet"/>
      <w:lvlText w:val=""/>
      <w:lvlJc w:val="left"/>
      <w:pPr>
        <w:ind w:left="2160" w:hanging="360"/>
      </w:pPr>
      <w:rPr>
        <w:rFonts w:ascii="Wingdings" w:hAnsi="Wingdings" w:hint="default"/>
      </w:rPr>
    </w:lvl>
    <w:lvl w:ilvl="3" w:tplc="4546FF32">
      <w:start w:val="1"/>
      <w:numFmt w:val="bullet"/>
      <w:lvlText w:val=""/>
      <w:lvlJc w:val="left"/>
      <w:pPr>
        <w:ind w:left="2880" w:hanging="360"/>
      </w:pPr>
      <w:rPr>
        <w:rFonts w:ascii="Symbol" w:hAnsi="Symbol" w:hint="default"/>
      </w:rPr>
    </w:lvl>
    <w:lvl w:ilvl="4" w:tplc="B142B112">
      <w:start w:val="1"/>
      <w:numFmt w:val="bullet"/>
      <w:lvlText w:val="o"/>
      <w:lvlJc w:val="left"/>
      <w:pPr>
        <w:ind w:left="3600" w:hanging="360"/>
      </w:pPr>
      <w:rPr>
        <w:rFonts w:ascii="Courier New" w:hAnsi="Courier New" w:hint="default"/>
      </w:rPr>
    </w:lvl>
    <w:lvl w:ilvl="5" w:tplc="925A1326">
      <w:start w:val="1"/>
      <w:numFmt w:val="bullet"/>
      <w:lvlText w:val=""/>
      <w:lvlJc w:val="left"/>
      <w:pPr>
        <w:ind w:left="4320" w:hanging="360"/>
      </w:pPr>
      <w:rPr>
        <w:rFonts w:ascii="Wingdings" w:hAnsi="Wingdings" w:hint="default"/>
      </w:rPr>
    </w:lvl>
    <w:lvl w:ilvl="6" w:tplc="EE44619A">
      <w:start w:val="1"/>
      <w:numFmt w:val="bullet"/>
      <w:lvlText w:val=""/>
      <w:lvlJc w:val="left"/>
      <w:pPr>
        <w:ind w:left="5040" w:hanging="360"/>
      </w:pPr>
      <w:rPr>
        <w:rFonts w:ascii="Symbol" w:hAnsi="Symbol" w:hint="default"/>
      </w:rPr>
    </w:lvl>
    <w:lvl w:ilvl="7" w:tplc="EF02E060">
      <w:start w:val="1"/>
      <w:numFmt w:val="bullet"/>
      <w:lvlText w:val="o"/>
      <w:lvlJc w:val="left"/>
      <w:pPr>
        <w:ind w:left="5760" w:hanging="360"/>
      </w:pPr>
      <w:rPr>
        <w:rFonts w:ascii="Courier New" w:hAnsi="Courier New" w:hint="default"/>
      </w:rPr>
    </w:lvl>
    <w:lvl w:ilvl="8" w:tplc="533A53C6">
      <w:start w:val="1"/>
      <w:numFmt w:val="bullet"/>
      <w:lvlText w:val=""/>
      <w:lvlJc w:val="left"/>
      <w:pPr>
        <w:ind w:left="6480" w:hanging="360"/>
      </w:pPr>
      <w:rPr>
        <w:rFonts w:ascii="Wingdings" w:hAnsi="Wingdings" w:hint="default"/>
      </w:rPr>
    </w:lvl>
  </w:abstractNum>
  <w:abstractNum w:abstractNumId="6" w15:restartNumberingAfterBreak="0">
    <w:nsid w:val="61B76203"/>
    <w:multiLevelType w:val="multilevel"/>
    <w:tmpl w:val="C3A8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4D1FF"/>
    <w:multiLevelType w:val="hybridMultilevel"/>
    <w:tmpl w:val="839C7EC8"/>
    <w:lvl w:ilvl="0" w:tplc="500E95EE">
      <w:start w:val="1"/>
      <w:numFmt w:val="bullet"/>
      <w:lvlText w:val="-"/>
      <w:lvlJc w:val="left"/>
      <w:pPr>
        <w:ind w:left="720" w:hanging="360"/>
      </w:pPr>
      <w:rPr>
        <w:rFonts w:ascii="Aptos" w:hAnsi="Aptos" w:hint="default"/>
      </w:rPr>
    </w:lvl>
    <w:lvl w:ilvl="1" w:tplc="50343AC4">
      <w:start w:val="1"/>
      <w:numFmt w:val="bullet"/>
      <w:lvlText w:val="o"/>
      <w:lvlJc w:val="left"/>
      <w:pPr>
        <w:ind w:left="1440" w:hanging="360"/>
      </w:pPr>
      <w:rPr>
        <w:rFonts w:ascii="Courier New" w:hAnsi="Courier New" w:hint="default"/>
      </w:rPr>
    </w:lvl>
    <w:lvl w:ilvl="2" w:tplc="01C64CE6">
      <w:start w:val="1"/>
      <w:numFmt w:val="bullet"/>
      <w:lvlText w:val=""/>
      <w:lvlJc w:val="left"/>
      <w:pPr>
        <w:ind w:left="2160" w:hanging="360"/>
      </w:pPr>
      <w:rPr>
        <w:rFonts w:ascii="Wingdings" w:hAnsi="Wingdings" w:hint="default"/>
      </w:rPr>
    </w:lvl>
    <w:lvl w:ilvl="3" w:tplc="685AA380">
      <w:start w:val="1"/>
      <w:numFmt w:val="bullet"/>
      <w:lvlText w:val=""/>
      <w:lvlJc w:val="left"/>
      <w:pPr>
        <w:ind w:left="2880" w:hanging="360"/>
      </w:pPr>
      <w:rPr>
        <w:rFonts w:ascii="Symbol" w:hAnsi="Symbol" w:hint="default"/>
      </w:rPr>
    </w:lvl>
    <w:lvl w:ilvl="4" w:tplc="F63C0134">
      <w:start w:val="1"/>
      <w:numFmt w:val="bullet"/>
      <w:lvlText w:val="o"/>
      <w:lvlJc w:val="left"/>
      <w:pPr>
        <w:ind w:left="3600" w:hanging="360"/>
      </w:pPr>
      <w:rPr>
        <w:rFonts w:ascii="Courier New" w:hAnsi="Courier New" w:hint="default"/>
      </w:rPr>
    </w:lvl>
    <w:lvl w:ilvl="5" w:tplc="863E5AF0">
      <w:start w:val="1"/>
      <w:numFmt w:val="bullet"/>
      <w:lvlText w:val=""/>
      <w:lvlJc w:val="left"/>
      <w:pPr>
        <w:ind w:left="4320" w:hanging="360"/>
      </w:pPr>
      <w:rPr>
        <w:rFonts w:ascii="Wingdings" w:hAnsi="Wingdings" w:hint="default"/>
      </w:rPr>
    </w:lvl>
    <w:lvl w:ilvl="6" w:tplc="421A72B4">
      <w:start w:val="1"/>
      <w:numFmt w:val="bullet"/>
      <w:lvlText w:val=""/>
      <w:lvlJc w:val="left"/>
      <w:pPr>
        <w:ind w:left="5040" w:hanging="360"/>
      </w:pPr>
      <w:rPr>
        <w:rFonts w:ascii="Symbol" w:hAnsi="Symbol" w:hint="default"/>
      </w:rPr>
    </w:lvl>
    <w:lvl w:ilvl="7" w:tplc="D34A574A">
      <w:start w:val="1"/>
      <w:numFmt w:val="bullet"/>
      <w:lvlText w:val="o"/>
      <w:lvlJc w:val="left"/>
      <w:pPr>
        <w:ind w:left="5760" w:hanging="360"/>
      </w:pPr>
      <w:rPr>
        <w:rFonts w:ascii="Courier New" w:hAnsi="Courier New" w:hint="default"/>
      </w:rPr>
    </w:lvl>
    <w:lvl w:ilvl="8" w:tplc="2878E2CA">
      <w:start w:val="1"/>
      <w:numFmt w:val="bullet"/>
      <w:lvlText w:val=""/>
      <w:lvlJc w:val="left"/>
      <w:pPr>
        <w:ind w:left="6480" w:hanging="360"/>
      </w:pPr>
      <w:rPr>
        <w:rFonts w:ascii="Wingdings" w:hAnsi="Wingdings" w:hint="default"/>
      </w:rPr>
    </w:lvl>
  </w:abstractNum>
  <w:abstractNum w:abstractNumId="8" w15:restartNumberingAfterBreak="0">
    <w:nsid w:val="6A2563E7"/>
    <w:multiLevelType w:val="hybridMultilevel"/>
    <w:tmpl w:val="664286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A2D7BA2"/>
    <w:multiLevelType w:val="hybridMultilevel"/>
    <w:tmpl w:val="A4B08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12577C2"/>
    <w:multiLevelType w:val="multilevel"/>
    <w:tmpl w:val="454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47FA6D"/>
    <w:multiLevelType w:val="hybridMultilevel"/>
    <w:tmpl w:val="1304FF56"/>
    <w:lvl w:ilvl="0" w:tplc="34808E9A">
      <w:start w:val="1"/>
      <w:numFmt w:val="bullet"/>
      <w:lvlText w:val="-"/>
      <w:lvlJc w:val="left"/>
      <w:pPr>
        <w:ind w:left="720" w:hanging="360"/>
      </w:pPr>
      <w:rPr>
        <w:rFonts w:ascii="Aptos" w:hAnsi="Aptos" w:hint="default"/>
      </w:rPr>
    </w:lvl>
    <w:lvl w:ilvl="1" w:tplc="18165B66">
      <w:start w:val="1"/>
      <w:numFmt w:val="bullet"/>
      <w:lvlText w:val="o"/>
      <w:lvlJc w:val="left"/>
      <w:pPr>
        <w:ind w:left="1440" w:hanging="360"/>
      </w:pPr>
      <w:rPr>
        <w:rFonts w:ascii="Courier New" w:hAnsi="Courier New" w:hint="default"/>
      </w:rPr>
    </w:lvl>
    <w:lvl w:ilvl="2" w:tplc="D50EF162">
      <w:start w:val="1"/>
      <w:numFmt w:val="bullet"/>
      <w:lvlText w:val=""/>
      <w:lvlJc w:val="left"/>
      <w:pPr>
        <w:ind w:left="2160" w:hanging="360"/>
      </w:pPr>
      <w:rPr>
        <w:rFonts w:ascii="Wingdings" w:hAnsi="Wingdings" w:hint="default"/>
      </w:rPr>
    </w:lvl>
    <w:lvl w:ilvl="3" w:tplc="C8227D7A">
      <w:start w:val="1"/>
      <w:numFmt w:val="bullet"/>
      <w:lvlText w:val=""/>
      <w:lvlJc w:val="left"/>
      <w:pPr>
        <w:ind w:left="2880" w:hanging="360"/>
      </w:pPr>
      <w:rPr>
        <w:rFonts w:ascii="Symbol" w:hAnsi="Symbol" w:hint="default"/>
      </w:rPr>
    </w:lvl>
    <w:lvl w:ilvl="4" w:tplc="2FB47144">
      <w:start w:val="1"/>
      <w:numFmt w:val="bullet"/>
      <w:lvlText w:val="o"/>
      <w:lvlJc w:val="left"/>
      <w:pPr>
        <w:ind w:left="3600" w:hanging="360"/>
      </w:pPr>
      <w:rPr>
        <w:rFonts w:ascii="Courier New" w:hAnsi="Courier New" w:hint="default"/>
      </w:rPr>
    </w:lvl>
    <w:lvl w:ilvl="5" w:tplc="D5C22644">
      <w:start w:val="1"/>
      <w:numFmt w:val="bullet"/>
      <w:lvlText w:val=""/>
      <w:lvlJc w:val="left"/>
      <w:pPr>
        <w:ind w:left="4320" w:hanging="360"/>
      </w:pPr>
      <w:rPr>
        <w:rFonts w:ascii="Wingdings" w:hAnsi="Wingdings" w:hint="default"/>
      </w:rPr>
    </w:lvl>
    <w:lvl w:ilvl="6" w:tplc="66F2DC64">
      <w:start w:val="1"/>
      <w:numFmt w:val="bullet"/>
      <w:lvlText w:val=""/>
      <w:lvlJc w:val="left"/>
      <w:pPr>
        <w:ind w:left="5040" w:hanging="360"/>
      </w:pPr>
      <w:rPr>
        <w:rFonts w:ascii="Symbol" w:hAnsi="Symbol" w:hint="default"/>
      </w:rPr>
    </w:lvl>
    <w:lvl w:ilvl="7" w:tplc="80607B8E">
      <w:start w:val="1"/>
      <w:numFmt w:val="bullet"/>
      <w:lvlText w:val="o"/>
      <w:lvlJc w:val="left"/>
      <w:pPr>
        <w:ind w:left="5760" w:hanging="360"/>
      </w:pPr>
      <w:rPr>
        <w:rFonts w:ascii="Courier New" w:hAnsi="Courier New" w:hint="default"/>
      </w:rPr>
    </w:lvl>
    <w:lvl w:ilvl="8" w:tplc="93A81210">
      <w:start w:val="1"/>
      <w:numFmt w:val="bullet"/>
      <w:lvlText w:val=""/>
      <w:lvlJc w:val="left"/>
      <w:pPr>
        <w:ind w:left="6480" w:hanging="360"/>
      </w:pPr>
      <w:rPr>
        <w:rFonts w:ascii="Wingdings" w:hAnsi="Wingdings" w:hint="default"/>
      </w:rPr>
    </w:lvl>
  </w:abstractNum>
  <w:abstractNum w:abstractNumId="12" w15:restartNumberingAfterBreak="0">
    <w:nsid w:val="7D5DE58A"/>
    <w:multiLevelType w:val="hybridMultilevel"/>
    <w:tmpl w:val="B57A83D0"/>
    <w:lvl w:ilvl="0" w:tplc="53240C2C">
      <w:start w:val="1"/>
      <w:numFmt w:val="bullet"/>
      <w:lvlText w:val="-"/>
      <w:lvlJc w:val="left"/>
      <w:pPr>
        <w:ind w:left="720" w:hanging="360"/>
      </w:pPr>
      <w:rPr>
        <w:rFonts w:ascii="Aptos" w:hAnsi="Aptos" w:hint="default"/>
      </w:rPr>
    </w:lvl>
    <w:lvl w:ilvl="1" w:tplc="55EE1F88">
      <w:start w:val="1"/>
      <w:numFmt w:val="bullet"/>
      <w:lvlText w:val="o"/>
      <w:lvlJc w:val="left"/>
      <w:pPr>
        <w:ind w:left="1440" w:hanging="360"/>
      </w:pPr>
      <w:rPr>
        <w:rFonts w:ascii="Courier New" w:hAnsi="Courier New" w:hint="default"/>
      </w:rPr>
    </w:lvl>
    <w:lvl w:ilvl="2" w:tplc="F4748988">
      <w:start w:val="1"/>
      <w:numFmt w:val="bullet"/>
      <w:lvlText w:val=""/>
      <w:lvlJc w:val="left"/>
      <w:pPr>
        <w:ind w:left="2160" w:hanging="360"/>
      </w:pPr>
      <w:rPr>
        <w:rFonts w:ascii="Wingdings" w:hAnsi="Wingdings" w:hint="default"/>
      </w:rPr>
    </w:lvl>
    <w:lvl w:ilvl="3" w:tplc="93A48528">
      <w:start w:val="1"/>
      <w:numFmt w:val="bullet"/>
      <w:lvlText w:val=""/>
      <w:lvlJc w:val="left"/>
      <w:pPr>
        <w:ind w:left="2880" w:hanging="360"/>
      </w:pPr>
      <w:rPr>
        <w:rFonts w:ascii="Symbol" w:hAnsi="Symbol" w:hint="default"/>
      </w:rPr>
    </w:lvl>
    <w:lvl w:ilvl="4" w:tplc="C7E063D0">
      <w:start w:val="1"/>
      <w:numFmt w:val="bullet"/>
      <w:lvlText w:val="o"/>
      <w:lvlJc w:val="left"/>
      <w:pPr>
        <w:ind w:left="3600" w:hanging="360"/>
      </w:pPr>
      <w:rPr>
        <w:rFonts w:ascii="Courier New" w:hAnsi="Courier New" w:hint="default"/>
      </w:rPr>
    </w:lvl>
    <w:lvl w:ilvl="5" w:tplc="BDD633F2">
      <w:start w:val="1"/>
      <w:numFmt w:val="bullet"/>
      <w:lvlText w:val=""/>
      <w:lvlJc w:val="left"/>
      <w:pPr>
        <w:ind w:left="4320" w:hanging="360"/>
      </w:pPr>
      <w:rPr>
        <w:rFonts w:ascii="Wingdings" w:hAnsi="Wingdings" w:hint="default"/>
      </w:rPr>
    </w:lvl>
    <w:lvl w:ilvl="6" w:tplc="249CED00">
      <w:start w:val="1"/>
      <w:numFmt w:val="bullet"/>
      <w:lvlText w:val=""/>
      <w:lvlJc w:val="left"/>
      <w:pPr>
        <w:ind w:left="5040" w:hanging="360"/>
      </w:pPr>
      <w:rPr>
        <w:rFonts w:ascii="Symbol" w:hAnsi="Symbol" w:hint="default"/>
      </w:rPr>
    </w:lvl>
    <w:lvl w:ilvl="7" w:tplc="AE187EB0">
      <w:start w:val="1"/>
      <w:numFmt w:val="bullet"/>
      <w:lvlText w:val="o"/>
      <w:lvlJc w:val="left"/>
      <w:pPr>
        <w:ind w:left="5760" w:hanging="360"/>
      </w:pPr>
      <w:rPr>
        <w:rFonts w:ascii="Courier New" w:hAnsi="Courier New" w:hint="default"/>
      </w:rPr>
    </w:lvl>
    <w:lvl w:ilvl="8" w:tplc="A8567562">
      <w:start w:val="1"/>
      <w:numFmt w:val="bullet"/>
      <w:lvlText w:val=""/>
      <w:lvlJc w:val="left"/>
      <w:pPr>
        <w:ind w:left="6480" w:hanging="360"/>
      </w:pPr>
      <w:rPr>
        <w:rFonts w:ascii="Wingdings" w:hAnsi="Wingdings" w:hint="default"/>
      </w:rPr>
    </w:lvl>
  </w:abstractNum>
  <w:num w:numId="1" w16cid:durableId="897975222">
    <w:abstractNumId w:val="3"/>
  </w:num>
  <w:num w:numId="2" w16cid:durableId="333264056">
    <w:abstractNumId w:val="5"/>
  </w:num>
  <w:num w:numId="3" w16cid:durableId="538586523">
    <w:abstractNumId w:val="7"/>
  </w:num>
  <w:num w:numId="4" w16cid:durableId="96222430">
    <w:abstractNumId w:val="11"/>
  </w:num>
  <w:num w:numId="5" w16cid:durableId="739836220">
    <w:abstractNumId w:val="0"/>
  </w:num>
  <w:num w:numId="6" w16cid:durableId="1619488507">
    <w:abstractNumId w:val="12"/>
  </w:num>
  <w:num w:numId="7" w16cid:durableId="169372491">
    <w:abstractNumId w:val="4"/>
  </w:num>
  <w:num w:numId="8" w16cid:durableId="41447091">
    <w:abstractNumId w:val="1"/>
  </w:num>
  <w:num w:numId="9" w16cid:durableId="18211894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1852632">
    <w:abstractNumId w:val="8"/>
  </w:num>
  <w:num w:numId="11" w16cid:durableId="1617132034">
    <w:abstractNumId w:val="9"/>
  </w:num>
  <w:num w:numId="12" w16cid:durableId="1161851987">
    <w:abstractNumId w:val="6"/>
  </w:num>
  <w:num w:numId="13" w16cid:durableId="18748321">
    <w:abstractNumId w:val="10"/>
  </w:num>
  <w:num w:numId="14" w16cid:durableId="1568614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20"/>
    <w:rsid w:val="0000004E"/>
    <w:rsid w:val="00000CF0"/>
    <w:rsid w:val="00001D34"/>
    <w:rsid w:val="00003F25"/>
    <w:rsid w:val="00004A60"/>
    <w:rsid w:val="000066CA"/>
    <w:rsid w:val="00006CA0"/>
    <w:rsid w:val="000102F6"/>
    <w:rsid w:val="00010BFF"/>
    <w:rsid w:val="0001227E"/>
    <w:rsid w:val="000131C3"/>
    <w:rsid w:val="00013A90"/>
    <w:rsid w:val="000146CC"/>
    <w:rsid w:val="00015591"/>
    <w:rsid w:val="00015A8A"/>
    <w:rsid w:val="00017BE8"/>
    <w:rsid w:val="00023206"/>
    <w:rsid w:val="00023543"/>
    <w:rsid w:val="00025986"/>
    <w:rsid w:val="00026FE7"/>
    <w:rsid w:val="000307F1"/>
    <w:rsid w:val="000309FA"/>
    <w:rsid w:val="00033E30"/>
    <w:rsid w:val="00033F1C"/>
    <w:rsid w:val="00034645"/>
    <w:rsid w:val="00037E14"/>
    <w:rsid w:val="000408D4"/>
    <w:rsid w:val="00041E27"/>
    <w:rsid w:val="00042320"/>
    <w:rsid w:val="0004233A"/>
    <w:rsid w:val="000429E1"/>
    <w:rsid w:val="00043274"/>
    <w:rsid w:val="00046664"/>
    <w:rsid w:val="0005054C"/>
    <w:rsid w:val="00053A05"/>
    <w:rsid w:val="000563A3"/>
    <w:rsid w:val="00060DA9"/>
    <w:rsid w:val="00062103"/>
    <w:rsid w:val="00062600"/>
    <w:rsid w:val="00065B40"/>
    <w:rsid w:val="00065F46"/>
    <w:rsid w:val="000709A9"/>
    <w:rsid w:val="00070B41"/>
    <w:rsid w:val="00071E33"/>
    <w:rsid w:val="00074AC5"/>
    <w:rsid w:val="00075D21"/>
    <w:rsid w:val="000804F5"/>
    <w:rsid w:val="00080A29"/>
    <w:rsid w:val="0008331D"/>
    <w:rsid w:val="00085955"/>
    <w:rsid w:val="00091C4A"/>
    <w:rsid w:val="000944EC"/>
    <w:rsid w:val="00094609"/>
    <w:rsid w:val="00097EA0"/>
    <w:rsid w:val="000A2B2B"/>
    <w:rsid w:val="000A311B"/>
    <w:rsid w:val="000A4465"/>
    <w:rsid w:val="000A72A2"/>
    <w:rsid w:val="000A7BB2"/>
    <w:rsid w:val="000B69B5"/>
    <w:rsid w:val="000B6A23"/>
    <w:rsid w:val="000B7E76"/>
    <w:rsid w:val="000C1DEC"/>
    <w:rsid w:val="000C63A8"/>
    <w:rsid w:val="000C7BBF"/>
    <w:rsid w:val="000D3300"/>
    <w:rsid w:val="000D42D3"/>
    <w:rsid w:val="000E1404"/>
    <w:rsid w:val="000E3CED"/>
    <w:rsid w:val="000E4DF1"/>
    <w:rsid w:val="000F177E"/>
    <w:rsid w:val="000F227C"/>
    <w:rsid w:val="000F3C17"/>
    <w:rsid w:val="000F524B"/>
    <w:rsid w:val="000F6051"/>
    <w:rsid w:val="001002A3"/>
    <w:rsid w:val="00101CA8"/>
    <w:rsid w:val="00107550"/>
    <w:rsid w:val="00110876"/>
    <w:rsid w:val="0011621A"/>
    <w:rsid w:val="00117A71"/>
    <w:rsid w:val="00120441"/>
    <w:rsid w:val="00121AF6"/>
    <w:rsid w:val="0012208E"/>
    <w:rsid w:val="00124AB8"/>
    <w:rsid w:val="001279B1"/>
    <w:rsid w:val="0013278E"/>
    <w:rsid w:val="00135D2E"/>
    <w:rsid w:val="0013610E"/>
    <w:rsid w:val="00137987"/>
    <w:rsid w:val="00142A79"/>
    <w:rsid w:val="0014401B"/>
    <w:rsid w:val="00155275"/>
    <w:rsid w:val="00155CFB"/>
    <w:rsid w:val="0015771E"/>
    <w:rsid w:val="00161C85"/>
    <w:rsid w:val="00163CC0"/>
    <w:rsid w:val="00166CC0"/>
    <w:rsid w:val="001678DE"/>
    <w:rsid w:val="001712EA"/>
    <w:rsid w:val="00172B74"/>
    <w:rsid w:val="00173067"/>
    <w:rsid w:val="001738FE"/>
    <w:rsid w:val="00173E58"/>
    <w:rsid w:val="001765E7"/>
    <w:rsid w:val="00177088"/>
    <w:rsid w:val="00184B0E"/>
    <w:rsid w:val="001876FF"/>
    <w:rsid w:val="00190BB1"/>
    <w:rsid w:val="001921F5"/>
    <w:rsid w:val="001A2FF4"/>
    <w:rsid w:val="001A75D7"/>
    <w:rsid w:val="001A7D85"/>
    <w:rsid w:val="001B3516"/>
    <w:rsid w:val="001B6CD3"/>
    <w:rsid w:val="001B7B67"/>
    <w:rsid w:val="001C2ABC"/>
    <w:rsid w:val="001D3BAC"/>
    <w:rsid w:val="001D504F"/>
    <w:rsid w:val="001D5CBF"/>
    <w:rsid w:val="001E1169"/>
    <w:rsid w:val="001E2C85"/>
    <w:rsid w:val="001E6BED"/>
    <w:rsid w:val="001F2546"/>
    <w:rsid w:val="001F344B"/>
    <w:rsid w:val="001F40CB"/>
    <w:rsid w:val="001F48F7"/>
    <w:rsid w:val="001F5430"/>
    <w:rsid w:val="001F680F"/>
    <w:rsid w:val="002007B5"/>
    <w:rsid w:val="00200C5A"/>
    <w:rsid w:val="00201FB8"/>
    <w:rsid w:val="00203FEA"/>
    <w:rsid w:val="00205F95"/>
    <w:rsid w:val="00210F5A"/>
    <w:rsid w:val="0021415E"/>
    <w:rsid w:val="002147A1"/>
    <w:rsid w:val="00215C41"/>
    <w:rsid w:val="00220A3A"/>
    <w:rsid w:val="00221F91"/>
    <w:rsid w:val="002225E5"/>
    <w:rsid w:val="00222CCC"/>
    <w:rsid w:val="00223902"/>
    <w:rsid w:val="002274AB"/>
    <w:rsid w:val="00232011"/>
    <w:rsid w:val="00233FE1"/>
    <w:rsid w:val="00236EED"/>
    <w:rsid w:val="0024074E"/>
    <w:rsid w:val="002417D3"/>
    <w:rsid w:val="002425FB"/>
    <w:rsid w:val="00250508"/>
    <w:rsid w:val="00254E50"/>
    <w:rsid w:val="00257CF6"/>
    <w:rsid w:val="00260B42"/>
    <w:rsid w:val="00263687"/>
    <w:rsid w:val="00264A7D"/>
    <w:rsid w:val="00265D63"/>
    <w:rsid w:val="0027278A"/>
    <w:rsid w:val="00272DE1"/>
    <w:rsid w:val="00275B66"/>
    <w:rsid w:val="002806D6"/>
    <w:rsid w:val="00281545"/>
    <w:rsid w:val="00281DF3"/>
    <w:rsid w:val="00286C6C"/>
    <w:rsid w:val="002913A2"/>
    <w:rsid w:val="002931BC"/>
    <w:rsid w:val="002944C5"/>
    <w:rsid w:val="00294997"/>
    <w:rsid w:val="00295986"/>
    <w:rsid w:val="002965C7"/>
    <w:rsid w:val="002A34E0"/>
    <w:rsid w:val="002A6AE6"/>
    <w:rsid w:val="002B1F53"/>
    <w:rsid w:val="002B43DE"/>
    <w:rsid w:val="002B6BF0"/>
    <w:rsid w:val="002C157A"/>
    <w:rsid w:val="002C5B76"/>
    <w:rsid w:val="002D0A65"/>
    <w:rsid w:val="002D169A"/>
    <w:rsid w:val="002E0686"/>
    <w:rsid w:val="002E4C9A"/>
    <w:rsid w:val="002E62A8"/>
    <w:rsid w:val="002E71C2"/>
    <w:rsid w:val="002F10AB"/>
    <w:rsid w:val="002F3369"/>
    <w:rsid w:val="002F4BDE"/>
    <w:rsid w:val="002F6E4B"/>
    <w:rsid w:val="003006CA"/>
    <w:rsid w:val="00300980"/>
    <w:rsid w:val="00301E8E"/>
    <w:rsid w:val="00301ECC"/>
    <w:rsid w:val="00303A09"/>
    <w:rsid w:val="0031018A"/>
    <w:rsid w:val="00310452"/>
    <w:rsid w:val="00314709"/>
    <w:rsid w:val="00314B29"/>
    <w:rsid w:val="0031772B"/>
    <w:rsid w:val="00317F14"/>
    <w:rsid w:val="00321612"/>
    <w:rsid w:val="00321CB7"/>
    <w:rsid w:val="003235CA"/>
    <w:rsid w:val="00326085"/>
    <w:rsid w:val="003267A8"/>
    <w:rsid w:val="003271E5"/>
    <w:rsid w:val="00327BA0"/>
    <w:rsid w:val="00330620"/>
    <w:rsid w:val="00331FF4"/>
    <w:rsid w:val="003404A0"/>
    <w:rsid w:val="0034107F"/>
    <w:rsid w:val="00342CAA"/>
    <w:rsid w:val="00342F5E"/>
    <w:rsid w:val="00343B51"/>
    <w:rsid w:val="00345149"/>
    <w:rsid w:val="00347CB8"/>
    <w:rsid w:val="00350A61"/>
    <w:rsid w:val="00352B32"/>
    <w:rsid w:val="00353786"/>
    <w:rsid w:val="00360049"/>
    <w:rsid w:val="00361433"/>
    <w:rsid w:val="00361D93"/>
    <w:rsid w:val="0036298B"/>
    <w:rsid w:val="003674B4"/>
    <w:rsid w:val="0037246A"/>
    <w:rsid w:val="003724C4"/>
    <w:rsid w:val="0037402D"/>
    <w:rsid w:val="003741B1"/>
    <w:rsid w:val="00377206"/>
    <w:rsid w:val="003808CA"/>
    <w:rsid w:val="00381C76"/>
    <w:rsid w:val="003823C3"/>
    <w:rsid w:val="003913AC"/>
    <w:rsid w:val="00392956"/>
    <w:rsid w:val="003A0958"/>
    <w:rsid w:val="003A26A6"/>
    <w:rsid w:val="003A5B11"/>
    <w:rsid w:val="003A63C8"/>
    <w:rsid w:val="003A6A7F"/>
    <w:rsid w:val="003C280D"/>
    <w:rsid w:val="003C4035"/>
    <w:rsid w:val="003C7B7C"/>
    <w:rsid w:val="003D0101"/>
    <w:rsid w:val="003D05F6"/>
    <w:rsid w:val="003D18C6"/>
    <w:rsid w:val="003D33D9"/>
    <w:rsid w:val="003E316B"/>
    <w:rsid w:val="003E3184"/>
    <w:rsid w:val="003E4ED4"/>
    <w:rsid w:val="003E7117"/>
    <w:rsid w:val="003F050B"/>
    <w:rsid w:val="003F1B9F"/>
    <w:rsid w:val="003F215F"/>
    <w:rsid w:val="003F3E4F"/>
    <w:rsid w:val="003F72B0"/>
    <w:rsid w:val="003F7508"/>
    <w:rsid w:val="00402337"/>
    <w:rsid w:val="00406FC0"/>
    <w:rsid w:val="004074AF"/>
    <w:rsid w:val="004075B8"/>
    <w:rsid w:val="00411A41"/>
    <w:rsid w:val="00414695"/>
    <w:rsid w:val="004171DA"/>
    <w:rsid w:val="00417CC4"/>
    <w:rsid w:val="00417D68"/>
    <w:rsid w:val="00420A03"/>
    <w:rsid w:val="00420D51"/>
    <w:rsid w:val="004210D0"/>
    <w:rsid w:val="00421CB1"/>
    <w:rsid w:val="00422A66"/>
    <w:rsid w:val="0042461A"/>
    <w:rsid w:val="00424862"/>
    <w:rsid w:val="004260A4"/>
    <w:rsid w:val="00426204"/>
    <w:rsid w:val="00427474"/>
    <w:rsid w:val="00432146"/>
    <w:rsid w:val="00432164"/>
    <w:rsid w:val="004331CE"/>
    <w:rsid w:val="00437483"/>
    <w:rsid w:val="00437C14"/>
    <w:rsid w:val="00440E44"/>
    <w:rsid w:val="00441E96"/>
    <w:rsid w:val="004422F1"/>
    <w:rsid w:val="004443E8"/>
    <w:rsid w:val="00451812"/>
    <w:rsid w:val="00451FD4"/>
    <w:rsid w:val="004566D3"/>
    <w:rsid w:val="004578A7"/>
    <w:rsid w:val="00460140"/>
    <w:rsid w:val="004665B1"/>
    <w:rsid w:val="0046684E"/>
    <w:rsid w:val="0047026C"/>
    <w:rsid w:val="004725CF"/>
    <w:rsid w:val="00475ED2"/>
    <w:rsid w:val="0047689E"/>
    <w:rsid w:val="004807EF"/>
    <w:rsid w:val="00480BF2"/>
    <w:rsid w:val="00482CFD"/>
    <w:rsid w:val="004836A0"/>
    <w:rsid w:val="00495294"/>
    <w:rsid w:val="004A4784"/>
    <w:rsid w:val="004A5FDB"/>
    <w:rsid w:val="004A771A"/>
    <w:rsid w:val="004B1215"/>
    <w:rsid w:val="004B121B"/>
    <w:rsid w:val="004B17CF"/>
    <w:rsid w:val="004B3F84"/>
    <w:rsid w:val="004B5F88"/>
    <w:rsid w:val="004B62B3"/>
    <w:rsid w:val="004B6B8E"/>
    <w:rsid w:val="004C1F50"/>
    <w:rsid w:val="004C2FC3"/>
    <w:rsid w:val="004C35B7"/>
    <w:rsid w:val="004C4193"/>
    <w:rsid w:val="004C4356"/>
    <w:rsid w:val="004C4C59"/>
    <w:rsid w:val="004C57B4"/>
    <w:rsid w:val="004C5BC6"/>
    <w:rsid w:val="004C7012"/>
    <w:rsid w:val="004C7FB8"/>
    <w:rsid w:val="004D1B80"/>
    <w:rsid w:val="004D7B7E"/>
    <w:rsid w:val="004D7B8A"/>
    <w:rsid w:val="004E2ADF"/>
    <w:rsid w:val="004E3453"/>
    <w:rsid w:val="004E3A5A"/>
    <w:rsid w:val="004F4E95"/>
    <w:rsid w:val="004F5E7B"/>
    <w:rsid w:val="004F60F4"/>
    <w:rsid w:val="005036D6"/>
    <w:rsid w:val="005055C7"/>
    <w:rsid w:val="00505A32"/>
    <w:rsid w:val="005103A1"/>
    <w:rsid w:val="0051094A"/>
    <w:rsid w:val="0051598E"/>
    <w:rsid w:val="00515FC5"/>
    <w:rsid w:val="005171DC"/>
    <w:rsid w:val="0051767A"/>
    <w:rsid w:val="00520791"/>
    <w:rsid w:val="00526188"/>
    <w:rsid w:val="005270A5"/>
    <w:rsid w:val="00530C28"/>
    <w:rsid w:val="00535464"/>
    <w:rsid w:val="00535553"/>
    <w:rsid w:val="0053686D"/>
    <w:rsid w:val="00537256"/>
    <w:rsid w:val="005372EB"/>
    <w:rsid w:val="00540E7E"/>
    <w:rsid w:val="005431AE"/>
    <w:rsid w:val="00545C9E"/>
    <w:rsid w:val="00546456"/>
    <w:rsid w:val="00546912"/>
    <w:rsid w:val="0055171D"/>
    <w:rsid w:val="005523F6"/>
    <w:rsid w:val="00552855"/>
    <w:rsid w:val="00553D25"/>
    <w:rsid w:val="005558B1"/>
    <w:rsid w:val="00555990"/>
    <w:rsid w:val="005639AA"/>
    <w:rsid w:val="005647EC"/>
    <w:rsid w:val="00565B68"/>
    <w:rsid w:val="00570C5F"/>
    <w:rsid w:val="00570EA1"/>
    <w:rsid w:val="00572FD9"/>
    <w:rsid w:val="00573C88"/>
    <w:rsid w:val="00574A05"/>
    <w:rsid w:val="00575C36"/>
    <w:rsid w:val="0058036F"/>
    <w:rsid w:val="0058273F"/>
    <w:rsid w:val="005872D3"/>
    <w:rsid w:val="00587994"/>
    <w:rsid w:val="005918C2"/>
    <w:rsid w:val="00595C3D"/>
    <w:rsid w:val="00595EB9"/>
    <w:rsid w:val="005A0316"/>
    <w:rsid w:val="005A5A05"/>
    <w:rsid w:val="005A6DED"/>
    <w:rsid w:val="005B1C0C"/>
    <w:rsid w:val="005B7AC0"/>
    <w:rsid w:val="005C01B9"/>
    <w:rsid w:val="005C0F3D"/>
    <w:rsid w:val="005C4170"/>
    <w:rsid w:val="005C548A"/>
    <w:rsid w:val="005D1BAC"/>
    <w:rsid w:val="005D295E"/>
    <w:rsid w:val="005D39A6"/>
    <w:rsid w:val="005E0B77"/>
    <w:rsid w:val="005E1951"/>
    <w:rsid w:val="005E1FD0"/>
    <w:rsid w:val="005E4ABD"/>
    <w:rsid w:val="005E705B"/>
    <w:rsid w:val="005F0FBA"/>
    <w:rsid w:val="005F2A98"/>
    <w:rsid w:val="005F36B8"/>
    <w:rsid w:val="005F579D"/>
    <w:rsid w:val="005F584C"/>
    <w:rsid w:val="005F5BE7"/>
    <w:rsid w:val="005F6E80"/>
    <w:rsid w:val="005F743E"/>
    <w:rsid w:val="006108B9"/>
    <w:rsid w:val="00610F78"/>
    <w:rsid w:val="00611260"/>
    <w:rsid w:val="006131C2"/>
    <w:rsid w:val="00613699"/>
    <w:rsid w:val="00613F39"/>
    <w:rsid w:val="00621D1E"/>
    <w:rsid w:val="00623CC9"/>
    <w:rsid w:val="006275FB"/>
    <w:rsid w:val="006310D4"/>
    <w:rsid w:val="006363D7"/>
    <w:rsid w:val="00636934"/>
    <w:rsid w:val="00636F18"/>
    <w:rsid w:val="006441CA"/>
    <w:rsid w:val="006462C2"/>
    <w:rsid w:val="0065260A"/>
    <w:rsid w:val="00652F00"/>
    <w:rsid w:val="0065444D"/>
    <w:rsid w:val="00656300"/>
    <w:rsid w:val="006568E0"/>
    <w:rsid w:val="0066584B"/>
    <w:rsid w:val="00667279"/>
    <w:rsid w:val="00670A14"/>
    <w:rsid w:val="006712B7"/>
    <w:rsid w:val="006718EA"/>
    <w:rsid w:val="006803AC"/>
    <w:rsid w:val="00682F2C"/>
    <w:rsid w:val="00687C35"/>
    <w:rsid w:val="00687E81"/>
    <w:rsid w:val="006909C8"/>
    <w:rsid w:val="0069143A"/>
    <w:rsid w:val="00692F4C"/>
    <w:rsid w:val="00694D7F"/>
    <w:rsid w:val="006A1B76"/>
    <w:rsid w:val="006A3279"/>
    <w:rsid w:val="006A42B5"/>
    <w:rsid w:val="006A59B9"/>
    <w:rsid w:val="006B1575"/>
    <w:rsid w:val="006B1A7C"/>
    <w:rsid w:val="006B301E"/>
    <w:rsid w:val="006B3BD7"/>
    <w:rsid w:val="006B5394"/>
    <w:rsid w:val="006B62C0"/>
    <w:rsid w:val="006C3D0B"/>
    <w:rsid w:val="006C3D5A"/>
    <w:rsid w:val="006C7339"/>
    <w:rsid w:val="006D3198"/>
    <w:rsid w:val="006D5BEE"/>
    <w:rsid w:val="006E2995"/>
    <w:rsid w:val="006E5CD8"/>
    <w:rsid w:val="006E6917"/>
    <w:rsid w:val="006E7334"/>
    <w:rsid w:val="006F511A"/>
    <w:rsid w:val="0070242D"/>
    <w:rsid w:val="00707850"/>
    <w:rsid w:val="0071029F"/>
    <w:rsid w:val="0071641C"/>
    <w:rsid w:val="007174A9"/>
    <w:rsid w:val="00723B15"/>
    <w:rsid w:val="0072417D"/>
    <w:rsid w:val="007249CD"/>
    <w:rsid w:val="00731CE0"/>
    <w:rsid w:val="007321A8"/>
    <w:rsid w:val="00733C78"/>
    <w:rsid w:val="007370C0"/>
    <w:rsid w:val="00737D7C"/>
    <w:rsid w:val="00744238"/>
    <w:rsid w:val="00753B71"/>
    <w:rsid w:val="00755E34"/>
    <w:rsid w:val="00756248"/>
    <w:rsid w:val="00761934"/>
    <w:rsid w:val="00763F4D"/>
    <w:rsid w:val="00765C99"/>
    <w:rsid w:val="00766479"/>
    <w:rsid w:val="007701FC"/>
    <w:rsid w:val="00770E02"/>
    <w:rsid w:val="00772024"/>
    <w:rsid w:val="007721F1"/>
    <w:rsid w:val="00773778"/>
    <w:rsid w:val="007770F4"/>
    <w:rsid w:val="007777F8"/>
    <w:rsid w:val="00782F1C"/>
    <w:rsid w:val="007853CD"/>
    <w:rsid w:val="00785760"/>
    <w:rsid w:val="007861E2"/>
    <w:rsid w:val="00787837"/>
    <w:rsid w:val="00793793"/>
    <w:rsid w:val="00793C8B"/>
    <w:rsid w:val="007A122B"/>
    <w:rsid w:val="007A2E28"/>
    <w:rsid w:val="007A56B8"/>
    <w:rsid w:val="007A5D7B"/>
    <w:rsid w:val="007A7D61"/>
    <w:rsid w:val="007B311D"/>
    <w:rsid w:val="007B3AF0"/>
    <w:rsid w:val="007C03F1"/>
    <w:rsid w:val="007C1B8A"/>
    <w:rsid w:val="007C2379"/>
    <w:rsid w:val="007C4EF7"/>
    <w:rsid w:val="007C59A4"/>
    <w:rsid w:val="007D0369"/>
    <w:rsid w:val="007D756B"/>
    <w:rsid w:val="007D77A4"/>
    <w:rsid w:val="007D7960"/>
    <w:rsid w:val="007D7EA0"/>
    <w:rsid w:val="007E1644"/>
    <w:rsid w:val="007E321B"/>
    <w:rsid w:val="007E5EA1"/>
    <w:rsid w:val="007E6E49"/>
    <w:rsid w:val="007F3C0C"/>
    <w:rsid w:val="007F504F"/>
    <w:rsid w:val="007F6456"/>
    <w:rsid w:val="008003B8"/>
    <w:rsid w:val="00801FB8"/>
    <w:rsid w:val="008049D8"/>
    <w:rsid w:val="00805600"/>
    <w:rsid w:val="00805A97"/>
    <w:rsid w:val="00805FBB"/>
    <w:rsid w:val="00815A73"/>
    <w:rsid w:val="008201D8"/>
    <w:rsid w:val="00826B16"/>
    <w:rsid w:val="00831835"/>
    <w:rsid w:val="00832366"/>
    <w:rsid w:val="00832B48"/>
    <w:rsid w:val="00836665"/>
    <w:rsid w:val="00836851"/>
    <w:rsid w:val="0083707A"/>
    <w:rsid w:val="00837DB3"/>
    <w:rsid w:val="00841F32"/>
    <w:rsid w:val="00843C32"/>
    <w:rsid w:val="00845903"/>
    <w:rsid w:val="00847B78"/>
    <w:rsid w:val="00851E49"/>
    <w:rsid w:val="00852A51"/>
    <w:rsid w:val="00861870"/>
    <w:rsid w:val="00862732"/>
    <w:rsid w:val="00862C68"/>
    <w:rsid w:val="00867554"/>
    <w:rsid w:val="00867C2C"/>
    <w:rsid w:val="00867D90"/>
    <w:rsid w:val="0087214A"/>
    <w:rsid w:val="00876E85"/>
    <w:rsid w:val="00880606"/>
    <w:rsid w:val="00883F89"/>
    <w:rsid w:val="008862CB"/>
    <w:rsid w:val="0088757C"/>
    <w:rsid w:val="00890EAB"/>
    <w:rsid w:val="00895847"/>
    <w:rsid w:val="00897E5E"/>
    <w:rsid w:val="00897FE6"/>
    <w:rsid w:val="008A40C1"/>
    <w:rsid w:val="008A5E93"/>
    <w:rsid w:val="008B079D"/>
    <w:rsid w:val="008B07F1"/>
    <w:rsid w:val="008B266D"/>
    <w:rsid w:val="008B4921"/>
    <w:rsid w:val="008B6279"/>
    <w:rsid w:val="008C0C24"/>
    <w:rsid w:val="008C5F3B"/>
    <w:rsid w:val="008C6BF7"/>
    <w:rsid w:val="008C7E64"/>
    <w:rsid w:val="008C7F74"/>
    <w:rsid w:val="008D04A7"/>
    <w:rsid w:val="008D2540"/>
    <w:rsid w:val="008D654E"/>
    <w:rsid w:val="008D7DE1"/>
    <w:rsid w:val="008E0431"/>
    <w:rsid w:val="008E1BF7"/>
    <w:rsid w:val="008E58C8"/>
    <w:rsid w:val="008F7419"/>
    <w:rsid w:val="008F7F80"/>
    <w:rsid w:val="00902F7E"/>
    <w:rsid w:val="00904717"/>
    <w:rsid w:val="00904966"/>
    <w:rsid w:val="00904D45"/>
    <w:rsid w:val="009056D8"/>
    <w:rsid w:val="009061E7"/>
    <w:rsid w:val="0090651F"/>
    <w:rsid w:val="009071CB"/>
    <w:rsid w:val="00910574"/>
    <w:rsid w:val="009117C3"/>
    <w:rsid w:val="00911E19"/>
    <w:rsid w:val="009122D1"/>
    <w:rsid w:val="00912653"/>
    <w:rsid w:val="00915507"/>
    <w:rsid w:val="0091565B"/>
    <w:rsid w:val="0092019E"/>
    <w:rsid w:val="0092100A"/>
    <w:rsid w:val="009239E8"/>
    <w:rsid w:val="00925DC3"/>
    <w:rsid w:val="00925E07"/>
    <w:rsid w:val="00933D9A"/>
    <w:rsid w:val="009348A8"/>
    <w:rsid w:val="00934983"/>
    <w:rsid w:val="00936969"/>
    <w:rsid w:val="009419C5"/>
    <w:rsid w:val="00944C7A"/>
    <w:rsid w:val="009503AF"/>
    <w:rsid w:val="0095183A"/>
    <w:rsid w:val="00951DB6"/>
    <w:rsid w:val="00954BE4"/>
    <w:rsid w:val="00961AF9"/>
    <w:rsid w:val="0096251B"/>
    <w:rsid w:val="009626C7"/>
    <w:rsid w:val="00965D8C"/>
    <w:rsid w:val="009703E6"/>
    <w:rsid w:val="00970F7A"/>
    <w:rsid w:val="00974F00"/>
    <w:rsid w:val="009754C9"/>
    <w:rsid w:val="009814DC"/>
    <w:rsid w:val="00981FC4"/>
    <w:rsid w:val="00982B20"/>
    <w:rsid w:val="00983C35"/>
    <w:rsid w:val="00985281"/>
    <w:rsid w:val="00986A69"/>
    <w:rsid w:val="0098742B"/>
    <w:rsid w:val="00987AD2"/>
    <w:rsid w:val="009905A0"/>
    <w:rsid w:val="00993292"/>
    <w:rsid w:val="00994ADF"/>
    <w:rsid w:val="00996535"/>
    <w:rsid w:val="009A344C"/>
    <w:rsid w:val="009A3EB3"/>
    <w:rsid w:val="009A4336"/>
    <w:rsid w:val="009B0507"/>
    <w:rsid w:val="009B3FBE"/>
    <w:rsid w:val="009B4462"/>
    <w:rsid w:val="009B4D57"/>
    <w:rsid w:val="009C1C00"/>
    <w:rsid w:val="009C6C42"/>
    <w:rsid w:val="009D07CE"/>
    <w:rsid w:val="009D16EB"/>
    <w:rsid w:val="009D24C0"/>
    <w:rsid w:val="009D301F"/>
    <w:rsid w:val="009D5F1D"/>
    <w:rsid w:val="009D6EFF"/>
    <w:rsid w:val="009D7A59"/>
    <w:rsid w:val="009E6A5F"/>
    <w:rsid w:val="009F0322"/>
    <w:rsid w:val="009F08D6"/>
    <w:rsid w:val="009F2C05"/>
    <w:rsid w:val="009F3CC0"/>
    <w:rsid w:val="00A00660"/>
    <w:rsid w:val="00A0126F"/>
    <w:rsid w:val="00A01647"/>
    <w:rsid w:val="00A05356"/>
    <w:rsid w:val="00A078C3"/>
    <w:rsid w:val="00A078EC"/>
    <w:rsid w:val="00A07AB7"/>
    <w:rsid w:val="00A134B6"/>
    <w:rsid w:val="00A202CD"/>
    <w:rsid w:val="00A202FC"/>
    <w:rsid w:val="00A2288F"/>
    <w:rsid w:val="00A229DD"/>
    <w:rsid w:val="00A26474"/>
    <w:rsid w:val="00A27A17"/>
    <w:rsid w:val="00A35E75"/>
    <w:rsid w:val="00A419DD"/>
    <w:rsid w:val="00A4326E"/>
    <w:rsid w:val="00A473D8"/>
    <w:rsid w:val="00A5197C"/>
    <w:rsid w:val="00A53FD2"/>
    <w:rsid w:val="00A55556"/>
    <w:rsid w:val="00A61126"/>
    <w:rsid w:val="00A62D3A"/>
    <w:rsid w:val="00A64F09"/>
    <w:rsid w:val="00A70CF2"/>
    <w:rsid w:val="00A71B34"/>
    <w:rsid w:val="00A75134"/>
    <w:rsid w:val="00A756AF"/>
    <w:rsid w:val="00A761F7"/>
    <w:rsid w:val="00A7643B"/>
    <w:rsid w:val="00A76869"/>
    <w:rsid w:val="00A776DF"/>
    <w:rsid w:val="00A809E8"/>
    <w:rsid w:val="00A8509A"/>
    <w:rsid w:val="00A85154"/>
    <w:rsid w:val="00A85E04"/>
    <w:rsid w:val="00A90067"/>
    <w:rsid w:val="00A94A91"/>
    <w:rsid w:val="00A94AA6"/>
    <w:rsid w:val="00A9589F"/>
    <w:rsid w:val="00A96DC1"/>
    <w:rsid w:val="00AA22DE"/>
    <w:rsid w:val="00AA37AB"/>
    <w:rsid w:val="00AA3F81"/>
    <w:rsid w:val="00AA5F6A"/>
    <w:rsid w:val="00AB24E1"/>
    <w:rsid w:val="00AB60B6"/>
    <w:rsid w:val="00AB6C8C"/>
    <w:rsid w:val="00AC4345"/>
    <w:rsid w:val="00AC55B4"/>
    <w:rsid w:val="00AC564C"/>
    <w:rsid w:val="00AC60C8"/>
    <w:rsid w:val="00AC68E0"/>
    <w:rsid w:val="00AD1924"/>
    <w:rsid w:val="00AD5881"/>
    <w:rsid w:val="00AD5E0B"/>
    <w:rsid w:val="00AD6541"/>
    <w:rsid w:val="00AE6CC6"/>
    <w:rsid w:val="00AF208D"/>
    <w:rsid w:val="00AF28B4"/>
    <w:rsid w:val="00AF34E4"/>
    <w:rsid w:val="00AF4037"/>
    <w:rsid w:val="00AF41ED"/>
    <w:rsid w:val="00AF74E0"/>
    <w:rsid w:val="00B03A98"/>
    <w:rsid w:val="00B07686"/>
    <w:rsid w:val="00B10349"/>
    <w:rsid w:val="00B11C90"/>
    <w:rsid w:val="00B130EA"/>
    <w:rsid w:val="00B13550"/>
    <w:rsid w:val="00B14D0E"/>
    <w:rsid w:val="00B1751F"/>
    <w:rsid w:val="00B24399"/>
    <w:rsid w:val="00B24BD0"/>
    <w:rsid w:val="00B24D7C"/>
    <w:rsid w:val="00B27259"/>
    <w:rsid w:val="00B27B4E"/>
    <w:rsid w:val="00B3087F"/>
    <w:rsid w:val="00B30AA2"/>
    <w:rsid w:val="00B34335"/>
    <w:rsid w:val="00B36260"/>
    <w:rsid w:val="00B40267"/>
    <w:rsid w:val="00B47E18"/>
    <w:rsid w:val="00B555F5"/>
    <w:rsid w:val="00B563B0"/>
    <w:rsid w:val="00B56C73"/>
    <w:rsid w:val="00B57AE7"/>
    <w:rsid w:val="00B61DFF"/>
    <w:rsid w:val="00B63BB9"/>
    <w:rsid w:val="00B66975"/>
    <w:rsid w:val="00B6B255"/>
    <w:rsid w:val="00B74349"/>
    <w:rsid w:val="00B74E9B"/>
    <w:rsid w:val="00B8055B"/>
    <w:rsid w:val="00B8180D"/>
    <w:rsid w:val="00B87CC7"/>
    <w:rsid w:val="00B87DE5"/>
    <w:rsid w:val="00B91397"/>
    <w:rsid w:val="00B91D82"/>
    <w:rsid w:val="00BA3A81"/>
    <w:rsid w:val="00BA61B7"/>
    <w:rsid w:val="00BA78F9"/>
    <w:rsid w:val="00BB2638"/>
    <w:rsid w:val="00BB3937"/>
    <w:rsid w:val="00BB3D85"/>
    <w:rsid w:val="00BB48A0"/>
    <w:rsid w:val="00BB4BFC"/>
    <w:rsid w:val="00BB6949"/>
    <w:rsid w:val="00BC47AA"/>
    <w:rsid w:val="00BC5BD7"/>
    <w:rsid w:val="00BD1680"/>
    <w:rsid w:val="00BD1B0F"/>
    <w:rsid w:val="00BD522C"/>
    <w:rsid w:val="00BD6B24"/>
    <w:rsid w:val="00BE0D84"/>
    <w:rsid w:val="00BE16FB"/>
    <w:rsid w:val="00BE64A4"/>
    <w:rsid w:val="00BE6CC5"/>
    <w:rsid w:val="00BF031B"/>
    <w:rsid w:val="00BF2028"/>
    <w:rsid w:val="00BF3917"/>
    <w:rsid w:val="00C0251B"/>
    <w:rsid w:val="00C035EA"/>
    <w:rsid w:val="00C03C22"/>
    <w:rsid w:val="00C03FE3"/>
    <w:rsid w:val="00C0420E"/>
    <w:rsid w:val="00C051C2"/>
    <w:rsid w:val="00C076F6"/>
    <w:rsid w:val="00C11D1C"/>
    <w:rsid w:val="00C11EBE"/>
    <w:rsid w:val="00C2072C"/>
    <w:rsid w:val="00C20986"/>
    <w:rsid w:val="00C25086"/>
    <w:rsid w:val="00C25934"/>
    <w:rsid w:val="00C2768D"/>
    <w:rsid w:val="00C277DB"/>
    <w:rsid w:val="00C3013F"/>
    <w:rsid w:val="00C3053A"/>
    <w:rsid w:val="00C31A5C"/>
    <w:rsid w:val="00C33899"/>
    <w:rsid w:val="00C35608"/>
    <w:rsid w:val="00C35F7A"/>
    <w:rsid w:val="00C367BF"/>
    <w:rsid w:val="00C409EE"/>
    <w:rsid w:val="00C412F4"/>
    <w:rsid w:val="00C52634"/>
    <w:rsid w:val="00C53B3D"/>
    <w:rsid w:val="00C53E29"/>
    <w:rsid w:val="00C55E6F"/>
    <w:rsid w:val="00C56CF5"/>
    <w:rsid w:val="00C61C0B"/>
    <w:rsid w:val="00C642D0"/>
    <w:rsid w:val="00C64974"/>
    <w:rsid w:val="00C6713D"/>
    <w:rsid w:val="00C7272C"/>
    <w:rsid w:val="00C73583"/>
    <w:rsid w:val="00C816E3"/>
    <w:rsid w:val="00C91840"/>
    <w:rsid w:val="00C95880"/>
    <w:rsid w:val="00C95B1C"/>
    <w:rsid w:val="00C96312"/>
    <w:rsid w:val="00C979C9"/>
    <w:rsid w:val="00C97C4C"/>
    <w:rsid w:val="00CA0B35"/>
    <w:rsid w:val="00CA3D1A"/>
    <w:rsid w:val="00CB20AF"/>
    <w:rsid w:val="00CB4F90"/>
    <w:rsid w:val="00CB7135"/>
    <w:rsid w:val="00CC26AA"/>
    <w:rsid w:val="00CD319F"/>
    <w:rsid w:val="00CD4DD3"/>
    <w:rsid w:val="00CD516A"/>
    <w:rsid w:val="00CE26E3"/>
    <w:rsid w:val="00CE7A18"/>
    <w:rsid w:val="00CF0B67"/>
    <w:rsid w:val="00CF1865"/>
    <w:rsid w:val="00CF228A"/>
    <w:rsid w:val="00CF3D5E"/>
    <w:rsid w:val="00D029A7"/>
    <w:rsid w:val="00D06E1D"/>
    <w:rsid w:val="00D11A7C"/>
    <w:rsid w:val="00D144C3"/>
    <w:rsid w:val="00D15E2F"/>
    <w:rsid w:val="00D165D7"/>
    <w:rsid w:val="00D16CDC"/>
    <w:rsid w:val="00D17FF7"/>
    <w:rsid w:val="00D21942"/>
    <w:rsid w:val="00D2254C"/>
    <w:rsid w:val="00D247BD"/>
    <w:rsid w:val="00D2598E"/>
    <w:rsid w:val="00D25C93"/>
    <w:rsid w:val="00D43EB4"/>
    <w:rsid w:val="00D43F37"/>
    <w:rsid w:val="00D43FFD"/>
    <w:rsid w:val="00D45012"/>
    <w:rsid w:val="00D4661C"/>
    <w:rsid w:val="00D468C2"/>
    <w:rsid w:val="00D50E3B"/>
    <w:rsid w:val="00D51306"/>
    <w:rsid w:val="00D52E03"/>
    <w:rsid w:val="00D54F6C"/>
    <w:rsid w:val="00D5691F"/>
    <w:rsid w:val="00D60AA2"/>
    <w:rsid w:val="00D63022"/>
    <w:rsid w:val="00D72CE2"/>
    <w:rsid w:val="00D73BC5"/>
    <w:rsid w:val="00D74207"/>
    <w:rsid w:val="00D81AF8"/>
    <w:rsid w:val="00D83F75"/>
    <w:rsid w:val="00D86A67"/>
    <w:rsid w:val="00D86E10"/>
    <w:rsid w:val="00D8766B"/>
    <w:rsid w:val="00D877A8"/>
    <w:rsid w:val="00D87E86"/>
    <w:rsid w:val="00D87FDF"/>
    <w:rsid w:val="00D913C0"/>
    <w:rsid w:val="00D95BF3"/>
    <w:rsid w:val="00DA0416"/>
    <w:rsid w:val="00DA4352"/>
    <w:rsid w:val="00DA4B26"/>
    <w:rsid w:val="00DA6899"/>
    <w:rsid w:val="00DA7F0D"/>
    <w:rsid w:val="00DB3AC1"/>
    <w:rsid w:val="00DB46DC"/>
    <w:rsid w:val="00DB5842"/>
    <w:rsid w:val="00DB6BA5"/>
    <w:rsid w:val="00DB79E4"/>
    <w:rsid w:val="00DC04C5"/>
    <w:rsid w:val="00DC05F1"/>
    <w:rsid w:val="00DC6677"/>
    <w:rsid w:val="00DC6970"/>
    <w:rsid w:val="00DD52F6"/>
    <w:rsid w:val="00DD5357"/>
    <w:rsid w:val="00DD6BD5"/>
    <w:rsid w:val="00DD7A72"/>
    <w:rsid w:val="00DE0B96"/>
    <w:rsid w:val="00DE3AF4"/>
    <w:rsid w:val="00DE5A39"/>
    <w:rsid w:val="00DE71EA"/>
    <w:rsid w:val="00DF0BF7"/>
    <w:rsid w:val="00DF4BC7"/>
    <w:rsid w:val="00DF6344"/>
    <w:rsid w:val="00E010CF"/>
    <w:rsid w:val="00E01313"/>
    <w:rsid w:val="00E01E02"/>
    <w:rsid w:val="00E037CE"/>
    <w:rsid w:val="00E041A4"/>
    <w:rsid w:val="00E06AE3"/>
    <w:rsid w:val="00E06CB7"/>
    <w:rsid w:val="00E10301"/>
    <w:rsid w:val="00E111DF"/>
    <w:rsid w:val="00E14742"/>
    <w:rsid w:val="00E21492"/>
    <w:rsid w:val="00E2433B"/>
    <w:rsid w:val="00E251E7"/>
    <w:rsid w:val="00E25992"/>
    <w:rsid w:val="00E2726B"/>
    <w:rsid w:val="00E31C9B"/>
    <w:rsid w:val="00E331A5"/>
    <w:rsid w:val="00E341A4"/>
    <w:rsid w:val="00E3487B"/>
    <w:rsid w:val="00E36D1E"/>
    <w:rsid w:val="00E469A4"/>
    <w:rsid w:val="00E50016"/>
    <w:rsid w:val="00E5094D"/>
    <w:rsid w:val="00E51BDB"/>
    <w:rsid w:val="00E54E94"/>
    <w:rsid w:val="00E5567C"/>
    <w:rsid w:val="00E57E14"/>
    <w:rsid w:val="00E615B8"/>
    <w:rsid w:val="00E637C8"/>
    <w:rsid w:val="00E649C3"/>
    <w:rsid w:val="00E70629"/>
    <w:rsid w:val="00E7074E"/>
    <w:rsid w:val="00E710C0"/>
    <w:rsid w:val="00E7457F"/>
    <w:rsid w:val="00E82B32"/>
    <w:rsid w:val="00E8416F"/>
    <w:rsid w:val="00E879F2"/>
    <w:rsid w:val="00E93116"/>
    <w:rsid w:val="00E93655"/>
    <w:rsid w:val="00E95130"/>
    <w:rsid w:val="00E95A0A"/>
    <w:rsid w:val="00EA22DE"/>
    <w:rsid w:val="00EA37A3"/>
    <w:rsid w:val="00EB0619"/>
    <w:rsid w:val="00EB67C0"/>
    <w:rsid w:val="00EB730C"/>
    <w:rsid w:val="00EC4241"/>
    <w:rsid w:val="00ED0719"/>
    <w:rsid w:val="00ED116D"/>
    <w:rsid w:val="00ED1B41"/>
    <w:rsid w:val="00ED2C39"/>
    <w:rsid w:val="00ED3C7A"/>
    <w:rsid w:val="00ED6523"/>
    <w:rsid w:val="00EE2806"/>
    <w:rsid w:val="00EE38C1"/>
    <w:rsid w:val="00EE6FEB"/>
    <w:rsid w:val="00EF1408"/>
    <w:rsid w:val="00EF1670"/>
    <w:rsid w:val="00EF3631"/>
    <w:rsid w:val="00EF49DE"/>
    <w:rsid w:val="00F01530"/>
    <w:rsid w:val="00F02820"/>
    <w:rsid w:val="00F02826"/>
    <w:rsid w:val="00F04DC8"/>
    <w:rsid w:val="00F07A1F"/>
    <w:rsid w:val="00F07A74"/>
    <w:rsid w:val="00F07E67"/>
    <w:rsid w:val="00F13F8B"/>
    <w:rsid w:val="00F233E7"/>
    <w:rsid w:val="00F24368"/>
    <w:rsid w:val="00F30376"/>
    <w:rsid w:val="00F30D00"/>
    <w:rsid w:val="00F335D1"/>
    <w:rsid w:val="00F34FE7"/>
    <w:rsid w:val="00F35A1B"/>
    <w:rsid w:val="00F36F94"/>
    <w:rsid w:val="00F411D2"/>
    <w:rsid w:val="00F42680"/>
    <w:rsid w:val="00F4355D"/>
    <w:rsid w:val="00F44D1A"/>
    <w:rsid w:val="00F46911"/>
    <w:rsid w:val="00F56B50"/>
    <w:rsid w:val="00F613F9"/>
    <w:rsid w:val="00F6160A"/>
    <w:rsid w:val="00F6308F"/>
    <w:rsid w:val="00F63AD7"/>
    <w:rsid w:val="00F64074"/>
    <w:rsid w:val="00F653D9"/>
    <w:rsid w:val="00F703EA"/>
    <w:rsid w:val="00F71626"/>
    <w:rsid w:val="00F72898"/>
    <w:rsid w:val="00F8595C"/>
    <w:rsid w:val="00F85F68"/>
    <w:rsid w:val="00F864D0"/>
    <w:rsid w:val="00F87915"/>
    <w:rsid w:val="00F92DE4"/>
    <w:rsid w:val="00F930D3"/>
    <w:rsid w:val="00F948A0"/>
    <w:rsid w:val="00F950FF"/>
    <w:rsid w:val="00F960C6"/>
    <w:rsid w:val="00FA2DB9"/>
    <w:rsid w:val="00FA32B2"/>
    <w:rsid w:val="00FA45AA"/>
    <w:rsid w:val="00FA45CF"/>
    <w:rsid w:val="00FA4DB0"/>
    <w:rsid w:val="00FA6712"/>
    <w:rsid w:val="00FA7343"/>
    <w:rsid w:val="00FA7604"/>
    <w:rsid w:val="00FB0443"/>
    <w:rsid w:val="00FB17D8"/>
    <w:rsid w:val="00FB1A59"/>
    <w:rsid w:val="00FC0435"/>
    <w:rsid w:val="00FC0EDB"/>
    <w:rsid w:val="00FC2152"/>
    <w:rsid w:val="00FC28C8"/>
    <w:rsid w:val="00FC2EE8"/>
    <w:rsid w:val="00FC4689"/>
    <w:rsid w:val="00FC4AAF"/>
    <w:rsid w:val="00FC5648"/>
    <w:rsid w:val="00FC640E"/>
    <w:rsid w:val="00FC6DA4"/>
    <w:rsid w:val="00FC75FF"/>
    <w:rsid w:val="00FD0429"/>
    <w:rsid w:val="00FD22E1"/>
    <w:rsid w:val="00FD2443"/>
    <w:rsid w:val="00FD7892"/>
    <w:rsid w:val="00FE3614"/>
    <w:rsid w:val="00FE655F"/>
    <w:rsid w:val="00FE6F7F"/>
    <w:rsid w:val="00FE76BE"/>
    <w:rsid w:val="00FF03B3"/>
    <w:rsid w:val="00FF1FB8"/>
    <w:rsid w:val="00FF5F60"/>
    <w:rsid w:val="00FF60B3"/>
    <w:rsid w:val="00FF6E4E"/>
    <w:rsid w:val="00FF7E91"/>
    <w:rsid w:val="01D39FFB"/>
    <w:rsid w:val="01F94106"/>
    <w:rsid w:val="03099E0A"/>
    <w:rsid w:val="03A435E8"/>
    <w:rsid w:val="03AAABDB"/>
    <w:rsid w:val="0428F688"/>
    <w:rsid w:val="061075B4"/>
    <w:rsid w:val="06A7CED8"/>
    <w:rsid w:val="077BC25B"/>
    <w:rsid w:val="083BAF07"/>
    <w:rsid w:val="086F0088"/>
    <w:rsid w:val="090B9FCD"/>
    <w:rsid w:val="091C43AF"/>
    <w:rsid w:val="09781D89"/>
    <w:rsid w:val="09E8186F"/>
    <w:rsid w:val="09EB352D"/>
    <w:rsid w:val="0CCA9B7C"/>
    <w:rsid w:val="0DBA7A88"/>
    <w:rsid w:val="0DD5ADC5"/>
    <w:rsid w:val="0DFC59AD"/>
    <w:rsid w:val="0E12F894"/>
    <w:rsid w:val="0E4E3300"/>
    <w:rsid w:val="0E6DD769"/>
    <w:rsid w:val="0F86CFA3"/>
    <w:rsid w:val="11E4CD74"/>
    <w:rsid w:val="134567C2"/>
    <w:rsid w:val="13D6B5F5"/>
    <w:rsid w:val="140CE06D"/>
    <w:rsid w:val="1479042B"/>
    <w:rsid w:val="15420237"/>
    <w:rsid w:val="1546B5F5"/>
    <w:rsid w:val="1596214C"/>
    <w:rsid w:val="15CF2EC5"/>
    <w:rsid w:val="17D70BB2"/>
    <w:rsid w:val="1816B239"/>
    <w:rsid w:val="182E3252"/>
    <w:rsid w:val="18ADE452"/>
    <w:rsid w:val="1966B2A6"/>
    <w:rsid w:val="1D3463F2"/>
    <w:rsid w:val="1DD8E98F"/>
    <w:rsid w:val="1E868F9C"/>
    <w:rsid w:val="1F74B080"/>
    <w:rsid w:val="1FACBF5B"/>
    <w:rsid w:val="1FBC4E90"/>
    <w:rsid w:val="20213D26"/>
    <w:rsid w:val="206C04B4"/>
    <w:rsid w:val="20DAC1C1"/>
    <w:rsid w:val="21949089"/>
    <w:rsid w:val="2260EC6E"/>
    <w:rsid w:val="22721450"/>
    <w:rsid w:val="2280F360"/>
    <w:rsid w:val="23A5AFC7"/>
    <w:rsid w:val="23CC35F0"/>
    <w:rsid w:val="23E876EE"/>
    <w:rsid w:val="259A18E2"/>
    <w:rsid w:val="26E68194"/>
    <w:rsid w:val="26F10DCA"/>
    <w:rsid w:val="27688877"/>
    <w:rsid w:val="27A6616B"/>
    <w:rsid w:val="285BCB56"/>
    <w:rsid w:val="289D4196"/>
    <w:rsid w:val="28C6BEB5"/>
    <w:rsid w:val="28E5D3A6"/>
    <w:rsid w:val="294B490F"/>
    <w:rsid w:val="297296ED"/>
    <w:rsid w:val="2989A203"/>
    <w:rsid w:val="2AD98C61"/>
    <w:rsid w:val="2AED8190"/>
    <w:rsid w:val="2B9806BB"/>
    <w:rsid w:val="2C34D1FF"/>
    <w:rsid w:val="2E218D05"/>
    <w:rsid w:val="2E43A81D"/>
    <w:rsid w:val="2E7BB39C"/>
    <w:rsid w:val="2ED3DC75"/>
    <w:rsid w:val="2F33DE9E"/>
    <w:rsid w:val="2F4D4F0D"/>
    <w:rsid w:val="2F683598"/>
    <w:rsid w:val="304E14B3"/>
    <w:rsid w:val="30EF9C98"/>
    <w:rsid w:val="3102ECA3"/>
    <w:rsid w:val="31601CB1"/>
    <w:rsid w:val="3169E65F"/>
    <w:rsid w:val="31B527CE"/>
    <w:rsid w:val="31E4A87E"/>
    <w:rsid w:val="31F137E3"/>
    <w:rsid w:val="327C6A08"/>
    <w:rsid w:val="32EB225D"/>
    <w:rsid w:val="3372DFAE"/>
    <w:rsid w:val="33EC5643"/>
    <w:rsid w:val="3507A61D"/>
    <w:rsid w:val="358C1960"/>
    <w:rsid w:val="36B5D5D8"/>
    <w:rsid w:val="36C2CFDE"/>
    <w:rsid w:val="370D0860"/>
    <w:rsid w:val="3797B75B"/>
    <w:rsid w:val="37C6B315"/>
    <w:rsid w:val="3A52F505"/>
    <w:rsid w:val="3A6EAF98"/>
    <w:rsid w:val="3BEE6B1D"/>
    <w:rsid w:val="3D64A290"/>
    <w:rsid w:val="3D82D95A"/>
    <w:rsid w:val="3DC0AC73"/>
    <w:rsid w:val="3E8F1FB0"/>
    <w:rsid w:val="406928A5"/>
    <w:rsid w:val="40D7D7A8"/>
    <w:rsid w:val="4119EB80"/>
    <w:rsid w:val="41576061"/>
    <w:rsid w:val="42EEE22A"/>
    <w:rsid w:val="43ED2D42"/>
    <w:rsid w:val="44365C78"/>
    <w:rsid w:val="45C93FA1"/>
    <w:rsid w:val="46A716AE"/>
    <w:rsid w:val="46E72E2B"/>
    <w:rsid w:val="480287E2"/>
    <w:rsid w:val="4808DE5F"/>
    <w:rsid w:val="49628F58"/>
    <w:rsid w:val="498250FC"/>
    <w:rsid w:val="4A54FE0C"/>
    <w:rsid w:val="4A589359"/>
    <w:rsid w:val="4C319BF1"/>
    <w:rsid w:val="4C388125"/>
    <w:rsid w:val="4CA0C961"/>
    <w:rsid w:val="4D437107"/>
    <w:rsid w:val="4D4B5615"/>
    <w:rsid w:val="4D90341B"/>
    <w:rsid w:val="4DEF3772"/>
    <w:rsid w:val="4EE4A5B4"/>
    <w:rsid w:val="4FBE9F7F"/>
    <w:rsid w:val="4FFFA0EC"/>
    <w:rsid w:val="50489559"/>
    <w:rsid w:val="506B5B54"/>
    <w:rsid w:val="50C7D4DD"/>
    <w:rsid w:val="50EE0BC6"/>
    <w:rsid w:val="5107E8EB"/>
    <w:rsid w:val="510BF248"/>
    <w:rsid w:val="51B8F5E2"/>
    <w:rsid w:val="52179D9C"/>
    <w:rsid w:val="5293B8FF"/>
    <w:rsid w:val="52E6E757"/>
    <w:rsid w:val="53168684"/>
    <w:rsid w:val="532EC071"/>
    <w:rsid w:val="533EB185"/>
    <w:rsid w:val="54DA00FA"/>
    <w:rsid w:val="55125E8D"/>
    <w:rsid w:val="55398DE2"/>
    <w:rsid w:val="560ED49D"/>
    <w:rsid w:val="563F6DE6"/>
    <w:rsid w:val="57311A3D"/>
    <w:rsid w:val="589B6E8A"/>
    <w:rsid w:val="59016BE7"/>
    <w:rsid w:val="591B2AE6"/>
    <w:rsid w:val="59B6943E"/>
    <w:rsid w:val="5A0E1DCC"/>
    <w:rsid w:val="5A2A51A0"/>
    <w:rsid w:val="5A423505"/>
    <w:rsid w:val="5A63CB76"/>
    <w:rsid w:val="5A76A4A9"/>
    <w:rsid w:val="5B236D5D"/>
    <w:rsid w:val="5BAA005F"/>
    <w:rsid w:val="5D07F1F8"/>
    <w:rsid w:val="5D4267E2"/>
    <w:rsid w:val="5E97F7F2"/>
    <w:rsid w:val="5F1BED21"/>
    <w:rsid w:val="605906E7"/>
    <w:rsid w:val="61098638"/>
    <w:rsid w:val="615BB322"/>
    <w:rsid w:val="61B0B240"/>
    <w:rsid w:val="61B279DB"/>
    <w:rsid w:val="62149196"/>
    <w:rsid w:val="62D9D0C2"/>
    <w:rsid w:val="62E67022"/>
    <w:rsid w:val="63988109"/>
    <w:rsid w:val="6419F1A2"/>
    <w:rsid w:val="64320044"/>
    <w:rsid w:val="6475EC0D"/>
    <w:rsid w:val="64E42BB9"/>
    <w:rsid w:val="659F7DDE"/>
    <w:rsid w:val="6618062F"/>
    <w:rsid w:val="662D735F"/>
    <w:rsid w:val="663AFB29"/>
    <w:rsid w:val="66723FF3"/>
    <w:rsid w:val="66C502EB"/>
    <w:rsid w:val="66F41098"/>
    <w:rsid w:val="673BFF54"/>
    <w:rsid w:val="68F991A1"/>
    <w:rsid w:val="68FE766B"/>
    <w:rsid w:val="6999F128"/>
    <w:rsid w:val="6A1FD7AE"/>
    <w:rsid w:val="6A821FDC"/>
    <w:rsid w:val="6A8C6370"/>
    <w:rsid w:val="6B7CF619"/>
    <w:rsid w:val="6B989471"/>
    <w:rsid w:val="6B9F597D"/>
    <w:rsid w:val="6C0F7077"/>
    <w:rsid w:val="6C1B170D"/>
    <w:rsid w:val="6C2833D1"/>
    <w:rsid w:val="6CE9DB28"/>
    <w:rsid w:val="6FC96640"/>
    <w:rsid w:val="70DE3F21"/>
    <w:rsid w:val="70EAB09B"/>
    <w:rsid w:val="71D8134A"/>
    <w:rsid w:val="71E4F420"/>
    <w:rsid w:val="726D5C87"/>
    <w:rsid w:val="72BEE4AD"/>
    <w:rsid w:val="7356BBC9"/>
    <w:rsid w:val="746319AE"/>
    <w:rsid w:val="74893F69"/>
    <w:rsid w:val="7533EE00"/>
    <w:rsid w:val="7587CC47"/>
    <w:rsid w:val="760214FE"/>
    <w:rsid w:val="76C1EB0D"/>
    <w:rsid w:val="77F829A4"/>
    <w:rsid w:val="7898CABF"/>
    <w:rsid w:val="7903CC5B"/>
    <w:rsid w:val="791AC527"/>
    <w:rsid w:val="7922F870"/>
    <w:rsid w:val="7976D900"/>
    <w:rsid w:val="7A7428EC"/>
    <w:rsid w:val="7AEF9F01"/>
    <w:rsid w:val="7B08BAAE"/>
    <w:rsid w:val="7DA98B6D"/>
    <w:rsid w:val="7E61AFDA"/>
    <w:rsid w:val="7F789503"/>
    <w:rsid w:val="7FCBF2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01E19"/>
  <w15:chartTrackingRefBased/>
  <w15:docId w15:val="{9C0F6A5B-222E-4EA1-88BC-13579E2B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74207"/>
    <w:rPr>
      <w:color w:val="0563C1" w:themeColor="hyperlink"/>
      <w:u w:val="single"/>
    </w:rPr>
  </w:style>
  <w:style w:type="character" w:styleId="Nierozpoznanawzmianka">
    <w:name w:val="Unresolved Mention"/>
    <w:basedOn w:val="Domylnaczcionkaakapitu"/>
    <w:uiPriority w:val="99"/>
    <w:semiHidden/>
    <w:unhideWhenUsed/>
    <w:rsid w:val="00D74207"/>
    <w:rPr>
      <w:color w:val="605E5C"/>
      <w:shd w:val="clear" w:color="auto" w:fill="E1DFDD"/>
    </w:rPr>
  </w:style>
  <w:style w:type="paragraph" w:styleId="Nagwek">
    <w:name w:val="header"/>
    <w:basedOn w:val="Normalny"/>
    <w:link w:val="NagwekZnak"/>
    <w:uiPriority w:val="99"/>
    <w:unhideWhenUsed/>
    <w:rsid w:val="005827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273F"/>
  </w:style>
  <w:style w:type="paragraph" w:styleId="Stopka">
    <w:name w:val="footer"/>
    <w:basedOn w:val="Normalny"/>
    <w:link w:val="StopkaZnak"/>
    <w:uiPriority w:val="99"/>
    <w:unhideWhenUsed/>
    <w:rsid w:val="005827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273F"/>
  </w:style>
  <w:style w:type="paragraph" w:styleId="Akapitzlist">
    <w:name w:val="List Paragraph"/>
    <w:basedOn w:val="Normalny"/>
    <w:uiPriority w:val="34"/>
    <w:qFormat/>
    <w:rsid w:val="00897E5E"/>
    <w:pPr>
      <w:ind w:left="720"/>
      <w:contextualSpacing/>
    </w:pPr>
  </w:style>
  <w:style w:type="paragraph" w:styleId="Tekstprzypisukocowego">
    <w:name w:val="endnote text"/>
    <w:basedOn w:val="Normalny"/>
    <w:link w:val="TekstprzypisukocowegoZnak"/>
    <w:uiPriority w:val="99"/>
    <w:semiHidden/>
    <w:unhideWhenUsed/>
    <w:rsid w:val="00A0164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1647"/>
    <w:rPr>
      <w:sz w:val="20"/>
      <w:szCs w:val="20"/>
    </w:rPr>
  </w:style>
  <w:style w:type="character" w:styleId="Odwoanieprzypisukocowego">
    <w:name w:val="endnote reference"/>
    <w:basedOn w:val="Domylnaczcionkaakapitu"/>
    <w:uiPriority w:val="99"/>
    <w:semiHidden/>
    <w:unhideWhenUsed/>
    <w:rsid w:val="00A01647"/>
    <w:rPr>
      <w:vertAlign w:val="superscript"/>
    </w:rPr>
  </w:style>
  <w:style w:type="character" w:styleId="Odwoaniedokomentarza">
    <w:name w:val="annotation reference"/>
    <w:basedOn w:val="Domylnaczcionkaakapitu"/>
    <w:uiPriority w:val="99"/>
    <w:semiHidden/>
    <w:unhideWhenUsed/>
    <w:rsid w:val="00C412F4"/>
    <w:rPr>
      <w:sz w:val="16"/>
      <w:szCs w:val="16"/>
    </w:rPr>
  </w:style>
  <w:style w:type="paragraph" w:styleId="Tekstkomentarza">
    <w:name w:val="annotation text"/>
    <w:basedOn w:val="Normalny"/>
    <w:link w:val="TekstkomentarzaZnak"/>
    <w:uiPriority w:val="99"/>
    <w:unhideWhenUsed/>
    <w:rsid w:val="00C412F4"/>
    <w:pPr>
      <w:spacing w:line="240" w:lineRule="auto"/>
    </w:pPr>
    <w:rPr>
      <w:sz w:val="20"/>
      <w:szCs w:val="20"/>
    </w:rPr>
  </w:style>
  <w:style w:type="character" w:customStyle="1" w:styleId="TekstkomentarzaZnak">
    <w:name w:val="Tekst komentarza Znak"/>
    <w:basedOn w:val="Domylnaczcionkaakapitu"/>
    <w:link w:val="Tekstkomentarza"/>
    <w:uiPriority w:val="99"/>
    <w:rsid w:val="00C412F4"/>
    <w:rPr>
      <w:sz w:val="20"/>
      <w:szCs w:val="20"/>
    </w:rPr>
  </w:style>
  <w:style w:type="paragraph" w:styleId="Tematkomentarza">
    <w:name w:val="annotation subject"/>
    <w:basedOn w:val="Tekstkomentarza"/>
    <w:next w:val="Tekstkomentarza"/>
    <w:link w:val="TematkomentarzaZnak"/>
    <w:uiPriority w:val="99"/>
    <w:semiHidden/>
    <w:unhideWhenUsed/>
    <w:rsid w:val="00C412F4"/>
    <w:rPr>
      <w:b/>
      <w:bCs/>
    </w:rPr>
  </w:style>
  <w:style w:type="character" w:customStyle="1" w:styleId="TematkomentarzaZnak">
    <w:name w:val="Temat komentarza Znak"/>
    <w:basedOn w:val="TekstkomentarzaZnak"/>
    <w:link w:val="Tematkomentarza"/>
    <w:uiPriority w:val="99"/>
    <w:semiHidden/>
    <w:rsid w:val="00C412F4"/>
    <w:rPr>
      <w:b/>
      <w:bCs/>
      <w:sz w:val="20"/>
      <w:szCs w:val="20"/>
    </w:rPr>
  </w:style>
  <w:style w:type="character" w:styleId="Wzmianka">
    <w:name w:val="Mention"/>
    <w:basedOn w:val="Domylnaczcionkaakapitu"/>
    <w:uiPriority w:val="99"/>
    <w:unhideWhenUsed/>
    <w:rPr>
      <w:color w:val="2B579A"/>
      <w:shd w:val="clear" w:color="auto" w:fill="E6E6E6"/>
    </w:rPr>
  </w:style>
  <w:style w:type="paragraph" w:styleId="Tekstprzypisudolnego">
    <w:name w:val="footnote text"/>
    <w:basedOn w:val="Normalny"/>
    <w:link w:val="TekstprzypisudolnegoZnak"/>
    <w:uiPriority w:val="99"/>
    <w:semiHidden/>
    <w:unhideWhenUsed/>
    <w:rsid w:val="00D569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691F"/>
    <w:rPr>
      <w:sz w:val="20"/>
      <w:szCs w:val="20"/>
    </w:rPr>
  </w:style>
  <w:style w:type="character" w:styleId="Odwoanieprzypisudolnego">
    <w:name w:val="footnote reference"/>
    <w:basedOn w:val="Domylnaczcionkaakapitu"/>
    <w:uiPriority w:val="99"/>
    <w:semiHidden/>
    <w:unhideWhenUsed/>
    <w:rsid w:val="00D5691F"/>
    <w:rPr>
      <w:vertAlign w:val="superscript"/>
    </w:rPr>
  </w:style>
  <w:style w:type="character" w:styleId="Pogrubienie">
    <w:name w:val="Strong"/>
    <w:basedOn w:val="Domylnaczcionkaakapitu"/>
    <w:uiPriority w:val="22"/>
    <w:qFormat/>
    <w:rsid w:val="00DE71EA"/>
    <w:rPr>
      <w:b/>
      <w:bCs/>
    </w:rPr>
  </w:style>
  <w:style w:type="character" w:customStyle="1" w:styleId="normaltextrun">
    <w:name w:val="normaltextrun"/>
    <w:basedOn w:val="Domylnaczcionkaakapitu"/>
    <w:rsid w:val="002425FB"/>
  </w:style>
  <w:style w:type="character" w:customStyle="1" w:styleId="eop">
    <w:name w:val="eop"/>
    <w:basedOn w:val="Domylnaczcionkaakapitu"/>
    <w:rsid w:val="002425FB"/>
  </w:style>
  <w:style w:type="paragraph" w:styleId="NormalnyWeb">
    <w:name w:val="Normal (Web)"/>
    <w:basedOn w:val="Normalny"/>
    <w:uiPriority w:val="99"/>
    <w:unhideWhenUsed/>
    <w:rsid w:val="00AD588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C2072C"/>
    <w:rPr>
      <w:color w:val="954F72" w:themeColor="followedHyperlink"/>
      <w:u w:val="single"/>
    </w:rPr>
  </w:style>
  <w:style w:type="paragraph" w:styleId="Poprawka">
    <w:name w:val="Revision"/>
    <w:hidden/>
    <w:uiPriority w:val="99"/>
    <w:semiHidden/>
    <w:rsid w:val="00702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248">
      <w:bodyDiv w:val="1"/>
      <w:marLeft w:val="0"/>
      <w:marRight w:val="0"/>
      <w:marTop w:val="0"/>
      <w:marBottom w:val="0"/>
      <w:divBdr>
        <w:top w:val="none" w:sz="0" w:space="0" w:color="auto"/>
        <w:left w:val="none" w:sz="0" w:space="0" w:color="auto"/>
        <w:bottom w:val="none" w:sz="0" w:space="0" w:color="auto"/>
        <w:right w:val="none" w:sz="0" w:space="0" w:color="auto"/>
      </w:divBdr>
    </w:div>
    <w:div w:id="473573097">
      <w:bodyDiv w:val="1"/>
      <w:marLeft w:val="0"/>
      <w:marRight w:val="0"/>
      <w:marTop w:val="0"/>
      <w:marBottom w:val="0"/>
      <w:divBdr>
        <w:top w:val="none" w:sz="0" w:space="0" w:color="auto"/>
        <w:left w:val="none" w:sz="0" w:space="0" w:color="auto"/>
        <w:bottom w:val="none" w:sz="0" w:space="0" w:color="auto"/>
        <w:right w:val="none" w:sz="0" w:space="0" w:color="auto"/>
      </w:divBdr>
    </w:div>
    <w:div w:id="721908804">
      <w:bodyDiv w:val="1"/>
      <w:marLeft w:val="0"/>
      <w:marRight w:val="0"/>
      <w:marTop w:val="0"/>
      <w:marBottom w:val="0"/>
      <w:divBdr>
        <w:top w:val="none" w:sz="0" w:space="0" w:color="auto"/>
        <w:left w:val="none" w:sz="0" w:space="0" w:color="auto"/>
        <w:bottom w:val="none" w:sz="0" w:space="0" w:color="auto"/>
        <w:right w:val="none" w:sz="0" w:space="0" w:color="auto"/>
      </w:divBdr>
    </w:div>
    <w:div w:id="938371185">
      <w:bodyDiv w:val="1"/>
      <w:marLeft w:val="0"/>
      <w:marRight w:val="0"/>
      <w:marTop w:val="0"/>
      <w:marBottom w:val="0"/>
      <w:divBdr>
        <w:top w:val="none" w:sz="0" w:space="0" w:color="auto"/>
        <w:left w:val="none" w:sz="0" w:space="0" w:color="auto"/>
        <w:bottom w:val="none" w:sz="0" w:space="0" w:color="auto"/>
        <w:right w:val="none" w:sz="0" w:space="0" w:color="auto"/>
      </w:divBdr>
    </w:div>
    <w:div w:id="941450235">
      <w:bodyDiv w:val="1"/>
      <w:marLeft w:val="0"/>
      <w:marRight w:val="0"/>
      <w:marTop w:val="0"/>
      <w:marBottom w:val="0"/>
      <w:divBdr>
        <w:top w:val="none" w:sz="0" w:space="0" w:color="auto"/>
        <w:left w:val="none" w:sz="0" w:space="0" w:color="auto"/>
        <w:bottom w:val="none" w:sz="0" w:space="0" w:color="auto"/>
        <w:right w:val="none" w:sz="0" w:space="0" w:color="auto"/>
      </w:divBdr>
    </w:div>
    <w:div w:id="948388371">
      <w:bodyDiv w:val="1"/>
      <w:marLeft w:val="0"/>
      <w:marRight w:val="0"/>
      <w:marTop w:val="0"/>
      <w:marBottom w:val="0"/>
      <w:divBdr>
        <w:top w:val="none" w:sz="0" w:space="0" w:color="auto"/>
        <w:left w:val="none" w:sz="0" w:space="0" w:color="auto"/>
        <w:bottom w:val="none" w:sz="0" w:space="0" w:color="auto"/>
        <w:right w:val="none" w:sz="0" w:space="0" w:color="auto"/>
      </w:divBdr>
    </w:div>
    <w:div w:id="1127773687">
      <w:bodyDiv w:val="1"/>
      <w:marLeft w:val="0"/>
      <w:marRight w:val="0"/>
      <w:marTop w:val="0"/>
      <w:marBottom w:val="0"/>
      <w:divBdr>
        <w:top w:val="none" w:sz="0" w:space="0" w:color="auto"/>
        <w:left w:val="none" w:sz="0" w:space="0" w:color="auto"/>
        <w:bottom w:val="none" w:sz="0" w:space="0" w:color="auto"/>
        <w:right w:val="none" w:sz="0" w:space="0" w:color="auto"/>
      </w:divBdr>
    </w:div>
    <w:div w:id="1238592605">
      <w:bodyDiv w:val="1"/>
      <w:marLeft w:val="0"/>
      <w:marRight w:val="0"/>
      <w:marTop w:val="0"/>
      <w:marBottom w:val="0"/>
      <w:divBdr>
        <w:top w:val="none" w:sz="0" w:space="0" w:color="auto"/>
        <w:left w:val="none" w:sz="0" w:space="0" w:color="auto"/>
        <w:bottom w:val="none" w:sz="0" w:space="0" w:color="auto"/>
        <w:right w:val="none" w:sz="0" w:space="0" w:color="auto"/>
      </w:divBdr>
    </w:div>
    <w:div w:id="1343507262">
      <w:bodyDiv w:val="1"/>
      <w:marLeft w:val="0"/>
      <w:marRight w:val="0"/>
      <w:marTop w:val="0"/>
      <w:marBottom w:val="0"/>
      <w:divBdr>
        <w:top w:val="none" w:sz="0" w:space="0" w:color="auto"/>
        <w:left w:val="none" w:sz="0" w:space="0" w:color="auto"/>
        <w:bottom w:val="none" w:sz="0" w:space="0" w:color="auto"/>
        <w:right w:val="none" w:sz="0" w:space="0" w:color="auto"/>
      </w:divBdr>
    </w:div>
    <w:div w:id="1396930766">
      <w:bodyDiv w:val="1"/>
      <w:marLeft w:val="0"/>
      <w:marRight w:val="0"/>
      <w:marTop w:val="0"/>
      <w:marBottom w:val="0"/>
      <w:divBdr>
        <w:top w:val="none" w:sz="0" w:space="0" w:color="auto"/>
        <w:left w:val="none" w:sz="0" w:space="0" w:color="auto"/>
        <w:bottom w:val="none" w:sz="0" w:space="0" w:color="auto"/>
        <w:right w:val="none" w:sz="0" w:space="0" w:color="auto"/>
      </w:divBdr>
    </w:div>
    <w:div w:id="1566602571">
      <w:bodyDiv w:val="1"/>
      <w:marLeft w:val="0"/>
      <w:marRight w:val="0"/>
      <w:marTop w:val="0"/>
      <w:marBottom w:val="0"/>
      <w:divBdr>
        <w:top w:val="none" w:sz="0" w:space="0" w:color="auto"/>
        <w:left w:val="none" w:sz="0" w:space="0" w:color="auto"/>
        <w:bottom w:val="none" w:sz="0" w:space="0" w:color="auto"/>
        <w:right w:val="none" w:sz="0" w:space="0" w:color="auto"/>
      </w:divBdr>
    </w:div>
    <w:div w:id="1886989307">
      <w:bodyDiv w:val="1"/>
      <w:marLeft w:val="0"/>
      <w:marRight w:val="0"/>
      <w:marTop w:val="0"/>
      <w:marBottom w:val="0"/>
      <w:divBdr>
        <w:top w:val="none" w:sz="0" w:space="0" w:color="auto"/>
        <w:left w:val="none" w:sz="0" w:space="0" w:color="auto"/>
        <w:bottom w:val="none" w:sz="0" w:space="0" w:color="auto"/>
        <w:right w:val="none" w:sz="0" w:space="0" w:color="auto"/>
      </w:divBdr>
    </w:div>
    <w:div w:id="19974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50BC8D4B-4644-4A57-A6C8-09A28153A869}">
    <t:Anchor>
      <t:Comment id="1721079256"/>
    </t:Anchor>
    <t:History>
      <t:Event id="{A0CA7355-C2E1-456D-9F3F-5008FB1635BD}" time="2023-02-24T07:54:51.594Z">
        <t:Attribution userId="S::pko@hrk.eu::ad8c6e57-f620-4717-ba6a-2d9c28465a4d" userProvider="AD" userName="Paulina Kowalcze"/>
        <t:Anchor>
          <t:Comment id="1721079256"/>
        </t:Anchor>
        <t:Create/>
      </t:Event>
      <t:Event id="{1936045E-EAB6-4477-B929-DF5544B5A209}" time="2023-02-24T07:54:51.594Z">
        <t:Attribution userId="S::pko@hrk.eu::ad8c6e57-f620-4717-ba6a-2d9c28465a4d" userProvider="AD" userName="Paulina Kowalcze"/>
        <t:Anchor>
          <t:Comment id="1721079256"/>
        </t:Anchor>
        <t:Assign userId="S::mwt@hrk.eu::6ed4c22d-53e2-49dc-9952-7a173d68319c" userProvider="AD" userName="Monika Witoń"/>
      </t:Event>
      <t:Event id="{5C74079C-1C05-45F3-B200-46B45D891FF4}" time="2023-02-24T07:54:51.594Z">
        <t:Attribution userId="S::pko@hrk.eu::ad8c6e57-f620-4717-ba6a-2d9c28465a4d" userProvider="AD" userName="Paulina Kowalcze"/>
        <t:Anchor>
          <t:Comment id="1721079256"/>
        </t:Anchor>
        <t:SetTitle title="@Monika Witoń branży hotelarskiej?"/>
      </t:Event>
      <t:Event id="{AABF78AF-2240-4F6B-800D-5736846621D9}" time="2023-02-24T09:06:41.401Z">
        <t:Attribution userId="S::pko@hrk.eu::ad8c6e57-f620-4717-ba6a-2d9c28465a4d" userProvider="AD" userName="Paulina Kowalcze"/>
        <t:Progress percentComplete="100"/>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9A973C06A5B9C40AF73525BEEFB8D32" ma:contentTypeVersion="15" ma:contentTypeDescription="Utwórz nowy dokument." ma:contentTypeScope="" ma:versionID="dfee03bb0586ee2cc1daf1066e71febc">
  <xsd:schema xmlns:xsd="http://www.w3.org/2001/XMLSchema" xmlns:xs="http://www.w3.org/2001/XMLSchema" xmlns:p="http://schemas.microsoft.com/office/2006/metadata/properties" xmlns:ns2="1b744fde-6b8e-4aaf-ac5d-70cf94f3c568" xmlns:ns3="0429080d-b3bc-49c9-a395-854fa03bcd6b" targetNamespace="http://schemas.microsoft.com/office/2006/metadata/properties" ma:root="true" ma:fieldsID="c6b55c61cb440e017a036c34bcf6c257" ns2:_="" ns3:_="">
    <xsd:import namespace="1b744fde-6b8e-4aaf-ac5d-70cf94f3c568"/>
    <xsd:import namespace="0429080d-b3bc-49c9-a395-854fa03bcd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44fde-6b8e-4aaf-ac5d-70cf94f3c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69e1250f-54b9-4c2a-9752-132318b71c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080d-b3bc-49c9-a395-854fa03bcd6b" elementFormDefault="qualified">
    <xsd:import namespace="http://schemas.microsoft.com/office/2006/documentManagement/types"/>
    <xsd:import namespace="http://schemas.microsoft.com/office/infopath/2007/PartnerControls"/>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744fde-6b8e-4aaf-ac5d-70cf94f3c5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8EE5A4-BC86-4C4B-A690-F9F25CC1B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44fde-6b8e-4aaf-ac5d-70cf94f3c568"/>
    <ds:schemaRef ds:uri="0429080d-b3bc-49c9-a395-854fa03bc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DB0A87-5188-4573-8E79-F78453D24D80}">
  <ds:schemaRefs>
    <ds:schemaRef ds:uri="http://schemas.openxmlformats.org/officeDocument/2006/bibliography"/>
  </ds:schemaRefs>
</ds:datastoreItem>
</file>

<file path=customXml/itemProps3.xml><?xml version="1.0" encoding="utf-8"?>
<ds:datastoreItem xmlns:ds="http://schemas.openxmlformats.org/officeDocument/2006/customXml" ds:itemID="{C2F8F2C8-F671-461C-B0FC-F0155F804EF5}">
  <ds:schemaRefs>
    <ds:schemaRef ds:uri="http://schemas.microsoft.com/sharepoint/v3/contenttype/forms"/>
  </ds:schemaRefs>
</ds:datastoreItem>
</file>

<file path=customXml/itemProps4.xml><?xml version="1.0" encoding="utf-8"?>
<ds:datastoreItem xmlns:ds="http://schemas.openxmlformats.org/officeDocument/2006/customXml" ds:itemID="{19EFD703-9C7C-491A-B572-5280CBEE2F29}">
  <ds:schemaRefs>
    <ds:schemaRef ds:uri="http://schemas.microsoft.com/office/2006/metadata/properties"/>
    <ds:schemaRef ds:uri="http://schemas.microsoft.com/office/infopath/2007/PartnerControls"/>
    <ds:schemaRef ds:uri="1b744fde-6b8e-4aaf-ac5d-70cf94f3c568"/>
  </ds:schemaRefs>
</ds:datastoreItem>
</file>

<file path=docMetadata/LabelInfo.xml><?xml version="1.0" encoding="utf-8"?>
<clbl:labelList xmlns:clbl="http://schemas.microsoft.com/office/2020/mipLabelMetadata">
  <clbl:label id="{a92d0f79-e67b-490d-bcef-63610855298c}" enabled="0" method="" siteId="{a92d0f79-e67b-490d-bcef-63610855298c}" removed="1"/>
</clbl:labelList>
</file>

<file path=docProps/app.xml><?xml version="1.0" encoding="utf-8"?>
<Properties xmlns="http://schemas.openxmlformats.org/officeDocument/2006/extended-properties" xmlns:vt="http://schemas.openxmlformats.org/officeDocument/2006/docPropsVTypes">
  <Template>Normal</Template>
  <TotalTime>376</TotalTime>
  <Pages>3</Pages>
  <Words>1122</Words>
  <Characters>7899</Characters>
  <Application>Microsoft Office Word</Application>
  <DocSecurity>0</DocSecurity>
  <Lines>116</Lines>
  <Paragraphs>33</Paragraphs>
  <ScaleCrop>false</ScaleCrop>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Witoń</dc:creator>
  <cp:keywords/>
  <dc:description/>
  <cp:lastModifiedBy>Irmina Gocan</cp:lastModifiedBy>
  <cp:revision>478</cp:revision>
  <cp:lastPrinted>2023-02-22T11:30:00Z</cp:lastPrinted>
  <dcterms:created xsi:type="dcterms:W3CDTF">2023-06-15T12:43:00Z</dcterms:created>
  <dcterms:modified xsi:type="dcterms:W3CDTF">2026-11-02T08:20:00Z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0x01010059A973C06A5B9C40AF73525BEEFB8D32</vt:lpwstr>
  </property>
  <property fmtid="{D5CDD505-2E9C-101B-9397-08002B2CF9AE}" pid="3" name="MediaServiceImageTags">
    <vt:lpwstr/>
  </property>
</Properties>
</file>