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7E82" w14:textId="502EFC6D" w:rsidR="00D763C9" w:rsidRDefault="00C66D98" w:rsidP="00D8477D">
      <w:r w:rsidRPr="00C66D98">
        <w:rPr>
          <w:noProof/>
        </w:rPr>
        <mc:AlternateContent>
          <mc:Choice Requires="wps">
            <w:drawing>
              <wp:anchor distT="0" distB="0" distL="114300" distR="114300" simplePos="0" relativeHeight="251658240" behindDoc="0" locked="0" layoutInCell="1" allowOverlap="1" wp14:anchorId="79F3970F" wp14:editId="48B2DE3A">
                <wp:simplePos x="0" y="0"/>
                <wp:positionH relativeFrom="margin">
                  <wp:align>center</wp:align>
                </wp:positionH>
                <wp:positionV relativeFrom="paragraph">
                  <wp:posOffset>3175</wp:posOffset>
                </wp:positionV>
                <wp:extent cx="659958" cy="330200"/>
                <wp:effectExtent l="0" t="0" r="6985" b="0"/>
                <wp:wrapNone/>
                <wp:docPr id="6" name="Rounded Rectangle">
                  <a:extLst xmlns:a="http://schemas.openxmlformats.org/drawingml/2006/main">
                    <a:ext uri="{FF2B5EF4-FFF2-40B4-BE49-F238E27FC236}">
                      <a16:creationId xmlns:a16="http://schemas.microsoft.com/office/drawing/2014/main" id="{FAD25626-EF60-4A21-BFC4-2A00B0CE03C5}"/>
                    </a:ext>
                  </a:extLst>
                </wp:docPr>
                <wp:cNvGraphicFramePr/>
                <a:graphic xmlns:a="http://schemas.openxmlformats.org/drawingml/2006/main">
                  <a:graphicData uri="http://schemas.microsoft.com/office/word/2010/wordprocessingShape">
                    <wps:wsp>
                      <wps:cNvSpPr/>
                      <wps:spPr>
                        <a:xfrm>
                          <a:off x="0" y="0"/>
                          <a:ext cx="659958" cy="330200"/>
                        </a:xfrm>
                        <a:prstGeom prst="roundRect">
                          <a:avLst>
                            <a:gd name="adj" fmla="val 50000"/>
                          </a:avLst>
                        </a:prstGeom>
                        <a:solidFill>
                          <a:srgbClr val="0195C7"/>
                        </a:solidFill>
                        <a:ln w="12700">
                          <a:miter lim="400000"/>
                        </a:ln>
                      </wps:spPr>
                      <wps:txbx>
                        <w:txbxContent>
                          <w:p w14:paraId="5AF847AA" w14:textId="21ED6604" w:rsidR="00C66D98" w:rsidRPr="00C66D98" w:rsidRDefault="007027E3" w:rsidP="00C66D98">
                            <w:pPr>
                              <w:spacing w:after="0" w:line="240" w:lineRule="auto"/>
                              <w:jc w:val="center"/>
                              <w:rPr>
                                <w:rFonts w:ascii="Microsoft PhagsPa" w:eastAsia="Microsoft JhengHei UI" w:hAnsi="Microsoft PhagsPa" w:cs="Helvetica Neue Medium"/>
                                <w:b/>
                                <w:bCs/>
                                <w:color w:val="FFFFFF" w:themeColor="background1"/>
                                <w:kern w:val="24"/>
                                <w:sz w:val="16"/>
                                <w:szCs w:val="16"/>
                                <w:lang w:val="pt-PT"/>
                                <w14:ligatures w14:val="none"/>
                              </w:rPr>
                            </w:pPr>
                            <w:r>
                              <w:rPr>
                                <w:rFonts w:ascii="Microsoft PhagsPa" w:eastAsia="Microsoft JhengHei UI" w:hAnsi="Microsoft PhagsPa" w:cs="Helvetica Neue Medium"/>
                                <w:b/>
                                <w:bCs/>
                                <w:color w:val="FFFFFF" w:themeColor="background1"/>
                                <w:kern w:val="24"/>
                                <w:sz w:val="16"/>
                                <w:szCs w:val="16"/>
                                <w:lang w:val="pt-PT"/>
                              </w:rPr>
                              <w:t>DICAS</w:t>
                            </w:r>
                          </w:p>
                        </w:txbxContent>
                      </wps:txbx>
                      <wps:bodyPr wrap="square" lIns="50800" tIns="50800" rIns="50800" bIns="50800" anchor="ctr">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w:pict>
              <v:roundrect id="Rounded Rectangle" style="position:absolute;margin-left:0;margin-top:.25pt;width:51.95pt;height:26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0195c7" stroked="f" strokeweight="1pt" arcsize=".5" w14:anchorId="79F39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">
                <v:stroke miterlimit="4" joinstyle="miter"/>
                <v:textbox inset="4pt,4pt,4pt,4pt">
                  <w:txbxContent>
                    <w:p w:rsidRPr="00C66D98" w:rsidR="00C66D98" w:rsidP="00C66D98" w:rsidRDefault="007027E3" w14:paraId="5AF847AA" w14:textId="21ED6604">
                      <w:pPr>
                        <w:spacing w:after="0" w:line="240" w:lineRule="auto"/>
                        <w:jc w:val="center"/>
                        <w:rPr>
                          <w:rFonts w:ascii="Microsoft PhagsPa" w:hAnsi="Microsoft PhagsPa" w:eastAsia="Microsoft JhengHei UI" w:cs="Helvetica Neue Medium"/>
                          <w:b/>
                          <w:bCs/>
                          <w:color w:val="FFFFFF" w:themeColor="background1"/>
                          <w:kern w:val="24"/>
                          <w:sz w:val="16"/>
                          <w:szCs w:val="16"/>
                          <w:lang w:val="pt-PT"/>
                          <w14:ligatures w14:val="none"/>
                        </w:rPr>
                      </w:pPr>
                      <w:r>
                        <w:rPr>
                          <w:rFonts w:ascii="Microsoft PhagsPa" w:hAnsi="Microsoft PhagsPa" w:eastAsia="Microsoft JhengHei UI" w:cs="Helvetica Neue Medium"/>
                          <w:b/>
                          <w:bCs/>
                          <w:color w:val="FFFFFF" w:themeColor="background1"/>
                          <w:kern w:val="24"/>
                          <w:sz w:val="16"/>
                          <w:szCs w:val="16"/>
                          <w:lang w:val="pt-PT"/>
                        </w:rPr>
                        <w:t>DICAS</w:t>
                      </w:r>
                    </w:p>
                  </w:txbxContent>
                </v:textbox>
                <w10:wrap anchorx="margin"/>
              </v:roundrect>
            </w:pict>
          </mc:Fallback>
        </mc:AlternateContent>
      </w:r>
    </w:p>
    <w:p w14:paraId="75CC24E3" w14:textId="77777777" w:rsidR="00D8477D" w:rsidRPr="00D8477D" w:rsidRDefault="00D8477D" w:rsidP="00D8477D"/>
    <w:p w14:paraId="324B1A98" w14:textId="7083718F" w:rsidR="00C66D98" w:rsidRDefault="00A007D6" w:rsidP="00DF2C62">
      <w:pPr>
        <w:spacing w:after="80" w:line="264" w:lineRule="auto"/>
        <w:jc w:val="center"/>
        <w:rPr>
          <w:rFonts w:ascii="Microsoft PhagsPa" w:eastAsia="Microsoft JhengHei UI" w:hAnsi="Microsoft PhagsPa"/>
          <w:b/>
          <w:bCs/>
          <w:color w:val="0195C7"/>
          <w:sz w:val="40"/>
          <w:szCs w:val="40"/>
          <w:lang w:val="pt-PT"/>
        </w:rPr>
      </w:pPr>
      <w:r w:rsidRPr="00A007D6">
        <w:rPr>
          <w:rFonts w:ascii="Microsoft PhagsPa" w:eastAsia="Microsoft JhengHei UI" w:hAnsi="Microsoft PhagsPa"/>
          <w:b/>
          <w:bCs/>
          <w:color w:val="0195C7"/>
          <w:sz w:val="40"/>
          <w:szCs w:val="40"/>
          <w:lang w:val="pt-PT"/>
        </w:rPr>
        <w:t>Taxa fixa, mista ou variável</w:t>
      </w:r>
      <w:r>
        <w:rPr>
          <w:rFonts w:ascii="Microsoft PhagsPa" w:eastAsia="Microsoft JhengHei UI" w:hAnsi="Microsoft PhagsPa"/>
          <w:b/>
          <w:bCs/>
          <w:color w:val="0195C7"/>
          <w:sz w:val="40"/>
          <w:szCs w:val="40"/>
          <w:lang w:val="pt-PT"/>
        </w:rPr>
        <w:t>:</w:t>
      </w:r>
      <w:r w:rsidRPr="00A007D6">
        <w:rPr>
          <w:rFonts w:ascii="Microsoft PhagsPa" w:eastAsia="Microsoft JhengHei UI" w:hAnsi="Microsoft PhagsPa"/>
          <w:b/>
          <w:bCs/>
          <w:color w:val="0195C7"/>
          <w:sz w:val="40"/>
          <w:szCs w:val="40"/>
          <w:lang w:val="pt-PT"/>
        </w:rPr>
        <w:t xml:space="preserve"> </w:t>
      </w:r>
      <w:r w:rsidR="00381F10">
        <w:rPr>
          <w:rFonts w:ascii="Microsoft PhagsPa" w:eastAsia="Microsoft JhengHei UI" w:hAnsi="Microsoft PhagsPa"/>
          <w:b/>
          <w:bCs/>
          <w:color w:val="0195C7"/>
          <w:sz w:val="40"/>
          <w:szCs w:val="40"/>
          <w:lang w:val="pt-PT"/>
        </w:rPr>
        <w:t>6</w:t>
      </w:r>
      <w:r w:rsidRPr="00A007D6">
        <w:rPr>
          <w:rFonts w:ascii="Microsoft PhagsPa" w:eastAsia="Microsoft JhengHei UI" w:hAnsi="Microsoft PhagsPa"/>
          <w:b/>
          <w:bCs/>
          <w:color w:val="0195C7"/>
          <w:sz w:val="40"/>
          <w:szCs w:val="40"/>
          <w:lang w:val="pt-PT"/>
        </w:rPr>
        <w:t xml:space="preserve"> dicas para </w:t>
      </w:r>
      <w:r w:rsidR="00DB3178" w:rsidRPr="00DB3178">
        <w:rPr>
          <w:rFonts w:ascii="Microsoft PhagsPa" w:eastAsia="Microsoft JhengHei UI" w:hAnsi="Microsoft PhagsPa"/>
          <w:b/>
          <w:bCs/>
          <w:color w:val="0195C7"/>
          <w:sz w:val="40"/>
          <w:szCs w:val="40"/>
          <w:lang w:val="pt-PT"/>
        </w:rPr>
        <w:t>poupar no crédito habitação</w:t>
      </w:r>
    </w:p>
    <w:p w14:paraId="25697B2D" w14:textId="77777777" w:rsidR="00DF7F0D" w:rsidRDefault="00DF7F0D" w:rsidP="00DF7F0D">
      <w:pPr>
        <w:spacing w:after="240" w:line="360" w:lineRule="auto"/>
        <w:ind w:left="357"/>
        <w:jc w:val="both"/>
        <w:rPr>
          <w:rFonts w:ascii="Microsoft PhagsPa" w:eastAsia="Microsoft JhengHei UI" w:hAnsi="Microsoft PhagsPa"/>
          <w:sz w:val="22"/>
          <w:szCs w:val="22"/>
          <w:lang w:val="pt-PT"/>
        </w:rPr>
      </w:pPr>
    </w:p>
    <w:p w14:paraId="1735901A" w14:textId="6A4714C4" w:rsidR="003D2DE6" w:rsidRDefault="00A007D6" w:rsidP="003D2DE6">
      <w:pPr>
        <w:spacing w:after="240" w:line="360" w:lineRule="auto"/>
        <w:ind w:left="357"/>
        <w:jc w:val="both"/>
        <w:rPr>
          <w:rFonts w:ascii="Microsoft PhagsPa" w:eastAsia="Microsoft JhengHei UI" w:hAnsi="Microsoft PhagsPa"/>
          <w:sz w:val="22"/>
          <w:szCs w:val="22"/>
          <w:lang w:val="pt-PT"/>
        </w:rPr>
      </w:pPr>
      <w:r w:rsidRPr="00A007D6">
        <w:rPr>
          <w:rFonts w:ascii="Microsoft PhagsPa" w:eastAsia="Microsoft JhengHei UI" w:hAnsi="Microsoft PhagsPa"/>
          <w:sz w:val="22"/>
          <w:szCs w:val="22"/>
          <w:lang w:val="pt-PT"/>
        </w:rPr>
        <w:t xml:space="preserve">A subida da Euribor está a voltar a pressionar o orçamento das famílias portuguesas. Depois de um período de descida das taxas de juro, os contratos de crédito habitação com taxa variável voltam a registar aumentos nas prestações mensais. Para os contratos indexados à Euribor </w:t>
      </w:r>
      <w:proofErr w:type="gramStart"/>
      <w:r w:rsidRPr="00A007D6">
        <w:rPr>
          <w:rFonts w:ascii="Microsoft PhagsPa" w:eastAsia="Microsoft JhengHei UI" w:hAnsi="Microsoft PhagsPa"/>
          <w:sz w:val="22"/>
          <w:szCs w:val="22"/>
          <w:lang w:val="pt-PT"/>
        </w:rPr>
        <w:t>a</w:t>
      </w:r>
      <w:proofErr w:type="gramEnd"/>
      <w:r w:rsidRPr="00A007D6">
        <w:rPr>
          <w:rFonts w:ascii="Microsoft PhagsPa" w:eastAsia="Microsoft JhengHei UI" w:hAnsi="Microsoft PhagsPa"/>
          <w:sz w:val="22"/>
          <w:szCs w:val="22"/>
          <w:lang w:val="pt-PT"/>
        </w:rPr>
        <w:t xml:space="preserve"> 12 meses revistos em novembro, este será mesmo o primeiro aumento da prestação em três anos.</w:t>
      </w:r>
    </w:p>
    <w:p w14:paraId="199570D2" w14:textId="6948D65C" w:rsidR="00A007D6" w:rsidRPr="003D2DE6" w:rsidRDefault="00A007D6" w:rsidP="003D2DE6">
      <w:pPr>
        <w:spacing w:after="240" w:line="360" w:lineRule="auto"/>
        <w:ind w:left="357"/>
        <w:jc w:val="both"/>
        <w:rPr>
          <w:rFonts w:ascii="Microsoft PhagsPa" w:eastAsia="Microsoft JhengHei UI" w:hAnsi="Microsoft PhagsPa"/>
          <w:sz w:val="22"/>
          <w:szCs w:val="22"/>
          <w:lang w:val="pt-PT"/>
        </w:rPr>
      </w:pPr>
      <w:r w:rsidRPr="00A007D6">
        <w:rPr>
          <w:rFonts w:ascii="Microsoft PhagsPa" w:eastAsia="Microsoft JhengHei UI" w:hAnsi="Microsoft PhagsPa"/>
          <w:sz w:val="22"/>
          <w:szCs w:val="22"/>
          <w:lang w:val="pt-PT"/>
        </w:rPr>
        <w:t xml:space="preserve">Perante este cenário, importa perceber que alternativas existem para reduzir os encargos com a casa e se compensa manter a taxa variável ou mudar para uma taxa mista ou fixa. A pensar nas famílias que procuram proteger o orçamento e encontrar melhores condições para o crédito habitação, o </w:t>
      </w:r>
      <w:hyperlink r:id="rId10" w:history="1">
        <w:r w:rsidRPr="00A007D6">
          <w:rPr>
            <w:rStyle w:val="Hiperligao"/>
            <w:rFonts w:ascii="Microsoft PhagsPa" w:eastAsia="Microsoft JhengHei UI" w:hAnsi="Microsoft PhagsPa"/>
            <w:sz w:val="22"/>
            <w:szCs w:val="22"/>
            <w:lang w:val="pt-PT"/>
          </w:rPr>
          <w:t>Doutor Finanças</w:t>
        </w:r>
      </w:hyperlink>
      <w:r w:rsidRPr="00A007D6">
        <w:rPr>
          <w:rFonts w:ascii="Microsoft PhagsPa" w:eastAsia="Microsoft JhengHei UI" w:hAnsi="Microsoft PhagsPa"/>
          <w:sz w:val="22"/>
          <w:szCs w:val="22"/>
          <w:lang w:val="pt-PT"/>
        </w:rPr>
        <w:t xml:space="preserve"> reuniu </w:t>
      </w:r>
      <w:r w:rsidR="00381F10">
        <w:rPr>
          <w:rFonts w:ascii="Microsoft PhagsPa" w:eastAsia="Microsoft JhengHei UI" w:hAnsi="Microsoft PhagsPa"/>
          <w:sz w:val="22"/>
          <w:szCs w:val="22"/>
          <w:lang w:val="pt-PT"/>
        </w:rPr>
        <w:t>seis</w:t>
      </w:r>
      <w:r w:rsidRPr="00A007D6">
        <w:rPr>
          <w:rFonts w:ascii="Microsoft PhagsPa" w:eastAsia="Microsoft JhengHei UI" w:hAnsi="Microsoft PhagsPa"/>
          <w:sz w:val="22"/>
          <w:szCs w:val="22"/>
          <w:lang w:val="pt-PT"/>
        </w:rPr>
        <w:t xml:space="preserve"> dicas práticas para enfrentar a subida da Euribor.</w:t>
      </w:r>
    </w:p>
    <w:p w14:paraId="3D20BE3B" w14:textId="53852022" w:rsidR="00DC411D" w:rsidRPr="0014328B" w:rsidRDefault="00164529" w:rsidP="0014328B">
      <w:pPr>
        <w:pStyle w:val="PargrafodaLista"/>
        <w:numPr>
          <w:ilvl w:val="0"/>
          <w:numId w:val="6"/>
        </w:numPr>
        <w:spacing w:after="240" w:line="360" w:lineRule="auto"/>
        <w:jc w:val="both"/>
        <w:rPr>
          <w:rFonts w:ascii="Microsoft PhagsPa" w:eastAsia="Microsoft JhengHei UI" w:hAnsi="Microsoft PhagsPa"/>
          <w:lang w:val="pt-PT"/>
        </w:rPr>
      </w:pPr>
      <w:r w:rsidRPr="00164529">
        <w:rPr>
          <w:rFonts w:ascii="Microsoft PhagsPa" w:eastAsia="Microsoft JhengHei UI" w:hAnsi="Microsoft PhagsPa"/>
          <w:b/>
          <w:bCs/>
          <w:color w:val="0195C7"/>
          <w:lang w:val="pt-PT"/>
        </w:rPr>
        <w:t>Calcular o impacto da subida dos juros</w:t>
      </w:r>
    </w:p>
    <w:p w14:paraId="3F7CFB34" w14:textId="77777777" w:rsidR="00164529" w:rsidRPr="00164529" w:rsidRDefault="00164529" w:rsidP="00164529">
      <w:pPr>
        <w:spacing w:after="240" w:line="360" w:lineRule="auto"/>
        <w:ind w:left="426"/>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A subida da Euribor não afeta todos os contratos ao mesmo tempo, nem tem o mesmo impacto nas prestações. O aumento depende do prazo do indexante, do capital em dívida, do prazo restante do empréstimo e do spread contratado.</w:t>
      </w:r>
    </w:p>
    <w:p w14:paraId="10ABC0B2" w14:textId="625FC1E9" w:rsidR="001F7819" w:rsidRPr="001F7819" w:rsidRDefault="00164529" w:rsidP="00164529">
      <w:pPr>
        <w:spacing w:after="240" w:line="360" w:lineRule="auto"/>
        <w:ind w:left="426"/>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 xml:space="preserve">Nos contratos revistos em novembro, a média da Euribor de outubro determina a prestação a pagar a partir de dezembro. Num crédito de 200 mil euros, </w:t>
      </w:r>
      <w:proofErr w:type="gramStart"/>
      <w:r w:rsidRPr="00164529">
        <w:rPr>
          <w:rFonts w:ascii="Microsoft PhagsPa" w:eastAsia="Microsoft JhengHei UI" w:hAnsi="Microsoft PhagsPa"/>
          <w:sz w:val="22"/>
          <w:szCs w:val="22"/>
          <w:lang w:val="pt-PT"/>
        </w:rPr>
        <w:t>a</w:t>
      </w:r>
      <w:proofErr w:type="gramEnd"/>
      <w:r w:rsidRPr="00164529">
        <w:rPr>
          <w:rFonts w:ascii="Microsoft PhagsPa" w:eastAsia="Microsoft JhengHei UI" w:hAnsi="Microsoft PhagsPa"/>
          <w:sz w:val="22"/>
          <w:szCs w:val="22"/>
          <w:lang w:val="pt-PT"/>
        </w:rPr>
        <w:t xml:space="preserve"> 30 anos e com um spread de 1%, os aumentos mensais podem variar entre 23,49 euros, na Euribor </w:t>
      </w:r>
      <w:proofErr w:type="gramStart"/>
      <w:r w:rsidRPr="00164529">
        <w:rPr>
          <w:rFonts w:ascii="Microsoft PhagsPa" w:eastAsia="Microsoft JhengHei UI" w:hAnsi="Microsoft PhagsPa"/>
          <w:sz w:val="22"/>
          <w:szCs w:val="22"/>
          <w:lang w:val="pt-PT"/>
        </w:rPr>
        <w:t>a</w:t>
      </w:r>
      <w:proofErr w:type="gramEnd"/>
      <w:r w:rsidRPr="00164529">
        <w:rPr>
          <w:rFonts w:ascii="Microsoft PhagsPa" w:eastAsia="Microsoft JhengHei UI" w:hAnsi="Microsoft PhagsPa"/>
          <w:sz w:val="22"/>
          <w:szCs w:val="22"/>
          <w:lang w:val="pt-PT"/>
        </w:rPr>
        <w:t xml:space="preserve"> três meses, e 118,73 euros, na Euribor </w:t>
      </w:r>
      <w:proofErr w:type="gramStart"/>
      <w:r w:rsidRPr="00164529">
        <w:rPr>
          <w:rFonts w:ascii="Microsoft PhagsPa" w:eastAsia="Microsoft JhengHei UI" w:hAnsi="Microsoft PhagsPa"/>
          <w:sz w:val="22"/>
          <w:szCs w:val="22"/>
          <w:lang w:val="pt-PT"/>
        </w:rPr>
        <w:t>a</w:t>
      </w:r>
      <w:proofErr w:type="gramEnd"/>
      <w:r w:rsidRPr="00164529">
        <w:rPr>
          <w:rFonts w:ascii="Microsoft PhagsPa" w:eastAsia="Microsoft JhengHei UI" w:hAnsi="Microsoft PhagsPa"/>
          <w:sz w:val="22"/>
          <w:szCs w:val="22"/>
          <w:lang w:val="pt-PT"/>
        </w:rPr>
        <w:t xml:space="preserve"> 12 meses. Conhecer a data da próxima revisão e simular o impacto permite antecipar os encargos e ajustar o orçamento.</w:t>
      </w:r>
    </w:p>
    <w:p w14:paraId="5BF07517" w14:textId="1E4FDC63" w:rsidR="0014328B" w:rsidRPr="00D763C9" w:rsidRDefault="00A007D6" w:rsidP="0014328B">
      <w:pPr>
        <w:pStyle w:val="PargrafodaLista"/>
        <w:numPr>
          <w:ilvl w:val="0"/>
          <w:numId w:val="6"/>
        </w:numPr>
        <w:spacing w:after="240" w:line="360" w:lineRule="auto"/>
        <w:jc w:val="both"/>
        <w:rPr>
          <w:rFonts w:ascii="Microsoft PhagsPa" w:eastAsia="Microsoft JhengHei UI" w:hAnsi="Microsoft PhagsPa"/>
          <w:lang w:val="pt-PT"/>
        </w:rPr>
      </w:pPr>
      <w:r w:rsidRPr="00A007D6">
        <w:rPr>
          <w:rFonts w:ascii="Microsoft PhagsPa" w:eastAsia="Microsoft JhengHei UI" w:hAnsi="Microsoft PhagsPa"/>
          <w:b/>
          <w:bCs/>
          <w:color w:val="0195C7"/>
          <w:lang w:val="pt-PT"/>
        </w:rPr>
        <w:t>Avaliar se compensa manter a taxa variável</w:t>
      </w:r>
    </w:p>
    <w:p w14:paraId="03E1E1FF" w14:textId="77777777" w:rsidR="00164529" w:rsidRPr="00164529" w:rsidRDefault="00164529" w:rsidP="00164529">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lastRenderedPageBreak/>
        <w:t>A taxa variável resulta da soma da Euribor com o spread, pelo que a prestação pode aumentar ou diminuir consoante a evolução do indexante.</w:t>
      </w:r>
    </w:p>
    <w:p w14:paraId="6E131A33" w14:textId="76E95218" w:rsidR="002F5B37" w:rsidRPr="002F5B37" w:rsidRDefault="00164529" w:rsidP="00164529">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Apesar das recentes subidas, manter esta modalidade pode continuar a compensar, sobretudo quando as condições contratadas são competitivas e existe margem financeira para suportar eventuais aumentos. Antes de mudar, importa avaliar a prestação atual e a capacidade do orçamento para enfrentar novas oscilações das taxas de juro.</w:t>
      </w:r>
    </w:p>
    <w:p w14:paraId="30C668C8" w14:textId="780544FB" w:rsidR="00963E08" w:rsidRPr="0014328B" w:rsidRDefault="00164529" w:rsidP="00963E08">
      <w:pPr>
        <w:pStyle w:val="PargrafodaLista"/>
        <w:numPr>
          <w:ilvl w:val="0"/>
          <w:numId w:val="6"/>
        </w:numPr>
        <w:spacing w:after="240" w:line="360" w:lineRule="auto"/>
        <w:jc w:val="both"/>
        <w:rPr>
          <w:rFonts w:ascii="Microsoft PhagsPa" w:eastAsia="Microsoft JhengHei UI" w:hAnsi="Microsoft PhagsPa"/>
          <w:lang w:val="pt-PT"/>
        </w:rPr>
      </w:pPr>
      <w:r w:rsidRPr="00164529">
        <w:rPr>
          <w:rFonts w:ascii="Microsoft PhagsPa" w:eastAsia="Microsoft JhengHei UI" w:hAnsi="Microsoft PhagsPa"/>
          <w:b/>
          <w:bCs/>
          <w:color w:val="0195C7"/>
          <w:lang w:val="pt-PT"/>
        </w:rPr>
        <w:t xml:space="preserve">Explorar a taxa mista como alternativa </w:t>
      </w:r>
    </w:p>
    <w:p w14:paraId="3B028EC0" w14:textId="77777777" w:rsidR="00164529" w:rsidRPr="00164529" w:rsidRDefault="00164529" w:rsidP="00164529">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A taxa mista combina um período inicial de taxa fixa com um período posterior de taxa variável, permitindo maior previsibilidade nos primeiros anos e, em determinados casos, uma redução da prestação.</w:t>
      </w:r>
    </w:p>
    <w:p w14:paraId="32795972" w14:textId="0ECC133E" w:rsidR="0016079C" w:rsidRPr="00D8477D" w:rsidRDefault="00164529" w:rsidP="00164529">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 xml:space="preserve">Numa simulação para um crédito de 200 mil euros </w:t>
      </w:r>
      <w:proofErr w:type="gramStart"/>
      <w:r w:rsidRPr="00164529">
        <w:rPr>
          <w:rFonts w:ascii="Microsoft PhagsPa" w:eastAsia="Microsoft JhengHei UI" w:hAnsi="Microsoft PhagsPa"/>
          <w:sz w:val="22"/>
          <w:szCs w:val="22"/>
          <w:lang w:val="pt-PT"/>
        </w:rPr>
        <w:t>a</w:t>
      </w:r>
      <w:proofErr w:type="gramEnd"/>
      <w:r w:rsidRPr="00164529">
        <w:rPr>
          <w:rFonts w:ascii="Microsoft PhagsPa" w:eastAsia="Microsoft JhengHei UI" w:hAnsi="Microsoft PhagsPa"/>
          <w:sz w:val="22"/>
          <w:szCs w:val="22"/>
          <w:lang w:val="pt-PT"/>
        </w:rPr>
        <w:t xml:space="preserve"> 30 anos, a mudança de uma taxa variável, com uma prestação revista de 941 euros, para uma taxa mista com TAN de 2,7% permitiria reduzir a mensalidade para 811 euros. Uma poupança de 130 euros por mês, equivalente a 1.560 euros por ano.</w:t>
      </w:r>
      <w:r>
        <w:rPr>
          <w:rFonts w:ascii="Microsoft PhagsPa" w:eastAsia="Microsoft JhengHei UI" w:hAnsi="Microsoft PhagsPa"/>
          <w:sz w:val="22"/>
          <w:szCs w:val="22"/>
          <w:lang w:val="pt-PT"/>
        </w:rPr>
        <w:t xml:space="preserve"> </w:t>
      </w:r>
      <w:r w:rsidRPr="00164529">
        <w:rPr>
          <w:rFonts w:ascii="Microsoft PhagsPa" w:eastAsia="Microsoft JhengHei UI" w:hAnsi="Microsoft PhagsPa"/>
          <w:sz w:val="22"/>
          <w:szCs w:val="22"/>
          <w:lang w:val="pt-PT"/>
        </w:rPr>
        <w:t>Contudo, esta poupança depende das condições de cada contrato e, terminado o período de taxa fixa, a prestação volta a acompanhar a evolução da Euribor.</w:t>
      </w:r>
    </w:p>
    <w:p w14:paraId="17D1A321" w14:textId="7F23D1B1" w:rsidR="00753D12" w:rsidRPr="0014328B" w:rsidRDefault="00DB3178" w:rsidP="00753D12">
      <w:pPr>
        <w:pStyle w:val="PargrafodaLista"/>
        <w:numPr>
          <w:ilvl w:val="0"/>
          <w:numId w:val="6"/>
        </w:numPr>
        <w:spacing w:after="240" w:line="360" w:lineRule="auto"/>
        <w:jc w:val="both"/>
        <w:rPr>
          <w:rFonts w:ascii="Microsoft PhagsPa" w:eastAsia="Microsoft JhengHei UI" w:hAnsi="Microsoft PhagsPa"/>
          <w:lang w:val="pt-PT"/>
        </w:rPr>
      </w:pPr>
      <w:r w:rsidRPr="00DB3178">
        <w:rPr>
          <w:rFonts w:ascii="Microsoft PhagsPa" w:eastAsia="Microsoft JhengHei UI" w:hAnsi="Microsoft PhagsPa"/>
          <w:b/>
          <w:bCs/>
          <w:color w:val="0195C7"/>
          <w:lang w:val="pt-PT"/>
        </w:rPr>
        <w:t>Ponderar a taxa fixa para garantir maior estabilidade</w:t>
      </w:r>
    </w:p>
    <w:p w14:paraId="6ABD3FF8" w14:textId="77777777" w:rsidR="00164529" w:rsidRPr="00164529" w:rsidRDefault="00164529" w:rsidP="00164529">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A taxa fixa mantém a taxa de juro inalterada durante todo o contrato, protegendo a prestação das oscilações da Euribor. É uma alternativa para quem privilegia a estabilidade dos encargos mensais, mesmo que implique pagar mais.</w:t>
      </w:r>
    </w:p>
    <w:p w14:paraId="79A3D6FE" w14:textId="2AFD39FF" w:rsidR="00563C07" w:rsidRPr="00563C07" w:rsidRDefault="00164529" w:rsidP="00164529">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 xml:space="preserve">Numa simulação para um crédito de 200 mil euros </w:t>
      </w:r>
      <w:proofErr w:type="gramStart"/>
      <w:r w:rsidRPr="00164529">
        <w:rPr>
          <w:rFonts w:ascii="Microsoft PhagsPa" w:eastAsia="Microsoft JhengHei UI" w:hAnsi="Microsoft PhagsPa"/>
          <w:sz w:val="22"/>
          <w:szCs w:val="22"/>
          <w:lang w:val="pt-PT"/>
        </w:rPr>
        <w:t>a</w:t>
      </w:r>
      <w:proofErr w:type="gramEnd"/>
      <w:r w:rsidRPr="00164529">
        <w:rPr>
          <w:rFonts w:ascii="Microsoft PhagsPa" w:eastAsia="Microsoft JhengHei UI" w:hAnsi="Microsoft PhagsPa"/>
          <w:sz w:val="22"/>
          <w:szCs w:val="22"/>
          <w:lang w:val="pt-PT"/>
        </w:rPr>
        <w:t xml:space="preserve"> 30 anos, uma taxa fixa de 4,5% resultaria numa prestação de 1.013 euros, mais 72 euros do que com a taxa variável revista. Assim, esta modalidade não representa uma poupança imediata, mas garante previsibilidade a longo prazo.</w:t>
      </w:r>
    </w:p>
    <w:p w14:paraId="7C95BADF" w14:textId="75D354BA" w:rsidR="00563C07" w:rsidRPr="009E5BCE" w:rsidRDefault="00DB3178" w:rsidP="00753D12">
      <w:pPr>
        <w:pStyle w:val="PargrafodaLista"/>
        <w:numPr>
          <w:ilvl w:val="0"/>
          <w:numId w:val="6"/>
        </w:numPr>
        <w:spacing w:after="240" w:line="360" w:lineRule="auto"/>
        <w:jc w:val="both"/>
        <w:rPr>
          <w:rFonts w:ascii="Microsoft PhagsPa" w:eastAsia="Microsoft JhengHei UI" w:hAnsi="Microsoft PhagsPa"/>
          <w:lang w:val="pt-PT"/>
        </w:rPr>
      </w:pPr>
      <w:r w:rsidRPr="00DB3178">
        <w:rPr>
          <w:rFonts w:ascii="Microsoft PhagsPa" w:eastAsia="Microsoft JhengHei UI" w:hAnsi="Microsoft PhagsPa"/>
          <w:b/>
          <w:bCs/>
          <w:color w:val="0195C7"/>
          <w:lang w:val="pt-PT"/>
        </w:rPr>
        <w:t>Renegociar as condições do crédito com o banco</w:t>
      </w:r>
    </w:p>
    <w:p w14:paraId="7BA539CA" w14:textId="77777777" w:rsidR="00164529" w:rsidRPr="00164529" w:rsidRDefault="00164529" w:rsidP="00164529">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lastRenderedPageBreak/>
        <w:t>Antes de mudar de banco ou de modalidade de taxa, importa avaliar a possibilidade de renegociar as condições do contrato atual. O spread, o prazo de reembolso e o tipo de taxa são alguns dos elementos que podem ser revistos para reduzir os encargos mensais.</w:t>
      </w:r>
    </w:p>
    <w:p w14:paraId="6D54EF2F" w14:textId="7C5CB48C" w:rsidR="000271F4" w:rsidRDefault="00164529" w:rsidP="00164529">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A renegociação depende da avaliação do banco, nomeadamente da situação financeira e da taxa de esforço. No entanto, a instituição não pode cobrar comissões pela renegociação nem exigir a contratação de outros produtos ou serviços financeiros como condição para a realizar.</w:t>
      </w:r>
    </w:p>
    <w:p w14:paraId="47DB8352" w14:textId="3C101652" w:rsidR="00A007D6" w:rsidRPr="009E5BCE" w:rsidRDefault="00164529" w:rsidP="00A007D6">
      <w:pPr>
        <w:pStyle w:val="PargrafodaLista"/>
        <w:numPr>
          <w:ilvl w:val="0"/>
          <w:numId w:val="6"/>
        </w:numPr>
        <w:spacing w:after="240" w:line="360" w:lineRule="auto"/>
        <w:jc w:val="both"/>
        <w:rPr>
          <w:rFonts w:ascii="Microsoft PhagsPa" w:eastAsia="Microsoft JhengHei UI" w:hAnsi="Microsoft PhagsPa"/>
          <w:lang w:val="pt-PT"/>
        </w:rPr>
      </w:pPr>
      <w:r w:rsidRPr="00164529">
        <w:rPr>
          <w:rFonts w:ascii="Microsoft PhagsPa" w:eastAsia="Microsoft JhengHei UI" w:hAnsi="Microsoft PhagsPa"/>
          <w:b/>
          <w:bCs/>
          <w:color w:val="0195C7"/>
          <w:lang w:val="pt-PT"/>
        </w:rPr>
        <w:t>Avaliar se compensa transferir o crédito</w:t>
      </w:r>
    </w:p>
    <w:p w14:paraId="2563AF70" w14:textId="739B62EA" w:rsidR="00DB3178" w:rsidRPr="00DB3178" w:rsidRDefault="00164529" w:rsidP="00DB3178">
      <w:pPr>
        <w:spacing w:line="360" w:lineRule="auto"/>
        <w:ind w:left="357"/>
        <w:jc w:val="both"/>
        <w:rPr>
          <w:rFonts w:ascii="Microsoft PhagsPa" w:eastAsia="Microsoft JhengHei UI" w:hAnsi="Microsoft PhagsPa"/>
          <w:sz w:val="22"/>
          <w:szCs w:val="22"/>
          <w:lang w:val="pt-PT"/>
        </w:rPr>
      </w:pPr>
      <w:r w:rsidRPr="00164529">
        <w:rPr>
          <w:rFonts w:ascii="Microsoft PhagsPa" w:eastAsia="Microsoft JhengHei UI" w:hAnsi="Microsoft PhagsPa"/>
          <w:sz w:val="22"/>
          <w:szCs w:val="22"/>
          <w:lang w:val="pt-PT"/>
        </w:rPr>
        <w:t>Se as condições do banco atual deixarem de ser competitivas, transferir o crédito habitação para outra instituição pode permitir reduzir os encargos mensais.</w:t>
      </w:r>
    </w:p>
    <w:p w14:paraId="4138B374" w14:textId="2BC23337" w:rsidR="001F7819" w:rsidRDefault="00DB3178" w:rsidP="00164529">
      <w:pPr>
        <w:spacing w:line="360" w:lineRule="auto"/>
        <w:ind w:left="357"/>
        <w:jc w:val="both"/>
        <w:rPr>
          <w:rFonts w:ascii="Microsoft PhagsPa" w:eastAsia="Microsoft JhengHei UI" w:hAnsi="Microsoft PhagsPa"/>
          <w:sz w:val="22"/>
          <w:szCs w:val="22"/>
          <w:lang w:val="pt-PT"/>
        </w:rPr>
      </w:pPr>
      <w:r w:rsidRPr="00DB3178">
        <w:rPr>
          <w:rFonts w:ascii="Microsoft PhagsPa" w:eastAsia="Microsoft JhengHei UI" w:hAnsi="Microsoft PhagsPa"/>
          <w:sz w:val="22"/>
          <w:szCs w:val="22"/>
          <w:lang w:val="pt-PT"/>
        </w:rPr>
        <w:t xml:space="preserve">No entanto, a comparação não deve limitar-se ao valor da prestação mensal ou ao spread. É fundamental analisar a Taxa Anual de Encargos Efetiva Global (TAEG), o Montante Total Imputado ao Consumidor (MTIC), os seguros associados, as comissões </w:t>
      </w:r>
      <w:r w:rsidR="00164529" w:rsidRPr="00164529">
        <w:rPr>
          <w:rFonts w:ascii="Microsoft PhagsPa" w:eastAsia="Microsoft JhengHei UI" w:hAnsi="Microsoft PhagsPa"/>
          <w:sz w:val="22"/>
          <w:szCs w:val="22"/>
          <w:lang w:val="pt-PT"/>
        </w:rPr>
        <w:t>e os eventuais custos de transferência. Uma mensalidade mais baixa nem sempre significa um crédito mais barato, sobretudo se implicar um prazo de reembolso mais longo ou encargos adicionais.</w:t>
      </w:r>
    </w:p>
    <w:p w14:paraId="7C515DE9" w14:textId="457EC180" w:rsidR="00381F10" w:rsidRDefault="00381F10" w:rsidP="00381F10">
      <w:pPr>
        <w:spacing w:line="360" w:lineRule="auto"/>
        <w:ind w:left="357"/>
        <w:jc w:val="both"/>
        <w:rPr>
          <w:rFonts w:ascii="Microsoft PhagsPa" w:eastAsia="Microsoft JhengHei UI" w:hAnsi="Microsoft PhagsPa"/>
          <w:sz w:val="22"/>
          <w:szCs w:val="22"/>
          <w:lang w:val="pt-PT"/>
        </w:rPr>
      </w:pPr>
      <w:r w:rsidRPr="00381F10">
        <w:rPr>
          <w:rFonts w:ascii="Microsoft PhagsPa" w:eastAsia="Microsoft JhengHei UI" w:hAnsi="Microsoft PhagsPa"/>
          <w:sz w:val="22"/>
          <w:szCs w:val="22"/>
          <w:lang w:val="pt-PT"/>
        </w:rPr>
        <w:t xml:space="preserve">Os artigos </w:t>
      </w:r>
      <w:hyperlink r:id="rId11" w:history="1">
        <w:r w:rsidRPr="00472F0F">
          <w:rPr>
            <w:rStyle w:val="Hiperligao"/>
            <w:rFonts w:ascii="Microsoft PhagsPa" w:eastAsia="Microsoft JhengHei UI" w:hAnsi="Microsoft PhagsPa"/>
            <w:sz w:val="22"/>
            <w:szCs w:val="22"/>
            <w:lang w:val="pt-PT"/>
          </w:rPr>
          <w:t>“Subida da Euribor aumenta prestação de contratos revistos em novembro”</w:t>
        </w:r>
      </w:hyperlink>
      <w:r w:rsidRPr="00381F10">
        <w:rPr>
          <w:rFonts w:ascii="Microsoft PhagsPa" w:eastAsia="Microsoft JhengHei UI" w:hAnsi="Microsoft PhagsPa"/>
          <w:sz w:val="22"/>
          <w:szCs w:val="22"/>
          <w:lang w:val="pt-PT"/>
        </w:rPr>
        <w:t xml:space="preserve"> e </w:t>
      </w:r>
      <w:hyperlink r:id="rId12" w:history="1">
        <w:r w:rsidRPr="00381F10">
          <w:rPr>
            <w:rStyle w:val="Hiperligao"/>
            <w:rFonts w:ascii="Microsoft PhagsPa" w:eastAsia="Microsoft JhengHei UI" w:hAnsi="Microsoft PhagsPa"/>
            <w:sz w:val="22"/>
            <w:szCs w:val="22"/>
            <w:lang w:val="pt-PT"/>
          </w:rPr>
          <w:t>“Crédito habitação: Vale a pena mudar para taxa mista ou taxa fixa?”</w:t>
        </w:r>
      </w:hyperlink>
      <w:r w:rsidRPr="00381F10">
        <w:rPr>
          <w:rFonts w:ascii="Microsoft PhagsPa" w:eastAsia="Microsoft JhengHei UI" w:hAnsi="Microsoft PhagsPa"/>
          <w:sz w:val="22"/>
          <w:szCs w:val="22"/>
          <w:lang w:val="pt-PT"/>
        </w:rPr>
        <w:t xml:space="preserve"> estão disponíveis no portal do Doutor Finanças, com mais informação sobre o impacto da subida da Euribor nas prestações, simulações de diferentes modalidades de taxa e alternativas para reduzir os encargos com o crédito habitação.</w:t>
      </w:r>
    </w:p>
    <w:p w14:paraId="5133A02D" w14:textId="77777777" w:rsidR="00D249E0" w:rsidRDefault="00D249E0" w:rsidP="00324ABF">
      <w:pPr>
        <w:spacing w:after="80" w:line="360" w:lineRule="auto"/>
        <w:ind w:left="357"/>
        <w:jc w:val="both"/>
        <w:rPr>
          <w:rFonts w:ascii="Microsoft PhagsPa" w:eastAsia="Microsoft JhengHei UI" w:hAnsi="Microsoft PhagsPa"/>
          <w:b/>
          <w:bCs/>
          <w:color w:val="0195C7"/>
          <w:sz w:val="18"/>
          <w:szCs w:val="18"/>
          <w:lang w:val="pt-PT"/>
        </w:rPr>
      </w:pPr>
    </w:p>
    <w:p w14:paraId="261A5A5F"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b/>
          <w:bCs/>
          <w:color w:val="404040" w:themeColor="text1" w:themeTint="BF"/>
          <w:sz w:val="18"/>
          <w:szCs w:val="18"/>
          <w:lang w:val="pt-PT"/>
        </w:rPr>
        <w:t>Sobre o Doutor Finanças</w:t>
      </w:r>
      <w:r w:rsidRPr="004368B8">
        <w:rPr>
          <w:rFonts w:ascii="Microsoft PhagsPa" w:eastAsia="Microsoft JhengHei UI" w:hAnsi="Microsoft PhagsPa"/>
          <w:color w:val="404040" w:themeColor="text1" w:themeTint="BF"/>
          <w:sz w:val="18"/>
          <w:szCs w:val="18"/>
          <w:lang w:val="pt-PT"/>
        </w:rPr>
        <w:t> </w:t>
      </w:r>
    </w:p>
    <w:p w14:paraId="5C09B5D8"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O Doutor Finanças é uma </w:t>
      </w:r>
      <w:proofErr w:type="spellStart"/>
      <w:r w:rsidRPr="004368B8">
        <w:rPr>
          <w:rFonts w:ascii="Microsoft PhagsPa" w:eastAsia="Microsoft JhengHei UI" w:hAnsi="Microsoft PhagsPa"/>
          <w:color w:val="404040" w:themeColor="text1" w:themeTint="BF"/>
          <w:sz w:val="18"/>
          <w:szCs w:val="18"/>
          <w:lang w:val="pt-PT"/>
        </w:rPr>
        <w:t>fintech</w:t>
      </w:r>
      <w:proofErr w:type="spellEnd"/>
      <w:r w:rsidRPr="004368B8">
        <w:rPr>
          <w:rFonts w:ascii="Microsoft PhagsPa" w:eastAsia="Microsoft JhengHei UI" w:hAnsi="Microsoft PhagsPa"/>
          <w:color w:val="404040" w:themeColor="text1" w:themeTint="BF"/>
          <w:sz w:val="18"/>
          <w:szCs w:val="18"/>
          <w:lang w:val="pt-PT"/>
        </w:rPr>
        <w:t xml:space="preserve"> especializada na área do bem-estar financeiro, que ajuda as pessoas a tomar melhores decisões financeiras sobre crédito habitação, crédito pessoal e seguros. No mercado desde 2014, faz a ligação entre clientes e instituições financeiras, oferecendo análise, negociação e acompanhamento sem custos. O especialista fechou 2025 com um volume de negócios de 24 milhões de euros, num ano em que foi responsável por 748 milhões de euros em crédito habitação e por mais de 14 </w:t>
      </w:r>
      <w:r w:rsidRPr="004368B8">
        <w:rPr>
          <w:rFonts w:ascii="Microsoft PhagsPa" w:eastAsia="Microsoft JhengHei UI" w:hAnsi="Microsoft PhagsPa"/>
          <w:color w:val="404040" w:themeColor="text1" w:themeTint="BF"/>
          <w:sz w:val="18"/>
          <w:szCs w:val="18"/>
          <w:lang w:val="pt-PT"/>
        </w:rPr>
        <w:lastRenderedPageBreak/>
        <w:t>mil apólices de seguros, tendo ajudado mais de 200 mil pessoas, através da melhoria das suas condições financeiras.  </w:t>
      </w:r>
    </w:p>
    <w:p w14:paraId="7B91F64F"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Além disso, disponibiliza um portal com 16 milhões de visitas, onde são disponibilizados conteúdos para promover uma vida financeira saudável, bem como uma academia de formação especializada responsável por capacitar, em 2024, mais de 20 mil portugueses em finanças pessoais.  </w:t>
      </w:r>
    </w:p>
    <w:p w14:paraId="29A3228C"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O Doutor Finanças conta com uma equipa com mais de 700 colaboradores, dos quais mais de 420 são especialistas focados na rede de lojas espalhadas de norte a sul do país, incluindo ilhas. O Doutor Finanças destaca-se como uma </w:t>
      </w:r>
      <w:proofErr w:type="spellStart"/>
      <w:r w:rsidRPr="004368B8">
        <w:rPr>
          <w:rFonts w:ascii="Microsoft PhagsPa" w:eastAsia="Microsoft JhengHei UI" w:hAnsi="Microsoft PhagsPa"/>
          <w:color w:val="404040" w:themeColor="text1" w:themeTint="BF"/>
          <w:sz w:val="18"/>
          <w:szCs w:val="18"/>
          <w:lang w:val="pt-PT"/>
        </w:rPr>
        <w:t>Fintech</w:t>
      </w:r>
      <w:proofErr w:type="spellEnd"/>
      <w:r w:rsidRPr="004368B8">
        <w:rPr>
          <w:rFonts w:ascii="Microsoft PhagsPa" w:eastAsia="Microsoft JhengHei UI" w:hAnsi="Microsoft PhagsPa"/>
          <w:color w:val="404040" w:themeColor="text1" w:themeTint="BF"/>
          <w:sz w:val="18"/>
          <w:szCs w:val="18"/>
          <w:lang w:val="pt-PT"/>
        </w:rPr>
        <w:t> de referência, tendo sido reconhecida no </w:t>
      </w:r>
      <w:proofErr w:type="spellStart"/>
      <w:r w:rsidRPr="004368B8">
        <w:rPr>
          <w:rFonts w:ascii="Microsoft PhagsPa" w:eastAsia="Microsoft JhengHei UI" w:hAnsi="Microsoft PhagsPa"/>
          <w:color w:val="404040" w:themeColor="text1" w:themeTint="BF"/>
          <w:sz w:val="18"/>
          <w:szCs w:val="18"/>
          <w:lang w:val="pt-PT"/>
        </w:rPr>
        <w:t>Technology</w:t>
      </w:r>
      <w:proofErr w:type="spellEnd"/>
      <w:r w:rsidRPr="004368B8">
        <w:rPr>
          <w:rFonts w:ascii="Microsoft PhagsPa" w:eastAsia="Microsoft JhengHei UI" w:hAnsi="Microsoft PhagsPa"/>
          <w:color w:val="404040" w:themeColor="text1" w:themeTint="BF"/>
          <w:sz w:val="18"/>
          <w:szCs w:val="18"/>
          <w:lang w:val="pt-PT"/>
        </w:rPr>
        <w:t> Fast 50 da </w:t>
      </w:r>
      <w:proofErr w:type="spellStart"/>
      <w:r w:rsidRPr="004368B8">
        <w:rPr>
          <w:rFonts w:ascii="Microsoft PhagsPa" w:eastAsia="Microsoft JhengHei UI" w:hAnsi="Microsoft PhagsPa"/>
          <w:color w:val="404040" w:themeColor="text1" w:themeTint="BF"/>
          <w:sz w:val="18"/>
          <w:szCs w:val="18"/>
          <w:lang w:val="pt-PT"/>
        </w:rPr>
        <w:t>Deloitte</w:t>
      </w:r>
      <w:proofErr w:type="spellEnd"/>
      <w:r w:rsidRPr="004368B8">
        <w:rPr>
          <w:rFonts w:ascii="Microsoft PhagsPa" w:eastAsia="Microsoft JhengHei UI" w:hAnsi="Microsoft PhagsPa"/>
          <w:color w:val="404040" w:themeColor="text1" w:themeTint="BF"/>
          <w:sz w:val="18"/>
          <w:szCs w:val="18"/>
          <w:lang w:val="pt-PT"/>
        </w:rPr>
        <w:t>, distinguida como Great </w:t>
      </w:r>
      <w:proofErr w:type="spellStart"/>
      <w:r w:rsidRPr="004368B8">
        <w:rPr>
          <w:rFonts w:ascii="Microsoft PhagsPa" w:eastAsia="Microsoft JhengHei UI" w:hAnsi="Microsoft PhagsPa"/>
          <w:color w:val="404040" w:themeColor="text1" w:themeTint="BF"/>
          <w:sz w:val="18"/>
          <w:szCs w:val="18"/>
          <w:lang w:val="pt-PT"/>
        </w:rPr>
        <w:t>Place</w:t>
      </w:r>
      <w:proofErr w:type="spellEnd"/>
      <w:r w:rsidRPr="004368B8">
        <w:rPr>
          <w:rFonts w:ascii="Microsoft PhagsPa" w:eastAsia="Microsoft JhengHei UI" w:hAnsi="Microsoft PhagsPa"/>
          <w:color w:val="404040" w:themeColor="text1" w:themeTint="BF"/>
          <w:sz w:val="18"/>
          <w:szCs w:val="18"/>
          <w:lang w:val="pt-PT"/>
        </w:rPr>
        <w:t> to </w:t>
      </w:r>
      <w:proofErr w:type="spellStart"/>
      <w:r w:rsidRPr="004368B8">
        <w:rPr>
          <w:rFonts w:ascii="Microsoft PhagsPa" w:eastAsia="Microsoft JhengHei UI" w:hAnsi="Microsoft PhagsPa"/>
          <w:color w:val="404040" w:themeColor="text1" w:themeTint="BF"/>
          <w:sz w:val="18"/>
          <w:szCs w:val="18"/>
          <w:lang w:val="pt-PT"/>
        </w:rPr>
        <w:t>Work</w:t>
      </w:r>
      <w:proofErr w:type="spellEnd"/>
      <w:r w:rsidRPr="004368B8">
        <w:rPr>
          <w:rFonts w:ascii="Microsoft PhagsPa" w:eastAsia="Microsoft JhengHei UI" w:hAnsi="Microsoft PhagsPa"/>
          <w:color w:val="404040" w:themeColor="text1" w:themeTint="BF"/>
          <w:sz w:val="18"/>
          <w:szCs w:val="18"/>
          <w:lang w:val="pt-PT"/>
        </w:rPr>
        <w:t> desde 2021 e com a sua Rede de franchising tendo sido galardoada com o 3º lugar enquanto marca de franchising emergente da Europa, pela Federação Europeia de Franchising. </w:t>
      </w:r>
    </w:p>
    <w:p w14:paraId="7271136C"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É possível aceder aos serviços do Doutor Finanças através do seu portal e das 100 lojas espalhadas por todo o território nacional. Mais informação em: </w:t>
      </w:r>
      <w:hyperlink r:id="rId13" w:tgtFrame="_blank" w:history="1">
        <w:r w:rsidRPr="004368B8">
          <w:rPr>
            <w:rStyle w:val="Hiperligao"/>
            <w:rFonts w:ascii="Microsoft PhagsPa" w:eastAsia="Microsoft JhengHei UI" w:hAnsi="Microsoft PhagsPa"/>
            <w:sz w:val="18"/>
            <w:szCs w:val="18"/>
            <w:lang w:val="pt-PT"/>
          </w:rPr>
          <w:t>www.doutorfinancas.pt/sobre-doutor-financas/</w:t>
        </w:r>
      </w:hyperlink>
      <w:r w:rsidRPr="004368B8">
        <w:rPr>
          <w:rFonts w:ascii="Microsoft PhagsPa" w:eastAsia="Microsoft JhengHei UI" w:hAnsi="Microsoft PhagsPa"/>
          <w:color w:val="404040" w:themeColor="text1" w:themeTint="BF"/>
          <w:sz w:val="18"/>
          <w:szCs w:val="18"/>
          <w:lang w:val="pt-PT"/>
        </w:rPr>
        <w:t>   </w:t>
      </w:r>
    </w:p>
    <w:p w14:paraId="770309C5"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color w:val="404040" w:themeColor="text1" w:themeTint="BF"/>
          <w:sz w:val="18"/>
          <w:szCs w:val="18"/>
          <w:lang w:val="pt-PT"/>
        </w:rPr>
        <w:t> </w:t>
      </w:r>
    </w:p>
    <w:p w14:paraId="4A9ACE5D"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lang w:val="pt-PT"/>
        </w:rPr>
      </w:pPr>
      <w:r w:rsidRPr="004368B8">
        <w:rPr>
          <w:rFonts w:ascii="Microsoft PhagsPa" w:eastAsia="Microsoft JhengHei UI" w:hAnsi="Microsoft PhagsPa"/>
          <w:b/>
          <w:bCs/>
          <w:color w:val="404040" w:themeColor="text1" w:themeTint="BF"/>
          <w:sz w:val="18"/>
          <w:szCs w:val="18"/>
          <w:lang w:val="pt-PT"/>
        </w:rPr>
        <w:t>Contactos para a Comunicação Social</w:t>
      </w:r>
      <w:r w:rsidRPr="004368B8">
        <w:rPr>
          <w:rFonts w:ascii="Microsoft PhagsPa" w:eastAsia="Microsoft JhengHei UI" w:hAnsi="Microsoft PhagsPa"/>
          <w:color w:val="404040" w:themeColor="text1" w:themeTint="BF"/>
          <w:sz w:val="18"/>
          <w:szCs w:val="18"/>
          <w:lang w:val="pt-PT"/>
        </w:rPr>
        <w:t> </w:t>
      </w:r>
    </w:p>
    <w:p w14:paraId="2FEBB31B"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rPr>
      </w:pPr>
      <w:r w:rsidRPr="00FB237C">
        <w:rPr>
          <w:rFonts w:ascii="Microsoft PhagsPa" w:eastAsia="Microsoft JhengHei UI" w:hAnsi="Microsoft PhagsPa"/>
          <w:color w:val="404040" w:themeColor="text1" w:themeTint="BF"/>
          <w:sz w:val="18"/>
          <w:szCs w:val="18"/>
          <w:u w:val="single"/>
          <w:lang w:val="en-GB"/>
        </w:rPr>
        <w:t>Lift Consulting</w:t>
      </w:r>
      <w:r w:rsidRPr="004368B8">
        <w:rPr>
          <w:rFonts w:ascii="Microsoft PhagsPa" w:eastAsia="Microsoft JhengHei UI" w:hAnsi="Microsoft PhagsPa"/>
          <w:color w:val="404040" w:themeColor="text1" w:themeTint="BF"/>
          <w:sz w:val="18"/>
          <w:szCs w:val="18"/>
        </w:rPr>
        <w:t> </w:t>
      </w:r>
    </w:p>
    <w:p w14:paraId="0042ED2D" w14:textId="77777777" w:rsidR="004368B8" w:rsidRPr="004368B8" w:rsidRDefault="004368B8" w:rsidP="004368B8">
      <w:pPr>
        <w:spacing w:after="40" w:line="360" w:lineRule="auto"/>
        <w:ind w:left="357"/>
        <w:jc w:val="both"/>
        <w:rPr>
          <w:rFonts w:ascii="Microsoft PhagsPa" w:eastAsia="Microsoft JhengHei UI" w:hAnsi="Microsoft PhagsPa"/>
          <w:color w:val="404040" w:themeColor="text1" w:themeTint="BF"/>
          <w:sz w:val="18"/>
          <w:szCs w:val="18"/>
        </w:rPr>
      </w:pPr>
      <w:r w:rsidRPr="00FB237C">
        <w:rPr>
          <w:rFonts w:ascii="Microsoft PhagsPa" w:eastAsia="Microsoft JhengHei UI" w:hAnsi="Microsoft PhagsPa"/>
          <w:color w:val="404040" w:themeColor="text1" w:themeTint="BF"/>
          <w:sz w:val="18"/>
          <w:szCs w:val="18"/>
          <w:lang w:val="en-GB"/>
        </w:rPr>
        <w:t>Raquel Rogeiro | </w:t>
      </w:r>
      <w:hyperlink r:id="rId14" w:tgtFrame="_blank" w:history="1">
        <w:r w:rsidRPr="00FB237C">
          <w:rPr>
            <w:rStyle w:val="Hiperligao"/>
            <w:rFonts w:ascii="Microsoft PhagsPa" w:eastAsia="Microsoft JhengHei UI" w:hAnsi="Microsoft PhagsPa"/>
            <w:sz w:val="18"/>
            <w:szCs w:val="18"/>
            <w:lang w:val="en-GB"/>
          </w:rPr>
          <w:t>raquel.rogeiro@lift.com.pt</w:t>
        </w:r>
      </w:hyperlink>
      <w:r w:rsidRPr="00FB237C">
        <w:rPr>
          <w:rFonts w:ascii="Microsoft PhagsPa" w:eastAsia="Microsoft JhengHei UI" w:hAnsi="Microsoft PhagsPa"/>
          <w:color w:val="404040" w:themeColor="text1" w:themeTint="BF"/>
          <w:sz w:val="18"/>
          <w:szCs w:val="18"/>
          <w:lang w:val="en-GB"/>
        </w:rPr>
        <w:t> | 910 767 719</w:t>
      </w:r>
      <w:r w:rsidRPr="004368B8">
        <w:rPr>
          <w:rFonts w:ascii="Microsoft PhagsPa" w:eastAsia="Microsoft JhengHei UI" w:hAnsi="Microsoft PhagsPa"/>
          <w:color w:val="404040" w:themeColor="text1" w:themeTint="BF"/>
          <w:sz w:val="18"/>
          <w:szCs w:val="18"/>
        </w:rPr>
        <w:t> </w:t>
      </w:r>
    </w:p>
    <w:p w14:paraId="51B0FEB4" w14:textId="493CB8C7" w:rsidR="006C15EC" w:rsidRPr="004368B8" w:rsidRDefault="004368B8" w:rsidP="001C43C6">
      <w:pPr>
        <w:spacing w:after="40" w:line="360" w:lineRule="auto"/>
        <w:ind w:left="357"/>
        <w:jc w:val="both"/>
        <w:rPr>
          <w:rFonts w:ascii="Microsoft PhagsPa" w:eastAsia="Microsoft JhengHei UI" w:hAnsi="Microsoft PhagsPa"/>
          <w:color w:val="404040" w:themeColor="text1" w:themeTint="BF"/>
          <w:sz w:val="18"/>
          <w:szCs w:val="18"/>
          <w:lang w:val="pt-PT"/>
        </w:rPr>
      </w:pPr>
      <w:r w:rsidRPr="00FB237C">
        <w:rPr>
          <w:rFonts w:ascii="Microsoft PhagsPa" w:eastAsia="Microsoft JhengHei UI" w:hAnsi="Microsoft PhagsPa"/>
          <w:color w:val="404040" w:themeColor="text1" w:themeTint="BF"/>
          <w:sz w:val="18"/>
          <w:szCs w:val="18"/>
          <w:lang w:val="pt-PT"/>
        </w:rPr>
        <w:t>Miguel Carrilho | </w:t>
      </w:r>
      <w:hyperlink r:id="rId15" w:tgtFrame="_blank" w:history="1">
        <w:r w:rsidRPr="00FB237C">
          <w:rPr>
            <w:rStyle w:val="Hiperligao"/>
            <w:rFonts w:ascii="Microsoft PhagsPa" w:eastAsia="Microsoft JhengHei UI" w:hAnsi="Microsoft PhagsPa"/>
            <w:sz w:val="18"/>
            <w:szCs w:val="18"/>
            <w:lang w:val="pt-PT"/>
          </w:rPr>
          <w:t>miguel.carrilho@lift.com.pt</w:t>
        </w:r>
      </w:hyperlink>
      <w:r w:rsidRPr="00FB237C">
        <w:rPr>
          <w:rFonts w:ascii="Microsoft PhagsPa" w:eastAsia="Microsoft JhengHei UI" w:hAnsi="Microsoft PhagsPa"/>
          <w:color w:val="404040" w:themeColor="text1" w:themeTint="BF"/>
          <w:sz w:val="18"/>
          <w:szCs w:val="18"/>
          <w:lang w:val="pt-PT"/>
        </w:rPr>
        <w:t> | 967 777 714</w:t>
      </w:r>
      <w:r w:rsidRPr="004368B8">
        <w:rPr>
          <w:rFonts w:ascii="Microsoft PhagsPa" w:eastAsia="Microsoft JhengHei UI" w:hAnsi="Microsoft PhagsPa"/>
          <w:color w:val="404040" w:themeColor="text1" w:themeTint="BF"/>
          <w:sz w:val="18"/>
          <w:szCs w:val="18"/>
          <w:lang w:val="pt-PT"/>
        </w:rPr>
        <w:t> </w:t>
      </w:r>
    </w:p>
    <w:sectPr w:rsidR="006C15EC" w:rsidRPr="004368B8" w:rsidSect="00C66D98">
      <w:headerReference w:type="default" r:id="rId16"/>
      <w:pgSz w:w="12240" w:h="15840"/>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411EF" w14:textId="77777777" w:rsidR="00BA2223" w:rsidRDefault="00BA2223" w:rsidP="00C66D98">
      <w:pPr>
        <w:spacing w:after="0" w:line="240" w:lineRule="auto"/>
      </w:pPr>
      <w:r>
        <w:separator/>
      </w:r>
    </w:p>
  </w:endnote>
  <w:endnote w:type="continuationSeparator" w:id="0">
    <w:p w14:paraId="7EB0BF84" w14:textId="77777777" w:rsidR="00BA2223" w:rsidRDefault="00BA2223" w:rsidP="00C66D98">
      <w:pPr>
        <w:spacing w:after="0" w:line="240" w:lineRule="auto"/>
      </w:pPr>
      <w:r>
        <w:continuationSeparator/>
      </w:r>
    </w:p>
  </w:endnote>
  <w:endnote w:type="continuationNotice" w:id="1">
    <w:p w14:paraId="49777AA9" w14:textId="77777777" w:rsidR="00BA2223" w:rsidRDefault="00BA22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PhagsPa">
    <w:panose1 w:val="020B0502040204020203"/>
    <w:charset w:val="00"/>
    <w:family w:val="swiss"/>
    <w:pitch w:val="variable"/>
    <w:sig w:usb0="00000003" w:usb1="00000000" w:usb2="08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Helvetica Neue Medium">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8980D" w14:textId="77777777" w:rsidR="00BA2223" w:rsidRDefault="00BA2223" w:rsidP="00C66D98">
      <w:pPr>
        <w:spacing w:after="0" w:line="240" w:lineRule="auto"/>
      </w:pPr>
      <w:r>
        <w:separator/>
      </w:r>
    </w:p>
  </w:footnote>
  <w:footnote w:type="continuationSeparator" w:id="0">
    <w:p w14:paraId="6629CB8E" w14:textId="77777777" w:rsidR="00BA2223" w:rsidRDefault="00BA2223" w:rsidP="00C66D98">
      <w:pPr>
        <w:spacing w:after="0" w:line="240" w:lineRule="auto"/>
      </w:pPr>
      <w:r>
        <w:continuationSeparator/>
      </w:r>
    </w:p>
  </w:footnote>
  <w:footnote w:type="continuationNotice" w:id="1">
    <w:p w14:paraId="108B2B14" w14:textId="77777777" w:rsidR="00BA2223" w:rsidRDefault="00BA22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1F6EF" w14:textId="5EFE3FFB" w:rsidR="00C66D98" w:rsidRDefault="00C66D98">
    <w:pPr>
      <w:pStyle w:val="Cabealho"/>
    </w:pPr>
    <w:r w:rsidRPr="00C66D98">
      <w:rPr>
        <w:noProof/>
      </w:rPr>
      <w:drawing>
        <wp:anchor distT="0" distB="0" distL="114300" distR="114300" simplePos="0" relativeHeight="251658240" behindDoc="0" locked="0" layoutInCell="1" allowOverlap="1" wp14:anchorId="57C2237E" wp14:editId="33C1D526">
          <wp:simplePos x="0" y="0"/>
          <wp:positionH relativeFrom="margin">
            <wp:posOffset>1539240</wp:posOffset>
          </wp:positionH>
          <wp:positionV relativeFrom="margin">
            <wp:posOffset>-692150</wp:posOffset>
          </wp:positionV>
          <wp:extent cx="2533650" cy="426395"/>
          <wp:effectExtent l="0" t="0" r="0" b="0"/>
          <wp:wrapSquare wrapText="bothSides"/>
          <wp:docPr id="2137444502" name="Imagem 1" descr="A literacia financeira e o Natal">
            <a:extLst xmlns:a="http://schemas.openxmlformats.org/drawingml/2006/main">
              <a:ext uri="{FF2B5EF4-FFF2-40B4-BE49-F238E27FC236}">
                <a16:creationId xmlns:a16="http://schemas.microsoft.com/office/drawing/2014/main" id="{2A993924-F056-401D-8892-E72570DBE2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iteracia financeira e o Na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4263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8DB"/>
    <w:multiLevelType w:val="hybridMultilevel"/>
    <w:tmpl w:val="791452F6"/>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1" w15:restartNumberingAfterBreak="0">
    <w:nsid w:val="2C421273"/>
    <w:multiLevelType w:val="hybridMultilevel"/>
    <w:tmpl w:val="E0BAD354"/>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2" w15:restartNumberingAfterBreak="0">
    <w:nsid w:val="39261C3C"/>
    <w:multiLevelType w:val="hybridMultilevel"/>
    <w:tmpl w:val="A488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E47C7"/>
    <w:multiLevelType w:val="hybridMultilevel"/>
    <w:tmpl w:val="194AA61E"/>
    <w:lvl w:ilvl="0" w:tplc="27DA4E2A">
      <w:start w:val="2"/>
      <w:numFmt w:val="decimal"/>
      <w:lvlText w:val="%1."/>
      <w:lvlJc w:val="left"/>
      <w:pPr>
        <w:ind w:left="717" w:hanging="360"/>
      </w:pPr>
      <w:rPr>
        <w:rFonts w:hint="default"/>
        <w:b/>
        <w:color w:val="0195C7"/>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4" w15:restartNumberingAfterBreak="0">
    <w:nsid w:val="451A2B9F"/>
    <w:multiLevelType w:val="hybridMultilevel"/>
    <w:tmpl w:val="3DF8B9CC"/>
    <w:lvl w:ilvl="0" w:tplc="08160001">
      <w:start w:val="1"/>
      <w:numFmt w:val="bullet"/>
      <w:lvlText w:val=""/>
      <w:lvlJc w:val="left"/>
      <w:pPr>
        <w:ind w:left="1077" w:hanging="360"/>
      </w:pPr>
      <w:rPr>
        <w:rFonts w:ascii="Symbol" w:hAnsi="Symbol" w:hint="default"/>
      </w:rPr>
    </w:lvl>
    <w:lvl w:ilvl="1" w:tplc="08160003" w:tentative="1">
      <w:start w:val="1"/>
      <w:numFmt w:val="bullet"/>
      <w:lvlText w:val="o"/>
      <w:lvlJc w:val="left"/>
      <w:pPr>
        <w:ind w:left="1797" w:hanging="360"/>
      </w:pPr>
      <w:rPr>
        <w:rFonts w:ascii="Courier New" w:hAnsi="Courier New" w:cs="Courier New" w:hint="default"/>
      </w:rPr>
    </w:lvl>
    <w:lvl w:ilvl="2" w:tplc="08160005" w:tentative="1">
      <w:start w:val="1"/>
      <w:numFmt w:val="bullet"/>
      <w:lvlText w:val=""/>
      <w:lvlJc w:val="left"/>
      <w:pPr>
        <w:ind w:left="2517" w:hanging="360"/>
      </w:pPr>
      <w:rPr>
        <w:rFonts w:ascii="Wingdings" w:hAnsi="Wingdings" w:hint="default"/>
      </w:rPr>
    </w:lvl>
    <w:lvl w:ilvl="3" w:tplc="08160001" w:tentative="1">
      <w:start w:val="1"/>
      <w:numFmt w:val="bullet"/>
      <w:lvlText w:val=""/>
      <w:lvlJc w:val="left"/>
      <w:pPr>
        <w:ind w:left="3237" w:hanging="360"/>
      </w:pPr>
      <w:rPr>
        <w:rFonts w:ascii="Symbol" w:hAnsi="Symbol" w:hint="default"/>
      </w:rPr>
    </w:lvl>
    <w:lvl w:ilvl="4" w:tplc="08160003" w:tentative="1">
      <w:start w:val="1"/>
      <w:numFmt w:val="bullet"/>
      <w:lvlText w:val="o"/>
      <w:lvlJc w:val="left"/>
      <w:pPr>
        <w:ind w:left="3957" w:hanging="360"/>
      </w:pPr>
      <w:rPr>
        <w:rFonts w:ascii="Courier New" w:hAnsi="Courier New" w:cs="Courier New" w:hint="default"/>
      </w:rPr>
    </w:lvl>
    <w:lvl w:ilvl="5" w:tplc="08160005" w:tentative="1">
      <w:start w:val="1"/>
      <w:numFmt w:val="bullet"/>
      <w:lvlText w:val=""/>
      <w:lvlJc w:val="left"/>
      <w:pPr>
        <w:ind w:left="4677" w:hanging="360"/>
      </w:pPr>
      <w:rPr>
        <w:rFonts w:ascii="Wingdings" w:hAnsi="Wingdings" w:hint="default"/>
      </w:rPr>
    </w:lvl>
    <w:lvl w:ilvl="6" w:tplc="08160001" w:tentative="1">
      <w:start w:val="1"/>
      <w:numFmt w:val="bullet"/>
      <w:lvlText w:val=""/>
      <w:lvlJc w:val="left"/>
      <w:pPr>
        <w:ind w:left="5397" w:hanging="360"/>
      </w:pPr>
      <w:rPr>
        <w:rFonts w:ascii="Symbol" w:hAnsi="Symbol" w:hint="default"/>
      </w:rPr>
    </w:lvl>
    <w:lvl w:ilvl="7" w:tplc="08160003" w:tentative="1">
      <w:start w:val="1"/>
      <w:numFmt w:val="bullet"/>
      <w:lvlText w:val="o"/>
      <w:lvlJc w:val="left"/>
      <w:pPr>
        <w:ind w:left="6117" w:hanging="360"/>
      </w:pPr>
      <w:rPr>
        <w:rFonts w:ascii="Courier New" w:hAnsi="Courier New" w:cs="Courier New" w:hint="default"/>
      </w:rPr>
    </w:lvl>
    <w:lvl w:ilvl="8" w:tplc="08160005" w:tentative="1">
      <w:start w:val="1"/>
      <w:numFmt w:val="bullet"/>
      <w:lvlText w:val=""/>
      <w:lvlJc w:val="left"/>
      <w:pPr>
        <w:ind w:left="6837" w:hanging="360"/>
      </w:pPr>
      <w:rPr>
        <w:rFonts w:ascii="Wingdings" w:hAnsi="Wingdings" w:hint="default"/>
      </w:rPr>
    </w:lvl>
  </w:abstractNum>
  <w:abstractNum w:abstractNumId="5" w15:restartNumberingAfterBreak="0">
    <w:nsid w:val="638D6583"/>
    <w:multiLevelType w:val="hybridMultilevel"/>
    <w:tmpl w:val="22AEF286"/>
    <w:lvl w:ilvl="0" w:tplc="3B9ACC60">
      <w:start w:val="1"/>
      <w:numFmt w:val="decimal"/>
      <w:lvlText w:val="%1)"/>
      <w:lvlJc w:val="left"/>
      <w:pPr>
        <w:ind w:left="717" w:hanging="360"/>
      </w:pPr>
      <w:rPr>
        <w:rFonts w:hint="default"/>
        <w:b/>
        <w:color w:val="0195C7"/>
      </w:rPr>
    </w:lvl>
    <w:lvl w:ilvl="1" w:tplc="08160019" w:tentative="1">
      <w:start w:val="1"/>
      <w:numFmt w:val="lowerLetter"/>
      <w:lvlText w:val="%2."/>
      <w:lvlJc w:val="left"/>
      <w:pPr>
        <w:ind w:left="1437" w:hanging="360"/>
      </w:pPr>
    </w:lvl>
    <w:lvl w:ilvl="2" w:tplc="0816001B" w:tentative="1">
      <w:start w:val="1"/>
      <w:numFmt w:val="lowerRoman"/>
      <w:lvlText w:val="%3."/>
      <w:lvlJc w:val="right"/>
      <w:pPr>
        <w:ind w:left="2157" w:hanging="180"/>
      </w:pPr>
    </w:lvl>
    <w:lvl w:ilvl="3" w:tplc="0816000F" w:tentative="1">
      <w:start w:val="1"/>
      <w:numFmt w:val="decimal"/>
      <w:lvlText w:val="%4."/>
      <w:lvlJc w:val="left"/>
      <w:pPr>
        <w:ind w:left="2877" w:hanging="360"/>
      </w:pPr>
    </w:lvl>
    <w:lvl w:ilvl="4" w:tplc="08160019" w:tentative="1">
      <w:start w:val="1"/>
      <w:numFmt w:val="lowerLetter"/>
      <w:lvlText w:val="%5."/>
      <w:lvlJc w:val="left"/>
      <w:pPr>
        <w:ind w:left="3597" w:hanging="360"/>
      </w:pPr>
    </w:lvl>
    <w:lvl w:ilvl="5" w:tplc="0816001B" w:tentative="1">
      <w:start w:val="1"/>
      <w:numFmt w:val="lowerRoman"/>
      <w:lvlText w:val="%6."/>
      <w:lvlJc w:val="right"/>
      <w:pPr>
        <w:ind w:left="4317" w:hanging="180"/>
      </w:pPr>
    </w:lvl>
    <w:lvl w:ilvl="6" w:tplc="0816000F" w:tentative="1">
      <w:start w:val="1"/>
      <w:numFmt w:val="decimal"/>
      <w:lvlText w:val="%7."/>
      <w:lvlJc w:val="left"/>
      <w:pPr>
        <w:ind w:left="5037" w:hanging="360"/>
      </w:pPr>
    </w:lvl>
    <w:lvl w:ilvl="7" w:tplc="08160019" w:tentative="1">
      <w:start w:val="1"/>
      <w:numFmt w:val="lowerLetter"/>
      <w:lvlText w:val="%8."/>
      <w:lvlJc w:val="left"/>
      <w:pPr>
        <w:ind w:left="5757" w:hanging="360"/>
      </w:pPr>
    </w:lvl>
    <w:lvl w:ilvl="8" w:tplc="0816001B" w:tentative="1">
      <w:start w:val="1"/>
      <w:numFmt w:val="lowerRoman"/>
      <w:lvlText w:val="%9."/>
      <w:lvlJc w:val="right"/>
      <w:pPr>
        <w:ind w:left="6477" w:hanging="180"/>
      </w:pPr>
    </w:lvl>
  </w:abstractNum>
  <w:abstractNum w:abstractNumId="6" w15:restartNumberingAfterBreak="0">
    <w:nsid w:val="7A4B5284"/>
    <w:multiLevelType w:val="hybridMultilevel"/>
    <w:tmpl w:val="4DC4E0F6"/>
    <w:lvl w:ilvl="0" w:tplc="DF348CD6">
      <w:start w:val="1"/>
      <w:numFmt w:val="decimal"/>
      <w:lvlText w:val="%1."/>
      <w:lvlJc w:val="left"/>
      <w:pPr>
        <w:ind w:left="1077" w:hanging="360"/>
      </w:pPr>
      <w:rPr>
        <w:b/>
        <w:bCs/>
        <w:color w:val="auto"/>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num w:numId="1" w16cid:durableId="1226793471">
    <w:abstractNumId w:val="4"/>
  </w:num>
  <w:num w:numId="2" w16cid:durableId="1865438093">
    <w:abstractNumId w:val="3"/>
  </w:num>
  <w:num w:numId="3" w16cid:durableId="1951815488">
    <w:abstractNumId w:val="0"/>
  </w:num>
  <w:num w:numId="4" w16cid:durableId="2106729745">
    <w:abstractNumId w:val="1"/>
  </w:num>
  <w:num w:numId="5" w16cid:durableId="2134403467">
    <w:abstractNumId w:val="2"/>
  </w:num>
  <w:num w:numId="6" w16cid:durableId="554707807">
    <w:abstractNumId w:val="5"/>
  </w:num>
  <w:num w:numId="7" w16cid:durableId="749619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D98"/>
    <w:rsid w:val="00004F1E"/>
    <w:rsid w:val="00010AFB"/>
    <w:rsid w:val="00013234"/>
    <w:rsid w:val="00013E18"/>
    <w:rsid w:val="00017325"/>
    <w:rsid w:val="0002312C"/>
    <w:rsid w:val="000271F4"/>
    <w:rsid w:val="00031CB7"/>
    <w:rsid w:val="000428E1"/>
    <w:rsid w:val="00043DEE"/>
    <w:rsid w:val="0004437F"/>
    <w:rsid w:val="000531D0"/>
    <w:rsid w:val="00060D9E"/>
    <w:rsid w:val="0006465F"/>
    <w:rsid w:val="00067D1D"/>
    <w:rsid w:val="00086044"/>
    <w:rsid w:val="000956C2"/>
    <w:rsid w:val="00095A6A"/>
    <w:rsid w:val="000A4085"/>
    <w:rsid w:val="000A59A6"/>
    <w:rsid w:val="000A5A0C"/>
    <w:rsid w:val="000A68B8"/>
    <w:rsid w:val="000A7849"/>
    <w:rsid w:val="000B0D46"/>
    <w:rsid w:val="000C694C"/>
    <w:rsid w:val="000C6D74"/>
    <w:rsid w:val="000C7ECF"/>
    <w:rsid w:val="000D2987"/>
    <w:rsid w:val="000D4E8F"/>
    <w:rsid w:val="000D6C02"/>
    <w:rsid w:val="000D742C"/>
    <w:rsid w:val="000E12D5"/>
    <w:rsid w:val="000E20FC"/>
    <w:rsid w:val="000E41C8"/>
    <w:rsid w:val="000E4C70"/>
    <w:rsid w:val="000E624C"/>
    <w:rsid w:val="000E7219"/>
    <w:rsid w:val="000F3ED9"/>
    <w:rsid w:val="0010209D"/>
    <w:rsid w:val="001070F5"/>
    <w:rsid w:val="00114644"/>
    <w:rsid w:val="001216BE"/>
    <w:rsid w:val="001357E2"/>
    <w:rsid w:val="00136AD9"/>
    <w:rsid w:val="00142A7E"/>
    <w:rsid w:val="0014328B"/>
    <w:rsid w:val="001453FC"/>
    <w:rsid w:val="001515C0"/>
    <w:rsid w:val="0016079C"/>
    <w:rsid w:val="00164529"/>
    <w:rsid w:val="00164EEF"/>
    <w:rsid w:val="00167F99"/>
    <w:rsid w:val="001743CA"/>
    <w:rsid w:val="001771D7"/>
    <w:rsid w:val="00181368"/>
    <w:rsid w:val="00191765"/>
    <w:rsid w:val="00197A08"/>
    <w:rsid w:val="001B0608"/>
    <w:rsid w:val="001B1959"/>
    <w:rsid w:val="001B5E91"/>
    <w:rsid w:val="001C178B"/>
    <w:rsid w:val="001C43C6"/>
    <w:rsid w:val="001D05B2"/>
    <w:rsid w:val="001D4D11"/>
    <w:rsid w:val="001E470F"/>
    <w:rsid w:val="001E5755"/>
    <w:rsid w:val="001E6752"/>
    <w:rsid w:val="001F00C3"/>
    <w:rsid w:val="001F4850"/>
    <w:rsid w:val="001F510A"/>
    <w:rsid w:val="001F77D0"/>
    <w:rsid w:val="001F7819"/>
    <w:rsid w:val="00204714"/>
    <w:rsid w:val="00204D8A"/>
    <w:rsid w:val="00206819"/>
    <w:rsid w:val="00213F07"/>
    <w:rsid w:val="00223D29"/>
    <w:rsid w:val="002369C9"/>
    <w:rsid w:val="00237917"/>
    <w:rsid w:val="002409D6"/>
    <w:rsid w:val="00242820"/>
    <w:rsid w:val="00247A22"/>
    <w:rsid w:val="00252C4C"/>
    <w:rsid w:val="00252EE3"/>
    <w:rsid w:val="00253205"/>
    <w:rsid w:val="00253D78"/>
    <w:rsid w:val="002578B7"/>
    <w:rsid w:val="002604F3"/>
    <w:rsid w:val="002609C8"/>
    <w:rsid w:val="0026433B"/>
    <w:rsid w:val="00265DD5"/>
    <w:rsid w:val="00266EC6"/>
    <w:rsid w:val="00272414"/>
    <w:rsid w:val="0027704B"/>
    <w:rsid w:val="00277140"/>
    <w:rsid w:val="00283D1F"/>
    <w:rsid w:val="002954E5"/>
    <w:rsid w:val="002A3868"/>
    <w:rsid w:val="002A3B35"/>
    <w:rsid w:val="002A7646"/>
    <w:rsid w:val="002B0CFA"/>
    <w:rsid w:val="002B2ADF"/>
    <w:rsid w:val="002B640E"/>
    <w:rsid w:val="002C212B"/>
    <w:rsid w:val="002C22E2"/>
    <w:rsid w:val="002D1622"/>
    <w:rsid w:val="002D2117"/>
    <w:rsid w:val="002D4BB4"/>
    <w:rsid w:val="002E085F"/>
    <w:rsid w:val="002E25CB"/>
    <w:rsid w:val="002E2AE9"/>
    <w:rsid w:val="002E6F33"/>
    <w:rsid w:val="002F2A66"/>
    <w:rsid w:val="002F41B9"/>
    <w:rsid w:val="002F5B37"/>
    <w:rsid w:val="00300428"/>
    <w:rsid w:val="00311104"/>
    <w:rsid w:val="003148FB"/>
    <w:rsid w:val="00315528"/>
    <w:rsid w:val="00315D29"/>
    <w:rsid w:val="00315E0E"/>
    <w:rsid w:val="00321993"/>
    <w:rsid w:val="00324ABF"/>
    <w:rsid w:val="00325784"/>
    <w:rsid w:val="0032632B"/>
    <w:rsid w:val="00326EFB"/>
    <w:rsid w:val="00332EDE"/>
    <w:rsid w:val="00340399"/>
    <w:rsid w:val="0034135C"/>
    <w:rsid w:val="0035189D"/>
    <w:rsid w:val="00351B85"/>
    <w:rsid w:val="00353516"/>
    <w:rsid w:val="00372F09"/>
    <w:rsid w:val="003742FB"/>
    <w:rsid w:val="00374AE2"/>
    <w:rsid w:val="00381F10"/>
    <w:rsid w:val="00384525"/>
    <w:rsid w:val="00397839"/>
    <w:rsid w:val="003A1803"/>
    <w:rsid w:val="003A7090"/>
    <w:rsid w:val="003A7D4E"/>
    <w:rsid w:val="003A7EE7"/>
    <w:rsid w:val="003C34CE"/>
    <w:rsid w:val="003D085F"/>
    <w:rsid w:val="003D2DE6"/>
    <w:rsid w:val="003D660F"/>
    <w:rsid w:val="003D6703"/>
    <w:rsid w:val="00403760"/>
    <w:rsid w:val="0041781D"/>
    <w:rsid w:val="00421334"/>
    <w:rsid w:val="004217C1"/>
    <w:rsid w:val="00421C3B"/>
    <w:rsid w:val="0043131C"/>
    <w:rsid w:val="00433EF2"/>
    <w:rsid w:val="00436267"/>
    <w:rsid w:val="004368B8"/>
    <w:rsid w:val="004418B8"/>
    <w:rsid w:val="004515EC"/>
    <w:rsid w:val="00460952"/>
    <w:rsid w:val="00462550"/>
    <w:rsid w:val="004653AD"/>
    <w:rsid w:val="00472F0F"/>
    <w:rsid w:val="00474392"/>
    <w:rsid w:val="00476D5F"/>
    <w:rsid w:val="00482E5B"/>
    <w:rsid w:val="00483228"/>
    <w:rsid w:val="00484D21"/>
    <w:rsid w:val="00485E78"/>
    <w:rsid w:val="004874D9"/>
    <w:rsid w:val="00487602"/>
    <w:rsid w:val="00487B55"/>
    <w:rsid w:val="00494467"/>
    <w:rsid w:val="004975D5"/>
    <w:rsid w:val="004A5082"/>
    <w:rsid w:val="004A5C04"/>
    <w:rsid w:val="004A6A81"/>
    <w:rsid w:val="004C118C"/>
    <w:rsid w:val="004C1CB3"/>
    <w:rsid w:val="004C5B3B"/>
    <w:rsid w:val="004C7B01"/>
    <w:rsid w:val="004D0BE6"/>
    <w:rsid w:val="004D536C"/>
    <w:rsid w:val="004F0D35"/>
    <w:rsid w:val="004F504D"/>
    <w:rsid w:val="004F734A"/>
    <w:rsid w:val="005005D1"/>
    <w:rsid w:val="0050204C"/>
    <w:rsid w:val="00503193"/>
    <w:rsid w:val="00503860"/>
    <w:rsid w:val="00505031"/>
    <w:rsid w:val="00511B8B"/>
    <w:rsid w:val="00515FFA"/>
    <w:rsid w:val="00516187"/>
    <w:rsid w:val="00522026"/>
    <w:rsid w:val="0052369D"/>
    <w:rsid w:val="005340ED"/>
    <w:rsid w:val="0054615E"/>
    <w:rsid w:val="005507E2"/>
    <w:rsid w:val="00552B06"/>
    <w:rsid w:val="00556762"/>
    <w:rsid w:val="00562928"/>
    <w:rsid w:val="00563C07"/>
    <w:rsid w:val="00565985"/>
    <w:rsid w:val="00571A22"/>
    <w:rsid w:val="005736BC"/>
    <w:rsid w:val="00573C31"/>
    <w:rsid w:val="00582F63"/>
    <w:rsid w:val="00584C33"/>
    <w:rsid w:val="00596DCA"/>
    <w:rsid w:val="005A207A"/>
    <w:rsid w:val="005A23E8"/>
    <w:rsid w:val="005A28C1"/>
    <w:rsid w:val="005B24CC"/>
    <w:rsid w:val="005B411F"/>
    <w:rsid w:val="005B53FD"/>
    <w:rsid w:val="005C5F97"/>
    <w:rsid w:val="005D3FA2"/>
    <w:rsid w:val="005D6232"/>
    <w:rsid w:val="005E0A39"/>
    <w:rsid w:val="005E1620"/>
    <w:rsid w:val="005E6B84"/>
    <w:rsid w:val="005E7D36"/>
    <w:rsid w:val="005F1969"/>
    <w:rsid w:val="005F3CAC"/>
    <w:rsid w:val="0060008D"/>
    <w:rsid w:val="006027A6"/>
    <w:rsid w:val="00604061"/>
    <w:rsid w:val="00604CC5"/>
    <w:rsid w:val="00604FBF"/>
    <w:rsid w:val="006071CD"/>
    <w:rsid w:val="006205D4"/>
    <w:rsid w:val="0062151B"/>
    <w:rsid w:val="0062417D"/>
    <w:rsid w:val="00624D4D"/>
    <w:rsid w:val="00644589"/>
    <w:rsid w:val="0065504C"/>
    <w:rsid w:val="00661D04"/>
    <w:rsid w:val="0066446E"/>
    <w:rsid w:val="0066510D"/>
    <w:rsid w:val="006652DD"/>
    <w:rsid w:val="00665317"/>
    <w:rsid w:val="00666C41"/>
    <w:rsid w:val="00680CF3"/>
    <w:rsid w:val="00683658"/>
    <w:rsid w:val="00693D51"/>
    <w:rsid w:val="00695231"/>
    <w:rsid w:val="006952A0"/>
    <w:rsid w:val="006B4A56"/>
    <w:rsid w:val="006C15EC"/>
    <w:rsid w:val="006C7917"/>
    <w:rsid w:val="006D1CDF"/>
    <w:rsid w:val="006D2DD5"/>
    <w:rsid w:val="006D3423"/>
    <w:rsid w:val="006D36DF"/>
    <w:rsid w:val="006D7A94"/>
    <w:rsid w:val="006E3977"/>
    <w:rsid w:val="006E60C8"/>
    <w:rsid w:val="006F1E1D"/>
    <w:rsid w:val="006F3F49"/>
    <w:rsid w:val="006F545E"/>
    <w:rsid w:val="006F5B52"/>
    <w:rsid w:val="006F6643"/>
    <w:rsid w:val="007027E3"/>
    <w:rsid w:val="00703B14"/>
    <w:rsid w:val="007045BE"/>
    <w:rsid w:val="007048C4"/>
    <w:rsid w:val="007074D5"/>
    <w:rsid w:val="00707512"/>
    <w:rsid w:val="007128BD"/>
    <w:rsid w:val="007169AC"/>
    <w:rsid w:val="007212C0"/>
    <w:rsid w:val="0072186A"/>
    <w:rsid w:val="0072476B"/>
    <w:rsid w:val="0074277E"/>
    <w:rsid w:val="0074517C"/>
    <w:rsid w:val="007468C5"/>
    <w:rsid w:val="00747EB8"/>
    <w:rsid w:val="0075240F"/>
    <w:rsid w:val="00753465"/>
    <w:rsid w:val="00753D12"/>
    <w:rsid w:val="0075670E"/>
    <w:rsid w:val="0076285B"/>
    <w:rsid w:val="00762E3B"/>
    <w:rsid w:val="00767FB4"/>
    <w:rsid w:val="007702BB"/>
    <w:rsid w:val="007736FB"/>
    <w:rsid w:val="00773731"/>
    <w:rsid w:val="00774029"/>
    <w:rsid w:val="0077699C"/>
    <w:rsid w:val="00783EEA"/>
    <w:rsid w:val="00784980"/>
    <w:rsid w:val="0078765F"/>
    <w:rsid w:val="0079107E"/>
    <w:rsid w:val="00794452"/>
    <w:rsid w:val="007A34B5"/>
    <w:rsid w:val="007A5B95"/>
    <w:rsid w:val="007B0B06"/>
    <w:rsid w:val="007B5DF7"/>
    <w:rsid w:val="007B6FE5"/>
    <w:rsid w:val="007B758E"/>
    <w:rsid w:val="007C0994"/>
    <w:rsid w:val="007C4886"/>
    <w:rsid w:val="007C51E8"/>
    <w:rsid w:val="007C6948"/>
    <w:rsid w:val="007D210D"/>
    <w:rsid w:val="007D314D"/>
    <w:rsid w:val="007D4EB0"/>
    <w:rsid w:val="007D657F"/>
    <w:rsid w:val="007E020A"/>
    <w:rsid w:val="007E6D65"/>
    <w:rsid w:val="007F3D7A"/>
    <w:rsid w:val="00800B99"/>
    <w:rsid w:val="00806829"/>
    <w:rsid w:val="00812124"/>
    <w:rsid w:val="00814526"/>
    <w:rsid w:val="008177CC"/>
    <w:rsid w:val="0082358B"/>
    <w:rsid w:val="00823DAD"/>
    <w:rsid w:val="00824870"/>
    <w:rsid w:val="00833259"/>
    <w:rsid w:val="00835AA5"/>
    <w:rsid w:val="0083762B"/>
    <w:rsid w:val="008457AB"/>
    <w:rsid w:val="00852DED"/>
    <w:rsid w:val="0087011D"/>
    <w:rsid w:val="0089011A"/>
    <w:rsid w:val="00891B4F"/>
    <w:rsid w:val="00895134"/>
    <w:rsid w:val="00895CCE"/>
    <w:rsid w:val="00897252"/>
    <w:rsid w:val="008A0E85"/>
    <w:rsid w:val="008A33CC"/>
    <w:rsid w:val="008B2AB4"/>
    <w:rsid w:val="008C133C"/>
    <w:rsid w:val="008C3082"/>
    <w:rsid w:val="008C5DA5"/>
    <w:rsid w:val="008C7A1E"/>
    <w:rsid w:val="008D2408"/>
    <w:rsid w:val="008D2EEC"/>
    <w:rsid w:val="008D4276"/>
    <w:rsid w:val="008D6932"/>
    <w:rsid w:val="008E14B9"/>
    <w:rsid w:val="008E3FCD"/>
    <w:rsid w:val="008E4696"/>
    <w:rsid w:val="008E5192"/>
    <w:rsid w:val="008F09DF"/>
    <w:rsid w:val="00920AE5"/>
    <w:rsid w:val="00924320"/>
    <w:rsid w:val="00932E02"/>
    <w:rsid w:val="00933DD4"/>
    <w:rsid w:val="00934100"/>
    <w:rsid w:val="00937B11"/>
    <w:rsid w:val="00943B0A"/>
    <w:rsid w:val="00947EB9"/>
    <w:rsid w:val="00950F83"/>
    <w:rsid w:val="00952F8A"/>
    <w:rsid w:val="0095622C"/>
    <w:rsid w:val="00963E08"/>
    <w:rsid w:val="00964065"/>
    <w:rsid w:val="00966435"/>
    <w:rsid w:val="00971DA5"/>
    <w:rsid w:val="00972EB8"/>
    <w:rsid w:val="00972F86"/>
    <w:rsid w:val="00973023"/>
    <w:rsid w:val="00974F8E"/>
    <w:rsid w:val="00981783"/>
    <w:rsid w:val="00993C32"/>
    <w:rsid w:val="009966A6"/>
    <w:rsid w:val="009A0A0C"/>
    <w:rsid w:val="009A3FA1"/>
    <w:rsid w:val="009A47DF"/>
    <w:rsid w:val="009A7149"/>
    <w:rsid w:val="009A72AC"/>
    <w:rsid w:val="009B4C7A"/>
    <w:rsid w:val="009C3717"/>
    <w:rsid w:val="009D6183"/>
    <w:rsid w:val="009D72BC"/>
    <w:rsid w:val="009E22F4"/>
    <w:rsid w:val="009E3AED"/>
    <w:rsid w:val="009E5BCE"/>
    <w:rsid w:val="009E5EF8"/>
    <w:rsid w:val="009F32D0"/>
    <w:rsid w:val="009F775E"/>
    <w:rsid w:val="00A007D6"/>
    <w:rsid w:val="00A16095"/>
    <w:rsid w:val="00A20171"/>
    <w:rsid w:val="00A22268"/>
    <w:rsid w:val="00A23A23"/>
    <w:rsid w:val="00A3583E"/>
    <w:rsid w:val="00A408F6"/>
    <w:rsid w:val="00A40B49"/>
    <w:rsid w:val="00A42186"/>
    <w:rsid w:val="00A531A2"/>
    <w:rsid w:val="00A6044A"/>
    <w:rsid w:val="00A60E36"/>
    <w:rsid w:val="00A63696"/>
    <w:rsid w:val="00A64476"/>
    <w:rsid w:val="00A652AC"/>
    <w:rsid w:val="00A70B90"/>
    <w:rsid w:val="00A77994"/>
    <w:rsid w:val="00A85769"/>
    <w:rsid w:val="00A97F91"/>
    <w:rsid w:val="00AA39A8"/>
    <w:rsid w:val="00AA5E8F"/>
    <w:rsid w:val="00AA6DF7"/>
    <w:rsid w:val="00AB0A58"/>
    <w:rsid w:val="00AB1C1C"/>
    <w:rsid w:val="00AB1FD5"/>
    <w:rsid w:val="00AC5251"/>
    <w:rsid w:val="00AC77C3"/>
    <w:rsid w:val="00AD19A9"/>
    <w:rsid w:val="00AD257E"/>
    <w:rsid w:val="00AD4D97"/>
    <w:rsid w:val="00AE1927"/>
    <w:rsid w:val="00AE25C3"/>
    <w:rsid w:val="00AE28CB"/>
    <w:rsid w:val="00AE59B2"/>
    <w:rsid w:val="00AE6017"/>
    <w:rsid w:val="00AF4896"/>
    <w:rsid w:val="00AF514D"/>
    <w:rsid w:val="00B03A99"/>
    <w:rsid w:val="00B12158"/>
    <w:rsid w:val="00B12D1D"/>
    <w:rsid w:val="00B24746"/>
    <w:rsid w:val="00B26246"/>
    <w:rsid w:val="00B41256"/>
    <w:rsid w:val="00B44458"/>
    <w:rsid w:val="00B478C7"/>
    <w:rsid w:val="00B47F37"/>
    <w:rsid w:val="00B50013"/>
    <w:rsid w:val="00B5170A"/>
    <w:rsid w:val="00B529AF"/>
    <w:rsid w:val="00B5527D"/>
    <w:rsid w:val="00B5611B"/>
    <w:rsid w:val="00B609C8"/>
    <w:rsid w:val="00B61588"/>
    <w:rsid w:val="00B63732"/>
    <w:rsid w:val="00B72A12"/>
    <w:rsid w:val="00B747E6"/>
    <w:rsid w:val="00B83AE6"/>
    <w:rsid w:val="00B85983"/>
    <w:rsid w:val="00B92F0E"/>
    <w:rsid w:val="00BA2223"/>
    <w:rsid w:val="00BA2A9F"/>
    <w:rsid w:val="00BA2C48"/>
    <w:rsid w:val="00BA5E61"/>
    <w:rsid w:val="00BB108B"/>
    <w:rsid w:val="00BB1E26"/>
    <w:rsid w:val="00BB37D9"/>
    <w:rsid w:val="00BB5B91"/>
    <w:rsid w:val="00BB66CA"/>
    <w:rsid w:val="00BB7D1E"/>
    <w:rsid w:val="00BC2E0E"/>
    <w:rsid w:val="00BC5E92"/>
    <w:rsid w:val="00BC71FE"/>
    <w:rsid w:val="00BD2929"/>
    <w:rsid w:val="00BD64F2"/>
    <w:rsid w:val="00BF03D6"/>
    <w:rsid w:val="00BF077A"/>
    <w:rsid w:val="00BF3B1E"/>
    <w:rsid w:val="00BF3D92"/>
    <w:rsid w:val="00BF490F"/>
    <w:rsid w:val="00C04DE0"/>
    <w:rsid w:val="00C06CF8"/>
    <w:rsid w:val="00C07C7E"/>
    <w:rsid w:val="00C12E03"/>
    <w:rsid w:val="00C132D1"/>
    <w:rsid w:val="00C17F35"/>
    <w:rsid w:val="00C318DD"/>
    <w:rsid w:val="00C3702C"/>
    <w:rsid w:val="00C40B4B"/>
    <w:rsid w:val="00C4528E"/>
    <w:rsid w:val="00C47338"/>
    <w:rsid w:val="00C4738F"/>
    <w:rsid w:val="00C518B1"/>
    <w:rsid w:val="00C622A2"/>
    <w:rsid w:val="00C6442A"/>
    <w:rsid w:val="00C66D98"/>
    <w:rsid w:val="00C679E7"/>
    <w:rsid w:val="00C7045D"/>
    <w:rsid w:val="00C75C27"/>
    <w:rsid w:val="00C765AA"/>
    <w:rsid w:val="00C77C9A"/>
    <w:rsid w:val="00C81D47"/>
    <w:rsid w:val="00C856C4"/>
    <w:rsid w:val="00C90031"/>
    <w:rsid w:val="00C930DB"/>
    <w:rsid w:val="00CA33BA"/>
    <w:rsid w:val="00CA720B"/>
    <w:rsid w:val="00CB0C8E"/>
    <w:rsid w:val="00CB2701"/>
    <w:rsid w:val="00CB7000"/>
    <w:rsid w:val="00CB74E6"/>
    <w:rsid w:val="00CC01DA"/>
    <w:rsid w:val="00CC2489"/>
    <w:rsid w:val="00CC68CE"/>
    <w:rsid w:val="00CC736E"/>
    <w:rsid w:val="00CD28A0"/>
    <w:rsid w:val="00CD66B4"/>
    <w:rsid w:val="00CE1AE6"/>
    <w:rsid w:val="00CE20E1"/>
    <w:rsid w:val="00CE4C43"/>
    <w:rsid w:val="00CE7139"/>
    <w:rsid w:val="00CF08B8"/>
    <w:rsid w:val="00CF2273"/>
    <w:rsid w:val="00CF2F47"/>
    <w:rsid w:val="00CF3071"/>
    <w:rsid w:val="00D04723"/>
    <w:rsid w:val="00D05085"/>
    <w:rsid w:val="00D119E9"/>
    <w:rsid w:val="00D11EAC"/>
    <w:rsid w:val="00D249E0"/>
    <w:rsid w:val="00D24B71"/>
    <w:rsid w:val="00D315A2"/>
    <w:rsid w:val="00D31C30"/>
    <w:rsid w:val="00D32456"/>
    <w:rsid w:val="00D4022A"/>
    <w:rsid w:val="00D44DA5"/>
    <w:rsid w:val="00D528BB"/>
    <w:rsid w:val="00D5397C"/>
    <w:rsid w:val="00D53B5F"/>
    <w:rsid w:val="00D57F7F"/>
    <w:rsid w:val="00D62DC2"/>
    <w:rsid w:val="00D62F19"/>
    <w:rsid w:val="00D637E4"/>
    <w:rsid w:val="00D64D63"/>
    <w:rsid w:val="00D66834"/>
    <w:rsid w:val="00D672A9"/>
    <w:rsid w:val="00D72B8C"/>
    <w:rsid w:val="00D763C9"/>
    <w:rsid w:val="00D829D2"/>
    <w:rsid w:val="00D830A8"/>
    <w:rsid w:val="00D83DE4"/>
    <w:rsid w:val="00D8477D"/>
    <w:rsid w:val="00D862C6"/>
    <w:rsid w:val="00D90F62"/>
    <w:rsid w:val="00D925D4"/>
    <w:rsid w:val="00D93163"/>
    <w:rsid w:val="00D96512"/>
    <w:rsid w:val="00DA2817"/>
    <w:rsid w:val="00DA5D53"/>
    <w:rsid w:val="00DB3178"/>
    <w:rsid w:val="00DB4B88"/>
    <w:rsid w:val="00DC1E25"/>
    <w:rsid w:val="00DC1F7C"/>
    <w:rsid w:val="00DC411D"/>
    <w:rsid w:val="00DC4391"/>
    <w:rsid w:val="00DC6F58"/>
    <w:rsid w:val="00DE5311"/>
    <w:rsid w:val="00DE5D0A"/>
    <w:rsid w:val="00DF2C62"/>
    <w:rsid w:val="00DF2F77"/>
    <w:rsid w:val="00DF4C6D"/>
    <w:rsid w:val="00DF7F0D"/>
    <w:rsid w:val="00E04C41"/>
    <w:rsid w:val="00E04FD8"/>
    <w:rsid w:val="00E1007D"/>
    <w:rsid w:val="00E113D1"/>
    <w:rsid w:val="00E128FE"/>
    <w:rsid w:val="00E22859"/>
    <w:rsid w:val="00E342E8"/>
    <w:rsid w:val="00E4188E"/>
    <w:rsid w:val="00E50F6E"/>
    <w:rsid w:val="00E529AF"/>
    <w:rsid w:val="00E54077"/>
    <w:rsid w:val="00E607C2"/>
    <w:rsid w:val="00E64287"/>
    <w:rsid w:val="00E64BA5"/>
    <w:rsid w:val="00E72ED6"/>
    <w:rsid w:val="00E7785C"/>
    <w:rsid w:val="00E80988"/>
    <w:rsid w:val="00E838A8"/>
    <w:rsid w:val="00E8477D"/>
    <w:rsid w:val="00E87234"/>
    <w:rsid w:val="00E92401"/>
    <w:rsid w:val="00E96B49"/>
    <w:rsid w:val="00E96D9F"/>
    <w:rsid w:val="00EA004A"/>
    <w:rsid w:val="00EB3FC1"/>
    <w:rsid w:val="00EB49A5"/>
    <w:rsid w:val="00EB4E97"/>
    <w:rsid w:val="00EC4B86"/>
    <w:rsid w:val="00ED71B8"/>
    <w:rsid w:val="00ED7689"/>
    <w:rsid w:val="00EE40E1"/>
    <w:rsid w:val="00EF0BD2"/>
    <w:rsid w:val="00EF6B41"/>
    <w:rsid w:val="00EF6B86"/>
    <w:rsid w:val="00EF7010"/>
    <w:rsid w:val="00F03BFC"/>
    <w:rsid w:val="00F0724A"/>
    <w:rsid w:val="00F12584"/>
    <w:rsid w:val="00F14C37"/>
    <w:rsid w:val="00F17236"/>
    <w:rsid w:val="00F20DF1"/>
    <w:rsid w:val="00F2418E"/>
    <w:rsid w:val="00F25DA8"/>
    <w:rsid w:val="00F2610C"/>
    <w:rsid w:val="00F30379"/>
    <w:rsid w:val="00F30A35"/>
    <w:rsid w:val="00F31184"/>
    <w:rsid w:val="00F42CBD"/>
    <w:rsid w:val="00F5109A"/>
    <w:rsid w:val="00F56605"/>
    <w:rsid w:val="00F70505"/>
    <w:rsid w:val="00F71D89"/>
    <w:rsid w:val="00F753E7"/>
    <w:rsid w:val="00F756DD"/>
    <w:rsid w:val="00F761EC"/>
    <w:rsid w:val="00F85956"/>
    <w:rsid w:val="00F90F80"/>
    <w:rsid w:val="00F91C66"/>
    <w:rsid w:val="00F97CE6"/>
    <w:rsid w:val="00FA09B6"/>
    <w:rsid w:val="00FB1F8A"/>
    <w:rsid w:val="00FB237C"/>
    <w:rsid w:val="00FB483D"/>
    <w:rsid w:val="00FB5EE6"/>
    <w:rsid w:val="00FB7EF0"/>
    <w:rsid w:val="00FC2EE8"/>
    <w:rsid w:val="00FC3E6E"/>
    <w:rsid w:val="00FC5F7E"/>
    <w:rsid w:val="00FD1DC4"/>
    <w:rsid w:val="00FE13B1"/>
    <w:rsid w:val="00FE21AA"/>
    <w:rsid w:val="00FE3DBB"/>
    <w:rsid w:val="00FF6A59"/>
    <w:rsid w:val="09E986F7"/>
    <w:rsid w:val="0B1E0542"/>
    <w:rsid w:val="0E6BE7CB"/>
    <w:rsid w:val="13FF7AA2"/>
    <w:rsid w:val="1B5360F2"/>
    <w:rsid w:val="29EA24D1"/>
    <w:rsid w:val="31FC2296"/>
    <w:rsid w:val="398E15C3"/>
    <w:rsid w:val="401E83D4"/>
    <w:rsid w:val="46F65485"/>
    <w:rsid w:val="4D5C705F"/>
    <w:rsid w:val="4EF39A82"/>
    <w:rsid w:val="5A5AE191"/>
    <w:rsid w:val="5B3E8ED1"/>
    <w:rsid w:val="5D9B3778"/>
    <w:rsid w:val="62FD3D05"/>
    <w:rsid w:val="657C43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7616"/>
  <w15:chartTrackingRefBased/>
  <w15:docId w15:val="{E5051C47-7E2B-4385-B578-37DC6D13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C66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C66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C66D9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C66D9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C66D9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C66D9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C66D9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C66D9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C66D98"/>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C66D98"/>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C66D98"/>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C66D98"/>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C66D98"/>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C66D98"/>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C66D98"/>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C66D98"/>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C66D98"/>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C66D98"/>
    <w:rPr>
      <w:rFonts w:eastAsiaTheme="majorEastAsia" w:cstheme="majorBidi"/>
      <w:color w:val="272727" w:themeColor="text1" w:themeTint="D8"/>
    </w:rPr>
  </w:style>
  <w:style w:type="paragraph" w:styleId="Ttulo">
    <w:name w:val="Title"/>
    <w:basedOn w:val="Normal"/>
    <w:next w:val="Normal"/>
    <w:link w:val="TtuloCarter"/>
    <w:uiPriority w:val="10"/>
    <w:qFormat/>
    <w:rsid w:val="00C66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C66D9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C66D98"/>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C66D98"/>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C66D98"/>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C66D98"/>
    <w:rPr>
      <w:i/>
      <w:iCs/>
      <w:color w:val="404040" w:themeColor="text1" w:themeTint="BF"/>
    </w:rPr>
  </w:style>
  <w:style w:type="paragraph" w:styleId="PargrafodaLista">
    <w:name w:val="List Paragraph"/>
    <w:basedOn w:val="Normal"/>
    <w:uiPriority w:val="34"/>
    <w:qFormat/>
    <w:rsid w:val="00C66D98"/>
    <w:pPr>
      <w:ind w:left="720"/>
      <w:contextualSpacing/>
    </w:pPr>
  </w:style>
  <w:style w:type="character" w:styleId="nfaseIntensa">
    <w:name w:val="Intense Emphasis"/>
    <w:basedOn w:val="Tipodeletrapredefinidodopargrafo"/>
    <w:uiPriority w:val="21"/>
    <w:qFormat/>
    <w:rsid w:val="00C66D98"/>
    <w:rPr>
      <w:i/>
      <w:iCs/>
      <w:color w:val="0F4761" w:themeColor="accent1" w:themeShade="BF"/>
    </w:rPr>
  </w:style>
  <w:style w:type="paragraph" w:styleId="CitaoIntensa">
    <w:name w:val="Intense Quote"/>
    <w:basedOn w:val="Normal"/>
    <w:next w:val="Normal"/>
    <w:link w:val="CitaoIntensaCarter"/>
    <w:uiPriority w:val="30"/>
    <w:qFormat/>
    <w:rsid w:val="00C66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C66D98"/>
    <w:rPr>
      <w:i/>
      <w:iCs/>
      <w:color w:val="0F4761" w:themeColor="accent1" w:themeShade="BF"/>
    </w:rPr>
  </w:style>
  <w:style w:type="character" w:styleId="RefernciaIntensa">
    <w:name w:val="Intense Reference"/>
    <w:basedOn w:val="Tipodeletrapredefinidodopargrafo"/>
    <w:uiPriority w:val="32"/>
    <w:qFormat/>
    <w:rsid w:val="00C66D98"/>
    <w:rPr>
      <w:b/>
      <w:bCs/>
      <w:smallCaps/>
      <w:color w:val="0F4761" w:themeColor="accent1" w:themeShade="BF"/>
      <w:spacing w:val="5"/>
    </w:rPr>
  </w:style>
  <w:style w:type="paragraph" w:styleId="Cabealho">
    <w:name w:val="header"/>
    <w:basedOn w:val="Normal"/>
    <w:link w:val="CabealhoCarter"/>
    <w:uiPriority w:val="99"/>
    <w:unhideWhenUsed/>
    <w:rsid w:val="00C66D98"/>
    <w:pPr>
      <w:tabs>
        <w:tab w:val="center" w:pos="4419"/>
        <w:tab w:val="right" w:pos="8838"/>
      </w:tabs>
      <w:spacing w:after="0" w:line="240" w:lineRule="auto"/>
    </w:pPr>
  </w:style>
  <w:style w:type="character" w:customStyle="1" w:styleId="CabealhoCarter">
    <w:name w:val="Cabeçalho Caráter"/>
    <w:basedOn w:val="Tipodeletrapredefinidodopargrafo"/>
    <w:link w:val="Cabealho"/>
    <w:uiPriority w:val="99"/>
    <w:rsid w:val="00C66D98"/>
  </w:style>
  <w:style w:type="paragraph" w:styleId="Rodap">
    <w:name w:val="footer"/>
    <w:basedOn w:val="Normal"/>
    <w:link w:val="RodapCarter"/>
    <w:uiPriority w:val="99"/>
    <w:unhideWhenUsed/>
    <w:rsid w:val="00C66D98"/>
    <w:pPr>
      <w:tabs>
        <w:tab w:val="center" w:pos="4419"/>
        <w:tab w:val="right" w:pos="8838"/>
      </w:tabs>
      <w:spacing w:after="0" w:line="240" w:lineRule="auto"/>
    </w:pPr>
  </w:style>
  <w:style w:type="character" w:customStyle="1" w:styleId="RodapCarter">
    <w:name w:val="Rodapé Caráter"/>
    <w:basedOn w:val="Tipodeletrapredefinidodopargrafo"/>
    <w:link w:val="Rodap"/>
    <w:uiPriority w:val="99"/>
    <w:rsid w:val="00C66D98"/>
  </w:style>
  <w:style w:type="character" w:styleId="Hiperligao">
    <w:name w:val="Hyperlink"/>
    <w:basedOn w:val="Tipodeletrapredefinidodopargrafo"/>
    <w:uiPriority w:val="99"/>
    <w:unhideWhenUsed/>
    <w:rsid w:val="002E2AE9"/>
    <w:rPr>
      <w:color w:val="467886" w:themeColor="hyperlink"/>
      <w:u w:val="single"/>
    </w:rPr>
  </w:style>
  <w:style w:type="character" w:styleId="MenoNoResolvida">
    <w:name w:val="Unresolved Mention"/>
    <w:basedOn w:val="Tipodeletrapredefinidodopargrafo"/>
    <w:uiPriority w:val="99"/>
    <w:semiHidden/>
    <w:unhideWhenUsed/>
    <w:rsid w:val="002E2AE9"/>
    <w:rPr>
      <w:color w:val="605E5C"/>
      <w:shd w:val="clear" w:color="auto" w:fill="E1DFDD"/>
    </w:rPr>
  </w:style>
  <w:style w:type="character" w:styleId="Refdecomentrio">
    <w:name w:val="annotation reference"/>
    <w:basedOn w:val="Tipodeletrapredefinidodopargrafo"/>
    <w:uiPriority w:val="99"/>
    <w:semiHidden/>
    <w:unhideWhenUsed/>
    <w:rsid w:val="002E2AE9"/>
    <w:rPr>
      <w:sz w:val="16"/>
      <w:szCs w:val="16"/>
    </w:rPr>
  </w:style>
  <w:style w:type="paragraph" w:styleId="Textodecomentrio">
    <w:name w:val="annotation text"/>
    <w:basedOn w:val="Normal"/>
    <w:link w:val="TextodecomentrioCarter"/>
    <w:uiPriority w:val="99"/>
    <w:unhideWhenUsed/>
    <w:rsid w:val="002E2AE9"/>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2E2AE9"/>
    <w:rPr>
      <w:sz w:val="20"/>
      <w:szCs w:val="20"/>
    </w:rPr>
  </w:style>
  <w:style w:type="paragraph" w:styleId="Assuntodecomentrio">
    <w:name w:val="annotation subject"/>
    <w:basedOn w:val="Textodecomentrio"/>
    <w:next w:val="Textodecomentrio"/>
    <w:link w:val="AssuntodecomentrioCarter"/>
    <w:uiPriority w:val="99"/>
    <w:semiHidden/>
    <w:unhideWhenUsed/>
    <w:rsid w:val="002E2AE9"/>
    <w:rPr>
      <w:b/>
      <w:bCs/>
    </w:rPr>
  </w:style>
  <w:style w:type="character" w:customStyle="1" w:styleId="AssuntodecomentrioCarter">
    <w:name w:val="Assunto de comentário Caráter"/>
    <w:basedOn w:val="TextodecomentrioCarter"/>
    <w:link w:val="Assuntodecomentrio"/>
    <w:uiPriority w:val="99"/>
    <w:semiHidden/>
    <w:rsid w:val="002E2AE9"/>
    <w:rPr>
      <w:b/>
      <w:bCs/>
      <w:sz w:val="20"/>
      <w:szCs w:val="20"/>
    </w:rPr>
  </w:style>
  <w:style w:type="paragraph" w:styleId="Reviso">
    <w:name w:val="Revision"/>
    <w:hidden/>
    <w:uiPriority w:val="99"/>
    <w:semiHidden/>
    <w:rsid w:val="00167F99"/>
    <w:pPr>
      <w:spacing w:after="0" w:line="240" w:lineRule="auto"/>
    </w:pPr>
  </w:style>
  <w:style w:type="character" w:styleId="Hiperligaovisitada">
    <w:name w:val="FollowedHyperlink"/>
    <w:basedOn w:val="Tipodeletrapredefinidodopargrafo"/>
    <w:uiPriority w:val="99"/>
    <w:semiHidden/>
    <w:unhideWhenUsed/>
    <w:rsid w:val="0064458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outorfinancas.pt/sobre-doutor-financa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outorfinancas.pt/creditos/credito-habitacao-vale-a-pena-mudar-para-taxa-mista-ou-taxa-fix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utorfinancas.pt/creditos/credito-habitacao/subida-da-euribor-aumenta-prestacao-de-contratos-revistos-em-novembro/?_gl=1*56qcdh*_up*MQ..*_gs*MQ..&amp;gclid=EAIaIQobChMInYOW4t_plwMVVZGDBx2byweAEAAYASAAEgLguvD_BwE&amp;gbraid=0AAAAADAcHDtPBGqhlhlRIyy-Iuc8Kccdj" TargetMode="External"/><Relationship Id="rId5" Type="http://schemas.openxmlformats.org/officeDocument/2006/relationships/styles" Target="styles.xml"/><Relationship Id="rId15" Type="http://schemas.openxmlformats.org/officeDocument/2006/relationships/hyperlink" Target="mailto:miguel.carrilho@lift.com.pt" TargetMode="External"/><Relationship Id="rId10" Type="http://schemas.openxmlformats.org/officeDocument/2006/relationships/hyperlink" Target="https://www.doutorfinancas.p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quel.rogeiro@lift.com.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E2CC265F5C2334985E4B3FC6F05D8EC" ma:contentTypeVersion="11" ma:contentTypeDescription="Criar um novo documento." ma:contentTypeScope="" ma:versionID="3e0c0f55a9c5d0c1b4c732b1ee1ee6dc">
  <xsd:schema xmlns:xsd="http://www.w3.org/2001/XMLSchema" xmlns:xs="http://www.w3.org/2001/XMLSchema" xmlns:p="http://schemas.microsoft.com/office/2006/metadata/properties" xmlns:ns2="5b430281-fad7-436a-b902-e011d6f73fb0" xmlns:ns3="758c6338-9cc2-440b-9e2c-ab0d12a0ff25" targetNamespace="http://schemas.microsoft.com/office/2006/metadata/properties" ma:root="true" ma:fieldsID="266be52e6d20fefa9b2cb8ff3e2c2dc4" ns2:_="" ns3:_="">
    <xsd:import namespace="5b430281-fad7-436a-b902-e011d6f73fb0"/>
    <xsd:import namespace="758c6338-9cc2-440b-9e2c-ab0d12a0ff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281-fad7-436a-b902-e011d6f73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ddcb7503-4b75-4e84-976f-67b56c43c8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c6338-9cc2-440b-9e2c-ab0d12a0ff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e6d457-6d3e-4a1d-bab7-9564f40c69ee}" ma:internalName="TaxCatchAll" ma:showField="CatchAllData" ma:web="758c6338-9cc2-440b-9e2c-ab0d12a0ff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430281-fad7-436a-b902-e011d6f73fb0">
      <Terms xmlns="http://schemas.microsoft.com/office/infopath/2007/PartnerControls"/>
    </lcf76f155ced4ddcb4097134ff3c332f>
    <TaxCatchAll xmlns="758c6338-9cc2-440b-9e2c-ab0d12a0ff25" xsi:nil="true"/>
  </documentManagement>
</p:properties>
</file>

<file path=customXml/itemProps1.xml><?xml version="1.0" encoding="utf-8"?>
<ds:datastoreItem xmlns:ds="http://schemas.openxmlformats.org/officeDocument/2006/customXml" ds:itemID="{2CAE7453-388D-4124-A3CD-9E70FB915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281-fad7-436a-b902-e011d6f73fb0"/>
    <ds:schemaRef ds:uri="758c6338-9cc2-440b-9e2c-ab0d12a0f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0B4A6B-0C42-4D8E-97A6-8E18AB38C41A}">
  <ds:schemaRefs>
    <ds:schemaRef ds:uri="http://schemas.microsoft.com/sharepoint/v3/contenttype/forms"/>
  </ds:schemaRefs>
</ds:datastoreItem>
</file>

<file path=customXml/itemProps3.xml><?xml version="1.0" encoding="utf-8"?>
<ds:datastoreItem xmlns:ds="http://schemas.openxmlformats.org/officeDocument/2006/customXml" ds:itemID="{F57C5965-E003-404F-A887-C3ED02F3D5D5}">
  <ds:schemaRefs>
    <ds:schemaRef ds:uri="http://schemas.microsoft.com/office/2006/metadata/properties"/>
    <ds:schemaRef ds:uri="http://schemas.microsoft.com/office/infopath/2007/PartnerControls"/>
    <ds:schemaRef ds:uri="5b430281-fad7-436a-b902-e011d6f73fb0"/>
    <ds:schemaRef ds:uri="758c6338-9cc2-440b-9e2c-ab0d12a0ff25"/>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1138</Words>
  <Characters>6149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Duarte</dc:creator>
  <cp:keywords/>
  <dc:description/>
  <cp:lastModifiedBy>Rita Faria</cp:lastModifiedBy>
  <cp:revision>28</cp:revision>
  <cp:lastPrinted>2025-11-12T10:24:00Z</cp:lastPrinted>
  <dcterms:created xsi:type="dcterms:W3CDTF">2026-10-19T07:50:00Z</dcterms:created>
  <dcterms:modified xsi:type="dcterms:W3CDTF">2026-11-03T08:53:00Z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0x010100CE2CC265F5C2334985E4B3FC6F05D8EC</vt:lpwstr>
  </property>
  <property fmtid="{D5CDD505-2E9C-101B-9397-08002B2CF9AE}" pid="3" name="MediaServiceImageTags">
    <vt:lpwstr/>
  </property>
</Properties>
</file>