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E0FEF" w14:textId="77777777" w:rsidR="00AD4C62" w:rsidRDefault="00AD4C62" w:rsidP="00C761C6">
      <w:pPr>
        <w:pStyle w:val="isselectedend"/>
        <w:jc w:val="center"/>
        <w:rPr>
          <w:rFonts w:asciiTheme="minorHAnsi" w:hAnsiTheme="minorHAnsi" w:cstheme="minorHAnsi"/>
          <w:b/>
          <w:bCs/>
          <w:kern w:val="36"/>
          <w:sz w:val="20"/>
          <w:szCs w:val="20"/>
          <w:lang w:val="pt-PT"/>
        </w:rPr>
      </w:pPr>
    </w:p>
    <w:p w14:paraId="169C2F08" w14:textId="77777777" w:rsidR="009D2366" w:rsidRPr="00AD4C62" w:rsidRDefault="009D2366" w:rsidP="00C761C6">
      <w:pPr>
        <w:pStyle w:val="isselectedend"/>
        <w:jc w:val="center"/>
        <w:rPr>
          <w:rFonts w:asciiTheme="minorHAnsi" w:hAnsiTheme="minorHAnsi" w:cstheme="minorHAnsi"/>
          <w:b/>
          <w:bCs/>
          <w:kern w:val="36"/>
          <w:sz w:val="20"/>
          <w:szCs w:val="20"/>
          <w:lang w:val="pt-PT"/>
        </w:rPr>
      </w:pPr>
    </w:p>
    <w:p w14:paraId="6CAB579E" w14:textId="0EC08772" w:rsidR="00503238" w:rsidRPr="00B03056" w:rsidRDefault="00762554" w:rsidP="00503238">
      <w:pPr>
        <w:pStyle w:val="isselectedend"/>
        <w:jc w:val="center"/>
        <w:rPr>
          <w:rFonts w:ascii="Aptos" w:hAnsi="Aptos"/>
          <w:b/>
          <w:bCs/>
          <w:color w:val="000000"/>
          <w:sz w:val="32"/>
          <w:szCs w:val="32"/>
          <w:lang w:val="pt-PT"/>
        </w:rPr>
      </w:pPr>
      <w:r w:rsidRPr="00762554">
        <w:rPr>
          <w:rFonts w:ascii="Aptos" w:hAnsi="Aptos"/>
          <w:b/>
          <w:bCs/>
          <w:color w:val="000000"/>
          <w:sz w:val="32"/>
          <w:szCs w:val="32"/>
          <w:lang w:val="pt-PT"/>
        </w:rPr>
        <w:t>Mais de 200 alumni de quatro Escolas portuguesas reunidos no Luxemburgo para reforçar ligações a Portugal</w:t>
      </w:r>
    </w:p>
    <w:p w14:paraId="18EEED24" w14:textId="12D1B6F5" w:rsidR="0039412C" w:rsidRPr="00004B0D" w:rsidRDefault="003274AC" w:rsidP="00240C38">
      <w:pPr>
        <w:pStyle w:val="isselectedend"/>
        <w:spacing w:line="360" w:lineRule="auto"/>
        <w:jc w:val="both"/>
        <w:rPr>
          <w:rFonts w:asciiTheme="minorHAnsi" w:hAnsiTheme="minorHAnsi" w:cstheme="minorHAnsi"/>
          <w:b/>
          <w:bCs/>
          <w:sz w:val="22"/>
          <w:szCs w:val="22"/>
          <w:lang w:val="pt-PT"/>
        </w:rPr>
      </w:pPr>
      <w:r w:rsidRPr="003274AC">
        <w:rPr>
          <w:rFonts w:asciiTheme="minorHAnsi" w:hAnsiTheme="minorHAnsi" w:cstheme="minorHAnsi"/>
          <w:b/>
          <w:bCs/>
          <w:sz w:val="22"/>
          <w:szCs w:val="22"/>
          <w:lang w:val="pt-PT"/>
        </w:rPr>
        <w:t xml:space="preserve">Encontro conjunto da Católica-Lisbon SBE, Instituto Superior Técnico, ISEG e NOVA SBE reforçou o papel da diáspora qualificada na criação de redes de conhecimento, colaboração e oportunidades para Portugal. </w:t>
      </w:r>
    </w:p>
    <w:p w14:paraId="703267BA" w14:textId="77777777" w:rsidR="00CD2B35" w:rsidRDefault="00CD2B35" w:rsidP="0037024B">
      <w:pPr>
        <w:jc w:val="both"/>
        <w:rPr>
          <w:rStyle w:val="Forte"/>
          <w:rFonts w:cstheme="minorHAnsi"/>
          <w:lang w:val="pt-BR"/>
        </w:rPr>
      </w:pPr>
    </w:p>
    <w:p w14:paraId="3089E0F5" w14:textId="77777777" w:rsidR="00AD13BF" w:rsidRDefault="006230AA" w:rsidP="00664226">
      <w:pPr>
        <w:jc w:val="both"/>
      </w:pPr>
      <w:r w:rsidRPr="00FB67BA">
        <w:rPr>
          <w:rStyle w:val="Forte"/>
          <w:rFonts w:cstheme="minorHAnsi"/>
          <w:lang w:val="pt-BR"/>
        </w:rPr>
        <w:t xml:space="preserve">Lisboa, </w:t>
      </w:r>
      <w:r w:rsidR="00004B0D">
        <w:rPr>
          <w:rStyle w:val="Forte"/>
          <w:rFonts w:cstheme="minorHAnsi"/>
          <w:lang w:val="pt-BR"/>
        </w:rPr>
        <w:t>2</w:t>
      </w:r>
      <w:r w:rsidRPr="00FB67BA">
        <w:rPr>
          <w:rStyle w:val="Forte"/>
          <w:rFonts w:cstheme="minorHAnsi"/>
          <w:lang w:val="pt-BR"/>
        </w:rPr>
        <w:t xml:space="preserve"> de </w:t>
      </w:r>
      <w:r w:rsidR="00387ECF">
        <w:rPr>
          <w:rStyle w:val="Forte"/>
          <w:rFonts w:cstheme="minorHAnsi"/>
          <w:lang w:val="pt-BR"/>
        </w:rPr>
        <w:t>novembro</w:t>
      </w:r>
      <w:r w:rsidRPr="00FB67BA">
        <w:rPr>
          <w:rStyle w:val="Forte"/>
          <w:rFonts w:cstheme="minorHAnsi"/>
          <w:lang w:val="pt-BR"/>
        </w:rPr>
        <w:t xml:space="preserve"> de 2026</w:t>
      </w:r>
      <w:r w:rsidRPr="00FB67BA">
        <w:rPr>
          <w:rFonts w:cstheme="minorHAnsi"/>
          <w:lang w:val="pt-BR"/>
        </w:rPr>
        <w:t xml:space="preserve"> </w:t>
      </w:r>
      <w:r w:rsidR="00D503EE">
        <w:rPr>
          <w:rFonts w:cstheme="minorHAnsi"/>
          <w:lang w:val="pt-BR"/>
        </w:rPr>
        <w:t>–</w:t>
      </w:r>
      <w:r w:rsidRPr="00FB67BA">
        <w:rPr>
          <w:rFonts w:cstheme="minorHAnsi"/>
          <w:lang w:val="pt-BR"/>
        </w:rPr>
        <w:t xml:space="preserve"> </w:t>
      </w:r>
      <w:r w:rsidR="00AD13BF" w:rsidRPr="00AD13BF">
        <w:t xml:space="preserve">Mais de 200 participantes reuniram-se, no dia 27 de outubro, na Residência do Embaixador de Portugal no Luxemburgo, para o segundo Encontro Conjunto de Alumni da Católica-Lisbon SBE, do Instituto Superior Técnico, do ISEG – Lisbon School of Economics &amp; Management e da NOVA SBE. </w:t>
      </w:r>
    </w:p>
    <w:p w14:paraId="5E8C65A9" w14:textId="77777777" w:rsidR="00AD13BF" w:rsidRDefault="00AD13BF" w:rsidP="00664226">
      <w:pPr>
        <w:jc w:val="both"/>
      </w:pPr>
      <w:r w:rsidRPr="00AD13BF">
        <w:t xml:space="preserve">A iniciativa, que superou largamente as expectativas iniciais de participação, reuniu antigos alunos das quatro instituições, representantes do ensino superior e de entidades ligadas à comunidade portuguesa no estrangeiro, num momento de reencontro, partilha de experiências e criação de novas ligações profissionais. A participação de alumni duplicou face ao primeiro encontro, realizado em Paris, a 25 de março, passando de cerca de 100 para mais de 200 participantes no Luxemburgo, o que demonstra o crescente interesse e adesão a esta iniciativa conjunta. </w:t>
      </w:r>
    </w:p>
    <w:p w14:paraId="183F6AEE" w14:textId="77777777" w:rsidR="0097289D" w:rsidRPr="0097289D" w:rsidRDefault="0097289D" w:rsidP="00240C38">
      <w:pPr>
        <w:jc w:val="both"/>
      </w:pPr>
      <w:r w:rsidRPr="0097289D">
        <w:t>Mais do que um encontro de antigos alunos, o evento procurou afirmar o potencial das redes alumni enquanto plataformas de ligação entre o talento português espalhado pelo mundo, as instituições de ensino superior e o tecido económico nacional. Num país que acolhe uma comunidade portuguesa particularmente expressiva e qualificada, a iniciativa evidenciou a importância de aproximar profissionais de diferentes gerações, áreas de formação e setores de atividade, promovendo oportunidades de colaboração que ultrapassem as fronteiras institucionais e geográficas.</w:t>
      </w:r>
    </w:p>
    <w:p w14:paraId="53F5DAD7" w14:textId="77777777" w:rsidR="0097289D" w:rsidRPr="0097289D" w:rsidRDefault="0097289D" w:rsidP="00240C38">
      <w:pPr>
        <w:jc w:val="both"/>
      </w:pPr>
      <w:r w:rsidRPr="0097289D">
        <w:t>Promovido por iniciativa do Conselho da Diáspora Portuguesa e da AICEP, o encontro foi organizado conjuntamente pelas quatro instituições de ensino superior, em estreita articulação com a Embaixada de Portugal no Luxemburgo, contando ainda com o apoio da Caixa Geral de Depósitos e da Delta Cafés.</w:t>
      </w:r>
    </w:p>
    <w:p w14:paraId="19D954A8" w14:textId="77777777" w:rsidR="0097289D" w:rsidRPr="0097289D" w:rsidRDefault="0097289D" w:rsidP="00240C38">
      <w:pPr>
        <w:jc w:val="both"/>
      </w:pPr>
      <w:r w:rsidRPr="0097289D">
        <w:t>Ao longo do encontro, foi destacada a importância de transformar as ligações entre alumni em redes ativas de conhecimento, influência e colaboração, capazes de gerar novas oportunidades profissionais, empresariais e institucionais. A forte adesão à iniciativa demonstrou não só o sentimento de pertença às instituições de origem, mas também a vontade de manter uma relação próxima com Portugal e de contribuir para o seu desenvolvimento.</w:t>
      </w:r>
    </w:p>
    <w:p w14:paraId="41916FBF" w14:textId="77777777" w:rsidR="0097289D" w:rsidRPr="0097289D" w:rsidRDefault="0097289D" w:rsidP="00240C38">
      <w:pPr>
        <w:jc w:val="both"/>
      </w:pPr>
      <w:r w:rsidRPr="0097289D">
        <w:lastRenderedPageBreak/>
        <w:t>O programa incluiu breves intervenções institucionais, seguindo-se um momento de convívio e networking que proporcionou aos participantes a oportunidade de estabelecer contactos, reencontrar antigos colegas e explorar novas possibilidades de colaboração.</w:t>
      </w:r>
    </w:p>
    <w:p w14:paraId="0378CD81" w14:textId="5F8B4732" w:rsidR="0097289D" w:rsidRPr="0097289D" w:rsidRDefault="0097289D" w:rsidP="00240C38">
      <w:pPr>
        <w:jc w:val="both"/>
      </w:pPr>
      <w:r w:rsidRPr="0097289D">
        <w:t>O encontro no Luxemburgo integra uma iniciativa mais alargada de aproximação à diáspora portuguesa, cujo conceito nasceu em Paris, onde teve lugar o primeiro encontro, na Embaixada de Portugal em Paris. Esta iniciativa, promovida em conjunto pelas quatro instituições</w:t>
      </w:r>
      <w:r w:rsidR="00CC406D">
        <w:t xml:space="preserve"> </w:t>
      </w:r>
      <w:r w:rsidR="00CC406D" w:rsidRPr="00CC406D">
        <w:t>e pelo Conselho da Diáspora Portuguesa</w:t>
      </w:r>
      <w:r w:rsidRPr="0097289D">
        <w:t>, pretende dar continuidade a este modelo de encontros internacionais, estando já a ser planeada a sua expansão, em 2027, a outras cidades europeias com uma forte presença de alumni das quatro escolas, como Madrid, Zurique e Londres. O objetivo é consolidar uma rede internacional de alumni, potenciando sinergias entre instituições, profissionais e organizações e incentivando a participação em projetos de interesse comum.</w:t>
      </w:r>
    </w:p>
    <w:p w14:paraId="25AC6588" w14:textId="4C707C8B" w:rsidR="007C74C4" w:rsidRDefault="0097289D" w:rsidP="00240C38">
      <w:pPr>
        <w:jc w:val="both"/>
      </w:pPr>
      <w:r w:rsidRPr="0097289D">
        <w:t>A expressiva participação neste segundo encontro conjunto, agora no Luxemburgo reforça a relevância de iniciativas que aproximam comunidades académicas e profissionais, demonstrando que a ligação às instituições de ensino superior não termina com a conclusão de um curso. Pelo contrário, pode constituir o ponto de partida para uma rede de relações duradouras, capaz de criar valor para os seus membros, para as instituições e para Portugal.</w:t>
      </w:r>
    </w:p>
    <w:p w14:paraId="0A16708E" w14:textId="77777777" w:rsidR="004B40D5" w:rsidRDefault="004B40D5" w:rsidP="00240C38">
      <w:pPr>
        <w:jc w:val="both"/>
      </w:pPr>
    </w:p>
    <w:p w14:paraId="0C95C665" w14:textId="77777777" w:rsidR="004B40D5" w:rsidRPr="002B750C" w:rsidRDefault="004B40D5" w:rsidP="0097289D">
      <w:pPr>
        <w:pStyle w:val="isselectedend"/>
        <w:spacing w:before="0" w:beforeAutospacing="0" w:after="0" w:afterAutospacing="0"/>
        <w:jc w:val="both"/>
        <w:rPr>
          <w:rFonts w:asciiTheme="minorHAnsi" w:hAnsiTheme="minorHAnsi" w:cstheme="minorHAnsi"/>
          <w:sz w:val="22"/>
          <w:szCs w:val="22"/>
          <w:lang w:val="pt-PT"/>
        </w:rPr>
      </w:pPr>
    </w:p>
    <w:p w14:paraId="34C7142F" w14:textId="6B2D1909" w:rsidR="006230AA" w:rsidRPr="00E04ACE" w:rsidRDefault="006230AA" w:rsidP="006230AA">
      <w:pPr>
        <w:pStyle w:val="Ttulo2"/>
        <w:rPr>
          <w:rFonts w:asciiTheme="minorHAnsi" w:hAnsiTheme="minorHAnsi" w:cstheme="minorHAnsi"/>
          <w:sz w:val="16"/>
          <w:szCs w:val="16"/>
          <w:lang w:val="pt-BR"/>
        </w:rPr>
      </w:pPr>
      <w:r w:rsidRPr="00E04ACE">
        <w:rPr>
          <w:rFonts w:asciiTheme="minorHAnsi" w:hAnsiTheme="minorHAnsi" w:cstheme="minorHAnsi"/>
          <w:sz w:val="16"/>
          <w:szCs w:val="16"/>
          <w:lang w:val="pt-BR"/>
        </w:rPr>
        <w:t>Sobre o ISEG</w:t>
      </w:r>
    </w:p>
    <w:p w14:paraId="545E2624" w14:textId="77777777"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O ISEG – Lisbon School of Economics &amp; Management é uma instituição de ensino superior de reconhecida reputação internacional, distinguida pela qualidade dos seus diplomados, da sua investigação e do seu impacto na sociedade. Fundado em 1911, foi a primeira escola de Economia e Gestão de Portugal e integra a Universidade de Lisboa.</w:t>
      </w:r>
    </w:p>
    <w:p w14:paraId="3AEA0F77" w14:textId="62CC515D"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 xml:space="preserve">O ISEG desenvolve atividade de ensino e investigação nas áreas da Economia, Gestão, Finanças e Matemática Aplicada à Economia. Conta com cerca de </w:t>
      </w:r>
      <w:r w:rsidR="007F3415" w:rsidRPr="00E04ACE">
        <w:rPr>
          <w:rFonts w:asciiTheme="minorHAnsi" w:hAnsiTheme="minorHAnsi" w:cstheme="minorHAnsi"/>
          <w:sz w:val="16"/>
          <w:szCs w:val="16"/>
          <w:lang w:val="pt-BR"/>
        </w:rPr>
        <w:t>5000</w:t>
      </w:r>
      <w:r w:rsidRPr="00E04ACE">
        <w:rPr>
          <w:rFonts w:asciiTheme="minorHAnsi" w:hAnsiTheme="minorHAnsi" w:cstheme="minorHAnsi"/>
          <w:sz w:val="16"/>
          <w:szCs w:val="16"/>
          <w:lang w:val="pt-BR"/>
        </w:rPr>
        <w:t xml:space="preserve"> estudantes, dos quais aproximadamente </w:t>
      </w:r>
      <w:r w:rsidR="007F3415" w:rsidRPr="00E04ACE">
        <w:rPr>
          <w:rFonts w:asciiTheme="minorHAnsi" w:hAnsiTheme="minorHAnsi" w:cstheme="minorHAnsi"/>
          <w:sz w:val="16"/>
          <w:szCs w:val="16"/>
          <w:lang w:val="pt-BR"/>
        </w:rPr>
        <w:t>30</w:t>
      </w:r>
      <w:r w:rsidRPr="00E04ACE">
        <w:rPr>
          <w:rFonts w:asciiTheme="minorHAnsi" w:hAnsiTheme="minorHAnsi" w:cstheme="minorHAnsi"/>
          <w:sz w:val="16"/>
          <w:szCs w:val="16"/>
          <w:lang w:val="pt-BR"/>
        </w:rPr>
        <w:t>% são internacionais, distribuídos por programas de licenciatura, mestrado e doutoramento.</w:t>
      </w:r>
    </w:p>
    <w:p w14:paraId="406020A5" w14:textId="6483FFA0"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O ISEG integra o grupo restrito de escolas de negócios com a “Triple Crown”, resultante das acreditações internacionais AACSB, AMBA e EQUIS. A Escola está também presente nos rankings do Financial Times através dos seus programas de formação de executivos, do ranking das escolas de negócios europeias, do Master in Finance e, desde 2026, do Masters in Management.</w:t>
      </w:r>
    </w:p>
    <w:p w14:paraId="42D140AB" w14:textId="77777777" w:rsidR="006230AA" w:rsidRDefault="006230AA" w:rsidP="006230AA">
      <w:pPr>
        <w:pStyle w:val="isselectedend"/>
        <w:rPr>
          <w:rFonts w:asciiTheme="minorHAnsi" w:hAnsiTheme="minorHAnsi" w:cstheme="minorHAnsi"/>
          <w:sz w:val="16"/>
          <w:szCs w:val="16"/>
          <w:lang w:val="pt-BR"/>
        </w:rPr>
      </w:pPr>
      <w:r w:rsidRPr="00E04ACE">
        <w:rPr>
          <w:rFonts w:asciiTheme="minorHAnsi" w:hAnsiTheme="minorHAnsi" w:cstheme="minorHAnsi"/>
          <w:sz w:val="16"/>
          <w:szCs w:val="16"/>
          <w:lang w:val="pt-BR"/>
        </w:rPr>
        <w:t xml:space="preserve">Mais informações em </w:t>
      </w:r>
      <w:hyperlink r:id="rId11" w:history="1">
        <w:r w:rsidRPr="00E04ACE">
          <w:rPr>
            <w:rStyle w:val="Hiperligao"/>
            <w:rFonts w:asciiTheme="minorHAnsi" w:hAnsiTheme="minorHAnsi" w:cstheme="minorHAnsi"/>
            <w:sz w:val="16"/>
            <w:szCs w:val="16"/>
            <w:lang w:val="pt-BR"/>
          </w:rPr>
          <w:t>www.iseg.ulisboa.pt</w:t>
        </w:r>
      </w:hyperlink>
      <w:r w:rsidRPr="00E04ACE">
        <w:rPr>
          <w:rFonts w:asciiTheme="minorHAnsi" w:hAnsiTheme="minorHAnsi" w:cstheme="minorHAnsi"/>
          <w:sz w:val="16"/>
          <w:szCs w:val="16"/>
          <w:lang w:val="pt-BR"/>
        </w:rPr>
        <w:t>.</w:t>
      </w:r>
    </w:p>
    <w:p w14:paraId="5C276930" w14:textId="67E9F682" w:rsidR="007C74C4" w:rsidRPr="00E04ACE" w:rsidRDefault="007C74C4" w:rsidP="006230AA">
      <w:pPr>
        <w:pStyle w:val="isselectedend"/>
        <w:rPr>
          <w:rFonts w:asciiTheme="minorHAnsi" w:hAnsiTheme="minorHAnsi" w:cstheme="minorHAnsi"/>
          <w:sz w:val="16"/>
          <w:szCs w:val="16"/>
          <w:lang w:val="pt-BR"/>
        </w:rPr>
      </w:pPr>
    </w:p>
    <w:p w14:paraId="70AABB15" w14:textId="77777777" w:rsidR="006230AA" w:rsidRPr="00E04ACE" w:rsidRDefault="006230AA" w:rsidP="006230AA">
      <w:pPr>
        <w:pStyle w:val="isselectedend"/>
        <w:rPr>
          <w:rFonts w:asciiTheme="minorHAnsi" w:hAnsiTheme="minorHAnsi" w:cstheme="minorHAnsi"/>
          <w:sz w:val="16"/>
          <w:szCs w:val="16"/>
          <w:lang w:val="pt-BR"/>
        </w:rPr>
      </w:pPr>
      <w:r w:rsidRPr="00E04ACE">
        <w:rPr>
          <w:rStyle w:val="Forte"/>
          <w:rFonts w:asciiTheme="minorHAnsi" w:hAnsiTheme="minorHAnsi" w:cstheme="minorHAnsi"/>
          <w:sz w:val="16"/>
          <w:szCs w:val="16"/>
          <w:lang w:val="pt-BR"/>
        </w:rPr>
        <w:t>Contactos para a imprensa</w:t>
      </w:r>
    </w:p>
    <w:p w14:paraId="60D80219" w14:textId="77777777" w:rsidR="006230AA" w:rsidRPr="00E04ACE" w:rsidRDefault="006230AA" w:rsidP="006230AA">
      <w:pPr>
        <w:pStyle w:val="isselectedend"/>
        <w:rPr>
          <w:rFonts w:asciiTheme="minorHAnsi" w:hAnsiTheme="minorHAnsi" w:cstheme="minorHAnsi"/>
          <w:sz w:val="16"/>
          <w:szCs w:val="16"/>
          <w:lang w:val="pt-PT"/>
        </w:rPr>
      </w:pPr>
      <w:r w:rsidRPr="00E04ACE">
        <w:rPr>
          <w:rFonts w:asciiTheme="minorHAnsi" w:hAnsiTheme="minorHAnsi" w:cstheme="minorHAnsi"/>
          <w:sz w:val="16"/>
          <w:szCs w:val="16"/>
          <w:lang w:val="pt-PT"/>
        </w:rPr>
        <w:t>Lift Consulting</w:t>
      </w:r>
      <w:r w:rsidRPr="00E04ACE">
        <w:rPr>
          <w:rFonts w:asciiTheme="minorHAnsi" w:hAnsiTheme="minorHAnsi" w:cstheme="minorHAnsi"/>
          <w:sz w:val="16"/>
          <w:szCs w:val="16"/>
          <w:lang w:val="pt-PT"/>
        </w:rPr>
        <w:br/>
        <w:t>Rita Santiago</w:t>
      </w:r>
      <w:r w:rsidRPr="00E04ACE">
        <w:rPr>
          <w:rFonts w:asciiTheme="minorHAnsi" w:hAnsiTheme="minorHAnsi" w:cstheme="minorHAnsi"/>
          <w:sz w:val="16"/>
          <w:szCs w:val="16"/>
          <w:lang w:val="pt-PT"/>
        </w:rPr>
        <w:br/>
      </w:r>
      <w:hyperlink r:id="rId12" w:history="1">
        <w:r w:rsidRPr="00E04ACE">
          <w:rPr>
            <w:rStyle w:val="Hiperligao"/>
            <w:rFonts w:asciiTheme="minorHAnsi" w:hAnsiTheme="minorHAnsi" w:cstheme="minorHAnsi"/>
            <w:sz w:val="16"/>
            <w:szCs w:val="16"/>
            <w:lang w:val="pt-PT"/>
          </w:rPr>
          <w:t>rita.santiago@lift.com.pt</w:t>
        </w:r>
      </w:hyperlink>
      <w:r w:rsidRPr="00E04ACE">
        <w:rPr>
          <w:rFonts w:asciiTheme="minorHAnsi" w:hAnsiTheme="minorHAnsi" w:cstheme="minorHAnsi"/>
          <w:sz w:val="16"/>
          <w:szCs w:val="16"/>
          <w:lang w:val="pt-PT"/>
        </w:rPr>
        <w:br/>
        <w:t>T. (+351) 918 655 125</w:t>
      </w:r>
    </w:p>
    <w:p w14:paraId="6A08A051" w14:textId="77C06C30" w:rsidR="006230AA" w:rsidRPr="00E04ACE" w:rsidRDefault="006230AA" w:rsidP="006230AA">
      <w:pPr>
        <w:pStyle w:val="NormalWeb"/>
        <w:rPr>
          <w:rFonts w:asciiTheme="minorHAnsi" w:hAnsiTheme="minorHAnsi" w:cstheme="minorHAnsi"/>
          <w:sz w:val="16"/>
          <w:szCs w:val="16"/>
          <w:lang w:val="pt-BR"/>
        </w:rPr>
      </w:pPr>
      <w:r w:rsidRPr="00E04ACE">
        <w:rPr>
          <w:rFonts w:asciiTheme="minorHAnsi" w:hAnsiTheme="minorHAnsi" w:cstheme="minorHAnsi"/>
          <w:sz w:val="16"/>
          <w:szCs w:val="16"/>
          <w:lang w:val="pt-BR"/>
        </w:rPr>
        <w:t>ISEG</w:t>
      </w:r>
      <w:r w:rsidRPr="00E04ACE">
        <w:rPr>
          <w:rFonts w:asciiTheme="minorHAnsi" w:hAnsiTheme="minorHAnsi" w:cstheme="minorHAnsi"/>
          <w:sz w:val="16"/>
          <w:szCs w:val="16"/>
          <w:lang w:val="pt-BR"/>
        </w:rPr>
        <w:br/>
        <w:t>Helena Laymé</w:t>
      </w:r>
      <w:r w:rsidRPr="00E04ACE">
        <w:rPr>
          <w:rFonts w:asciiTheme="minorHAnsi" w:hAnsiTheme="minorHAnsi" w:cstheme="minorHAnsi"/>
          <w:sz w:val="16"/>
          <w:szCs w:val="16"/>
          <w:lang w:val="pt-BR"/>
        </w:rPr>
        <w:br/>
        <w:t>Diretora de Marketing e Relações Externas</w:t>
      </w:r>
      <w:r w:rsidRPr="00E04ACE">
        <w:rPr>
          <w:rFonts w:asciiTheme="minorHAnsi" w:hAnsiTheme="minorHAnsi" w:cstheme="minorHAnsi"/>
          <w:sz w:val="16"/>
          <w:szCs w:val="16"/>
          <w:lang w:val="pt-BR"/>
        </w:rPr>
        <w:br/>
      </w:r>
      <w:hyperlink r:id="rId13" w:history="1">
        <w:r w:rsidRPr="00E04ACE">
          <w:rPr>
            <w:rStyle w:val="Hiperligao"/>
            <w:rFonts w:asciiTheme="minorHAnsi" w:hAnsiTheme="minorHAnsi" w:cstheme="minorHAnsi"/>
            <w:sz w:val="16"/>
            <w:szCs w:val="16"/>
            <w:lang w:val="pt-BR"/>
          </w:rPr>
          <w:t>helena.layme@iseg.ulisboa.pt</w:t>
        </w:r>
      </w:hyperlink>
      <w:r w:rsidRPr="00E04ACE">
        <w:rPr>
          <w:rFonts w:asciiTheme="minorHAnsi" w:hAnsiTheme="minorHAnsi" w:cstheme="minorHAnsi"/>
          <w:sz w:val="16"/>
          <w:szCs w:val="16"/>
          <w:lang w:val="pt-BR"/>
        </w:rPr>
        <w:br/>
        <w:t>T. (+351) 962 727 273</w:t>
      </w:r>
    </w:p>
    <w:p w14:paraId="4701FB91" w14:textId="77777777" w:rsidR="00C258D1" w:rsidRPr="00E04ACE" w:rsidRDefault="00C258D1">
      <w:pPr>
        <w:pStyle w:val="NormalWeb"/>
        <w:rPr>
          <w:rFonts w:asciiTheme="minorHAnsi" w:hAnsiTheme="minorHAnsi" w:cstheme="minorHAnsi"/>
          <w:sz w:val="16"/>
          <w:szCs w:val="16"/>
          <w:lang w:val="pt-BR"/>
        </w:rPr>
      </w:pPr>
    </w:p>
    <w:sectPr w:rsidR="00C258D1" w:rsidRPr="00E04ACE">
      <w:head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50FBD" w14:textId="77777777" w:rsidR="00EC2B20" w:rsidRDefault="00EC2B20" w:rsidP="0013587C">
      <w:pPr>
        <w:spacing w:after="0" w:line="240" w:lineRule="auto"/>
      </w:pPr>
      <w:r>
        <w:separator/>
      </w:r>
    </w:p>
  </w:endnote>
  <w:endnote w:type="continuationSeparator" w:id="0">
    <w:p w14:paraId="08163613" w14:textId="77777777" w:rsidR="00EC2B20" w:rsidRDefault="00EC2B20" w:rsidP="00135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0289B" w14:textId="77777777" w:rsidR="00EC2B20" w:rsidRDefault="00EC2B20" w:rsidP="0013587C">
      <w:pPr>
        <w:spacing w:after="0" w:line="240" w:lineRule="auto"/>
      </w:pPr>
      <w:r>
        <w:separator/>
      </w:r>
    </w:p>
  </w:footnote>
  <w:footnote w:type="continuationSeparator" w:id="0">
    <w:p w14:paraId="38A507FE" w14:textId="77777777" w:rsidR="00EC2B20" w:rsidRDefault="00EC2B20" w:rsidP="00135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FE79" w14:textId="4AEA946C" w:rsidR="0013587C" w:rsidRDefault="0013587C">
    <w:pPr>
      <w:pStyle w:val="Cabealho"/>
    </w:pPr>
    <w:r>
      <w:rPr>
        <w:noProof/>
      </w:rPr>
      <w:drawing>
        <wp:inline distT="0" distB="0" distL="0" distR="0" wp14:anchorId="244CD086" wp14:editId="31E85DA0">
          <wp:extent cx="1459832" cy="620909"/>
          <wp:effectExtent l="0" t="0" r="1270" b="1905"/>
          <wp:docPr id="1" name="Imagem 1" descr="Uma imagem com texto, Tipo de letra, logótipo, Marc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Uma imagem com texto, Tipo de letra, logótipo, Marca&#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4471" cy="631389"/>
                  </a:xfrm>
                  <a:prstGeom prst="rect">
                    <a:avLst/>
                  </a:prstGeom>
                </pic:spPr>
              </pic:pic>
            </a:graphicData>
          </a:graphic>
        </wp:inline>
      </w:drawing>
    </w:r>
  </w:p>
  <w:p w14:paraId="1759C94B" w14:textId="77777777" w:rsidR="0013587C" w:rsidRDefault="0013587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57E"/>
    <w:multiLevelType w:val="multilevel"/>
    <w:tmpl w:val="DA4E9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7869DC"/>
    <w:multiLevelType w:val="hybridMultilevel"/>
    <w:tmpl w:val="CBB0A6EE"/>
    <w:lvl w:ilvl="0" w:tplc="6104309C">
      <w:start w:val="1"/>
      <w:numFmt w:val="bullet"/>
      <w:lvlText w:val="●"/>
      <w:lvlJc w:val="left"/>
      <w:pPr>
        <w:ind w:left="720" w:hanging="360"/>
      </w:pPr>
    </w:lvl>
    <w:lvl w:ilvl="1" w:tplc="1FA2D014">
      <w:start w:val="1"/>
      <w:numFmt w:val="bullet"/>
      <w:lvlText w:val="○"/>
      <w:lvlJc w:val="left"/>
      <w:pPr>
        <w:ind w:left="1440" w:hanging="360"/>
      </w:pPr>
    </w:lvl>
    <w:lvl w:ilvl="2" w:tplc="091AAE02">
      <w:start w:val="1"/>
      <w:numFmt w:val="bullet"/>
      <w:lvlText w:val="■"/>
      <w:lvlJc w:val="left"/>
      <w:pPr>
        <w:ind w:left="2160" w:hanging="360"/>
      </w:pPr>
    </w:lvl>
    <w:lvl w:ilvl="3" w:tplc="04D844BC">
      <w:start w:val="1"/>
      <w:numFmt w:val="bullet"/>
      <w:lvlText w:val="●"/>
      <w:lvlJc w:val="left"/>
      <w:pPr>
        <w:ind w:left="2880" w:hanging="360"/>
      </w:pPr>
    </w:lvl>
    <w:lvl w:ilvl="4" w:tplc="4282D9C8">
      <w:start w:val="1"/>
      <w:numFmt w:val="bullet"/>
      <w:lvlText w:val="○"/>
      <w:lvlJc w:val="left"/>
      <w:pPr>
        <w:ind w:left="3600" w:hanging="360"/>
      </w:pPr>
    </w:lvl>
    <w:lvl w:ilvl="5" w:tplc="8542C5B6">
      <w:start w:val="1"/>
      <w:numFmt w:val="bullet"/>
      <w:lvlText w:val="■"/>
      <w:lvlJc w:val="left"/>
      <w:pPr>
        <w:ind w:left="4320" w:hanging="360"/>
      </w:pPr>
    </w:lvl>
    <w:lvl w:ilvl="6" w:tplc="74D46CA0">
      <w:start w:val="1"/>
      <w:numFmt w:val="bullet"/>
      <w:lvlText w:val="●"/>
      <w:lvlJc w:val="left"/>
      <w:pPr>
        <w:ind w:left="5040" w:hanging="360"/>
      </w:pPr>
    </w:lvl>
    <w:lvl w:ilvl="7" w:tplc="D35AC886">
      <w:start w:val="1"/>
      <w:numFmt w:val="bullet"/>
      <w:lvlText w:val="●"/>
      <w:lvlJc w:val="left"/>
      <w:pPr>
        <w:ind w:left="5760" w:hanging="360"/>
      </w:pPr>
    </w:lvl>
    <w:lvl w:ilvl="8" w:tplc="5B043D68">
      <w:start w:val="1"/>
      <w:numFmt w:val="bullet"/>
      <w:lvlText w:val="●"/>
      <w:lvlJc w:val="left"/>
      <w:pPr>
        <w:ind w:left="6480" w:hanging="360"/>
      </w:pPr>
    </w:lvl>
  </w:abstractNum>
  <w:abstractNum w:abstractNumId="2" w15:restartNumberingAfterBreak="0">
    <w:nsid w:val="45255D53"/>
    <w:multiLevelType w:val="hybridMultilevel"/>
    <w:tmpl w:val="0D04B56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 w15:restartNumberingAfterBreak="0">
    <w:nsid w:val="541C7C91"/>
    <w:multiLevelType w:val="hybridMultilevel"/>
    <w:tmpl w:val="26B68C4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54B912DB"/>
    <w:multiLevelType w:val="multilevel"/>
    <w:tmpl w:val="1478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3547B5"/>
    <w:multiLevelType w:val="hybridMultilevel"/>
    <w:tmpl w:val="394EE722"/>
    <w:lvl w:ilvl="0" w:tplc="B1629BE6">
      <w:start w:val="1"/>
      <w:numFmt w:val="bullet"/>
      <w:lvlText w:val="•"/>
      <w:lvlJc w:val="left"/>
      <w:pPr>
        <w:tabs>
          <w:tab w:val="num" w:pos="720"/>
        </w:tabs>
        <w:ind w:left="720" w:hanging="360"/>
      </w:pPr>
      <w:rPr>
        <w:rFonts w:ascii="Arial" w:hAnsi="Arial" w:cs="Times New Roman" w:hint="default"/>
      </w:rPr>
    </w:lvl>
    <w:lvl w:ilvl="1" w:tplc="5BFA1756">
      <w:start w:val="1"/>
      <w:numFmt w:val="bullet"/>
      <w:lvlText w:val="•"/>
      <w:lvlJc w:val="left"/>
      <w:pPr>
        <w:tabs>
          <w:tab w:val="num" w:pos="1440"/>
        </w:tabs>
        <w:ind w:left="1440" w:hanging="360"/>
      </w:pPr>
      <w:rPr>
        <w:rFonts w:ascii="Arial" w:hAnsi="Arial" w:cs="Times New Roman" w:hint="default"/>
      </w:rPr>
    </w:lvl>
    <w:lvl w:ilvl="2" w:tplc="9F8062BC">
      <w:start w:val="1"/>
      <w:numFmt w:val="bullet"/>
      <w:lvlText w:val="•"/>
      <w:lvlJc w:val="left"/>
      <w:pPr>
        <w:tabs>
          <w:tab w:val="num" w:pos="2160"/>
        </w:tabs>
        <w:ind w:left="2160" w:hanging="360"/>
      </w:pPr>
      <w:rPr>
        <w:rFonts w:ascii="Arial" w:hAnsi="Arial" w:cs="Times New Roman" w:hint="default"/>
      </w:rPr>
    </w:lvl>
    <w:lvl w:ilvl="3" w:tplc="237CA2C0">
      <w:start w:val="1"/>
      <w:numFmt w:val="bullet"/>
      <w:lvlText w:val="•"/>
      <w:lvlJc w:val="left"/>
      <w:pPr>
        <w:tabs>
          <w:tab w:val="num" w:pos="2880"/>
        </w:tabs>
        <w:ind w:left="2880" w:hanging="360"/>
      </w:pPr>
      <w:rPr>
        <w:rFonts w:ascii="Arial" w:hAnsi="Arial" w:cs="Times New Roman" w:hint="default"/>
      </w:rPr>
    </w:lvl>
    <w:lvl w:ilvl="4" w:tplc="2A3A59FC">
      <w:start w:val="1"/>
      <w:numFmt w:val="bullet"/>
      <w:lvlText w:val="•"/>
      <w:lvlJc w:val="left"/>
      <w:pPr>
        <w:tabs>
          <w:tab w:val="num" w:pos="3600"/>
        </w:tabs>
        <w:ind w:left="3600" w:hanging="360"/>
      </w:pPr>
      <w:rPr>
        <w:rFonts w:ascii="Arial" w:hAnsi="Arial" w:cs="Times New Roman" w:hint="default"/>
      </w:rPr>
    </w:lvl>
    <w:lvl w:ilvl="5" w:tplc="92F2E854">
      <w:start w:val="1"/>
      <w:numFmt w:val="bullet"/>
      <w:lvlText w:val="•"/>
      <w:lvlJc w:val="left"/>
      <w:pPr>
        <w:tabs>
          <w:tab w:val="num" w:pos="4320"/>
        </w:tabs>
        <w:ind w:left="4320" w:hanging="360"/>
      </w:pPr>
      <w:rPr>
        <w:rFonts w:ascii="Arial" w:hAnsi="Arial" w:cs="Times New Roman" w:hint="default"/>
      </w:rPr>
    </w:lvl>
    <w:lvl w:ilvl="6" w:tplc="8DD6D5B0">
      <w:start w:val="1"/>
      <w:numFmt w:val="bullet"/>
      <w:lvlText w:val="•"/>
      <w:lvlJc w:val="left"/>
      <w:pPr>
        <w:tabs>
          <w:tab w:val="num" w:pos="5040"/>
        </w:tabs>
        <w:ind w:left="5040" w:hanging="360"/>
      </w:pPr>
      <w:rPr>
        <w:rFonts w:ascii="Arial" w:hAnsi="Arial" w:cs="Times New Roman" w:hint="default"/>
      </w:rPr>
    </w:lvl>
    <w:lvl w:ilvl="7" w:tplc="80163962">
      <w:start w:val="1"/>
      <w:numFmt w:val="bullet"/>
      <w:lvlText w:val="•"/>
      <w:lvlJc w:val="left"/>
      <w:pPr>
        <w:tabs>
          <w:tab w:val="num" w:pos="5760"/>
        </w:tabs>
        <w:ind w:left="5760" w:hanging="360"/>
      </w:pPr>
      <w:rPr>
        <w:rFonts w:ascii="Arial" w:hAnsi="Arial" w:cs="Times New Roman" w:hint="default"/>
      </w:rPr>
    </w:lvl>
    <w:lvl w:ilvl="8" w:tplc="EDEAEFB8">
      <w:start w:val="1"/>
      <w:numFmt w:val="bullet"/>
      <w:lvlText w:val="•"/>
      <w:lvlJc w:val="left"/>
      <w:pPr>
        <w:tabs>
          <w:tab w:val="num" w:pos="6480"/>
        </w:tabs>
        <w:ind w:left="6480" w:hanging="360"/>
      </w:pPr>
      <w:rPr>
        <w:rFonts w:ascii="Arial" w:hAnsi="Arial" w:cs="Times New Roman" w:hint="default"/>
      </w:rPr>
    </w:lvl>
  </w:abstractNum>
  <w:num w:numId="1" w16cid:durableId="301890960">
    <w:abstractNumId w:val="5"/>
  </w:num>
  <w:num w:numId="2" w16cid:durableId="1208882537">
    <w:abstractNumId w:val="1"/>
    <w:lvlOverride w:ilvl="0">
      <w:startOverride w:val="1"/>
    </w:lvlOverride>
  </w:num>
  <w:num w:numId="3" w16cid:durableId="917595642">
    <w:abstractNumId w:val="0"/>
  </w:num>
  <w:num w:numId="4" w16cid:durableId="1426225203">
    <w:abstractNumId w:val="4"/>
  </w:num>
  <w:num w:numId="5" w16cid:durableId="1817987542">
    <w:abstractNumId w:val="3"/>
  </w:num>
  <w:num w:numId="6" w16cid:durableId="17230984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E4"/>
    <w:rsid w:val="00002ABC"/>
    <w:rsid w:val="000042DB"/>
    <w:rsid w:val="00004B0D"/>
    <w:rsid w:val="000134A0"/>
    <w:rsid w:val="00013A16"/>
    <w:rsid w:val="000161F6"/>
    <w:rsid w:val="0001783C"/>
    <w:rsid w:val="00022BBE"/>
    <w:rsid w:val="000230F7"/>
    <w:rsid w:val="00037E95"/>
    <w:rsid w:val="0004265E"/>
    <w:rsid w:val="00045F23"/>
    <w:rsid w:val="000536F8"/>
    <w:rsid w:val="00060448"/>
    <w:rsid w:val="000677AD"/>
    <w:rsid w:val="00073912"/>
    <w:rsid w:val="00074BE6"/>
    <w:rsid w:val="00075285"/>
    <w:rsid w:val="0008143A"/>
    <w:rsid w:val="000874B6"/>
    <w:rsid w:val="00097763"/>
    <w:rsid w:val="00097ABD"/>
    <w:rsid w:val="000A2318"/>
    <w:rsid w:val="000A4602"/>
    <w:rsid w:val="000A70F9"/>
    <w:rsid w:val="000C3388"/>
    <w:rsid w:val="000C4FB9"/>
    <w:rsid w:val="000C54B0"/>
    <w:rsid w:val="000D2EFA"/>
    <w:rsid w:val="000E33F7"/>
    <w:rsid w:val="000E678A"/>
    <w:rsid w:val="000E6CF4"/>
    <w:rsid w:val="000F07F8"/>
    <w:rsid w:val="000F1CC2"/>
    <w:rsid w:val="001022C1"/>
    <w:rsid w:val="001052D4"/>
    <w:rsid w:val="00110341"/>
    <w:rsid w:val="001143C9"/>
    <w:rsid w:val="0012264B"/>
    <w:rsid w:val="00131289"/>
    <w:rsid w:val="00133196"/>
    <w:rsid w:val="0013587C"/>
    <w:rsid w:val="0013672D"/>
    <w:rsid w:val="00142C7B"/>
    <w:rsid w:val="00146BC6"/>
    <w:rsid w:val="00151EE4"/>
    <w:rsid w:val="00155502"/>
    <w:rsid w:val="00157D94"/>
    <w:rsid w:val="001620AA"/>
    <w:rsid w:val="00162C2D"/>
    <w:rsid w:val="00165402"/>
    <w:rsid w:val="00165967"/>
    <w:rsid w:val="00172993"/>
    <w:rsid w:val="001766CC"/>
    <w:rsid w:val="0017674B"/>
    <w:rsid w:val="00184960"/>
    <w:rsid w:val="00190799"/>
    <w:rsid w:val="00192BF2"/>
    <w:rsid w:val="0019789E"/>
    <w:rsid w:val="001A1663"/>
    <w:rsid w:val="001B44BD"/>
    <w:rsid w:val="001B487C"/>
    <w:rsid w:val="001C36DB"/>
    <w:rsid w:val="001C4E94"/>
    <w:rsid w:val="001C58F5"/>
    <w:rsid w:val="001E045A"/>
    <w:rsid w:val="001E4B33"/>
    <w:rsid w:val="001E6C48"/>
    <w:rsid w:val="001E6E4F"/>
    <w:rsid w:val="001F1108"/>
    <w:rsid w:val="001F1246"/>
    <w:rsid w:val="001F4C96"/>
    <w:rsid w:val="00214E00"/>
    <w:rsid w:val="0022572D"/>
    <w:rsid w:val="00240C38"/>
    <w:rsid w:val="00244A1D"/>
    <w:rsid w:val="00246390"/>
    <w:rsid w:val="00246D7B"/>
    <w:rsid w:val="0024786F"/>
    <w:rsid w:val="002539D8"/>
    <w:rsid w:val="0025454D"/>
    <w:rsid w:val="00261200"/>
    <w:rsid w:val="00275D80"/>
    <w:rsid w:val="00277ADE"/>
    <w:rsid w:val="002854ED"/>
    <w:rsid w:val="002A5694"/>
    <w:rsid w:val="002A58F9"/>
    <w:rsid w:val="002B173C"/>
    <w:rsid w:val="002B5ECA"/>
    <w:rsid w:val="002B750C"/>
    <w:rsid w:val="002B758A"/>
    <w:rsid w:val="002C08CF"/>
    <w:rsid w:val="002C599F"/>
    <w:rsid w:val="002C79F3"/>
    <w:rsid w:val="002D07F9"/>
    <w:rsid w:val="002D1FFA"/>
    <w:rsid w:val="002D4064"/>
    <w:rsid w:val="002E0D73"/>
    <w:rsid w:val="002E2556"/>
    <w:rsid w:val="002E73FC"/>
    <w:rsid w:val="0030559D"/>
    <w:rsid w:val="00317AFB"/>
    <w:rsid w:val="00317B73"/>
    <w:rsid w:val="003210C1"/>
    <w:rsid w:val="00326E51"/>
    <w:rsid w:val="00327342"/>
    <w:rsid w:val="003274AC"/>
    <w:rsid w:val="00332EB5"/>
    <w:rsid w:val="003355E9"/>
    <w:rsid w:val="003367C1"/>
    <w:rsid w:val="003450DE"/>
    <w:rsid w:val="00351020"/>
    <w:rsid w:val="00357823"/>
    <w:rsid w:val="0037024B"/>
    <w:rsid w:val="00372BA9"/>
    <w:rsid w:val="00373E30"/>
    <w:rsid w:val="0038349D"/>
    <w:rsid w:val="00386752"/>
    <w:rsid w:val="00387ECF"/>
    <w:rsid w:val="0039013E"/>
    <w:rsid w:val="00391E24"/>
    <w:rsid w:val="00392345"/>
    <w:rsid w:val="00392F83"/>
    <w:rsid w:val="0039339D"/>
    <w:rsid w:val="0039412C"/>
    <w:rsid w:val="003A231B"/>
    <w:rsid w:val="003A2437"/>
    <w:rsid w:val="003A32CB"/>
    <w:rsid w:val="003A4C56"/>
    <w:rsid w:val="003B0AB3"/>
    <w:rsid w:val="003B303F"/>
    <w:rsid w:val="003B3321"/>
    <w:rsid w:val="003B3EE9"/>
    <w:rsid w:val="003B6F0E"/>
    <w:rsid w:val="003C3104"/>
    <w:rsid w:val="003C42F3"/>
    <w:rsid w:val="003C596A"/>
    <w:rsid w:val="003E3861"/>
    <w:rsid w:val="003E5F92"/>
    <w:rsid w:val="003F57E4"/>
    <w:rsid w:val="003F6182"/>
    <w:rsid w:val="003F709C"/>
    <w:rsid w:val="00407714"/>
    <w:rsid w:val="00410C9F"/>
    <w:rsid w:val="00411F31"/>
    <w:rsid w:val="00412849"/>
    <w:rsid w:val="00422F41"/>
    <w:rsid w:val="00425B83"/>
    <w:rsid w:val="004267A8"/>
    <w:rsid w:val="00433497"/>
    <w:rsid w:val="00433ABF"/>
    <w:rsid w:val="004345C9"/>
    <w:rsid w:val="004373FD"/>
    <w:rsid w:val="004431AF"/>
    <w:rsid w:val="00443F6A"/>
    <w:rsid w:val="004440E0"/>
    <w:rsid w:val="00454A2F"/>
    <w:rsid w:val="00455B15"/>
    <w:rsid w:val="00456A1E"/>
    <w:rsid w:val="00461192"/>
    <w:rsid w:val="00462A26"/>
    <w:rsid w:val="0047320D"/>
    <w:rsid w:val="00473C02"/>
    <w:rsid w:val="004748A3"/>
    <w:rsid w:val="004775FF"/>
    <w:rsid w:val="0048115C"/>
    <w:rsid w:val="00481DCB"/>
    <w:rsid w:val="004848A1"/>
    <w:rsid w:val="00495A6F"/>
    <w:rsid w:val="004A6327"/>
    <w:rsid w:val="004B1498"/>
    <w:rsid w:val="004B40D5"/>
    <w:rsid w:val="004B754E"/>
    <w:rsid w:val="004C181D"/>
    <w:rsid w:val="004E2F51"/>
    <w:rsid w:val="004E665E"/>
    <w:rsid w:val="004F1715"/>
    <w:rsid w:val="004F5852"/>
    <w:rsid w:val="005004E9"/>
    <w:rsid w:val="00500BF1"/>
    <w:rsid w:val="00501011"/>
    <w:rsid w:val="00503238"/>
    <w:rsid w:val="0051071E"/>
    <w:rsid w:val="0051240C"/>
    <w:rsid w:val="00515AC4"/>
    <w:rsid w:val="00523A77"/>
    <w:rsid w:val="005262C5"/>
    <w:rsid w:val="005361AA"/>
    <w:rsid w:val="0054259B"/>
    <w:rsid w:val="00543173"/>
    <w:rsid w:val="00545286"/>
    <w:rsid w:val="005505AA"/>
    <w:rsid w:val="005506C8"/>
    <w:rsid w:val="00567C2B"/>
    <w:rsid w:val="00570E61"/>
    <w:rsid w:val="00574609"/>
    <w:rsid w:val="00577D3C"/>
    <w:rsid w:val="00584C37"/>
    <w:rsid w:val="00586D5F"/>
    <w:rsid w:val="00590CB9"/>
    <w:rsid w:val="005B17D4"/>
    <w:rsid w:val="005B2402"/>
    <w:rsid w:val="005B3B54"/>
    <w:rsid w:val="005B54FB"/>
    <w:rsid w:val="005C102F"/>
    <w:rsid w:val="005C2EF2"/>
    <w:rsid w:val="005C57A1"/>
    <w:rsid w:val="005C5881"/>
    <w:rsid w:val="005D4B18"/>
    <w:rsid w:val="005D666B"/>
    <w:rsid w:val="005E0CB9"/>
    <w:rsid w:val="005E1B28"/>
    <w:rsid w:val="005F00F4"/>
    <w:rsid w:val="005F2C2F"/>
    <w:rsid w:val="0060515A"/>
    <w:rsid w:val="00607816"/>
    <w:rsid w:val="00615747"/>
    <w:rsid w:val="006230AA"/>
    <w:rsid w:val="00623B85"/>
    <w:rsid w:val="00623D2B"/>
    <w:rsid w:val="0062525C"/>
    <w:rsid w:val="0063097D"/>
    <w:rsid w:val="006461D8"/>
    <w:rsid w:val="0065271C"/>
    <w:rsid w:val="006573BC"/>
    <w:rsid w:val="00657865"/>
    <w:rsid w:val="0066078F"/>
    <w:rsid w:val="00664226"/>
    <w:rsid w:val="006671AB"/>
    <w:rsid w:val="006672D7"/>
    <w:rsid w:val="006714B0"/>
    <w:rsid w:val="006765CD"/>
    <w:rsid w:val="006804BF"/>
    <w:rsid w:val="006817A8"/>
    <w:rsid w:val="00697BAB"/>
    <w:rsid w:val="006A0219"/>
    <w:rsid w:val="006A1F65"/>
    <w:rsid w:val="006A575E"/>
    <w:rsid w:val="006B058C"/>
    <w:rsid w:val="006B4AF4"/>
    <w:rsid w:val="006B6C7C"/>
    <w:rsid w:val="006C206A"/>
    <w:rsid w:val="006C3F7B"/>
    <w:rsid w:val="006C46E2"/>
    <w:rsid w:val="006C4838"/>
    <w:rsid w:val="006C6E12"/>
    <w:rsid w:val="006C76EB"/>
    <w:rsid w:val="006D2F6F"/>
    <w:rsid w:val="006D4B59"/>
    <w:rsid w:val="006D4C6B"/>
    <w:rsid w:val="006E20BE"/>
    <w:rsid w:val="006F00F1"/>
    <w:rsid w:val="006F1710"/>
    <w:rsid w:val="006F527A"/>
    <w:rsid w:val="006F5954"/>
    <w:rsid w:val="00703B21"/>
    <w:rsid w:val="00704D6E"/>
    <w:rsid w:val="00706207"/>
    <w:rsid w:val="00712A94"/>
    <w:rsid w:val="00713681"/>
    <w:rsid w:val="00713903"/>
    <w:rsid w:val="00714882"/>
    <w:rsid w:val="00715471"/>
    <w:rsid w:val="00715D27"/>
    <w:rsid w:val="0072334A"/>
    <w:rsid w:val="0073085E"/>
    <w:rsid w:val="00730B6C"/>
    <w:rsid w:val="00734AF1"/>
    <w:rsid w:val="0074498D"/>
    <w:rsid w:val="00751300"/>
    <w:rsid w:val="0075734B"/>
    <w:rsid w:val="00762554"/>
    <w:rsid w:val="00762E73"/>
    <w:rsid w:val="00774B06"/>
    <w:rsid w:val="00775B22"/>
    <w:rsid w:val="00776431"/>
    <w:rsid w:val="007840E4"/>
    <w:rsid w:val="0079166A"/>
    <w:rsid w:val="007A1241"/>
    <w:rsid w:val="007A6AE8"/>
    <w:rsid w:val="007A6D8C"/>
    <w:rsid w:val="007B0F7E"/>
    <w:rsid w:val="007C5171"/>
    <w:rsid w:val="007C74C4"/>
    <w:rsid w:val="007D0D2A"/>
    <w:rsid w:val="007D12D1"/>
    <w:rsid w:val="007D17DA"/>
    <w:rsid w:val="007E3841"/>
    <w:rsid w:val="007E5583"/>
    <w:rsid w:val="007F3415"/>
    <w:rsid w:val="007F3A64"/>
    <w:rsid w:val="007F4141"/>
    <w:rsid w:val="00802B02"/>
    <w:rsid w:val="00804212"/>
    <w:rsid w:val="00805D5B"/>
    <w:rsid w:val="008117EB"/>
    <w:rsid w:val="00812CAC"/>
    <w:rsid w:val="0081671E"/>
    <w:rsid w:val="008170D4"/>
    <w:rsid w:val="00821B07"/>
    <w:rsid w:val="00826711"/>
    <w:rsid w:val="008313FA"/>
    <w:rsid w:val="00832E38"/>
    <w:rsid w:val="0083395C"/>
    <w:rsid w:val="00843E49"/>
    <w:rsid w:val="0085040B"/>
    <w:rsid w:val="008567BC"/>
    <w:rsid w:val="00860389"/>
    <w:rsid w:val="00863EB6"/>
    <w:rsid w:val="00865991"/>
    <w:rsid w:val="00870DB6"/>
    <w:rsid w:val="008714E9"/>
    <w:rsid w:val="00887034"/>
    <w:rsid w:val="00891EAE"/>
    <w:rsid w:val="00897CE6"/>
    <w:rsid w:val="00897D8F"/>
    <w:rsid w:val="008A0B5D"/>
    <w:rsid w:val="008A34F1"/>
    <w:rsid w:val="008A5C20"/>
    <w:rsid w:val="008B0851"/>
    <w:rsid w:val="008B3412"/>
    <w:rsid w:val="008C08F8"/>
    <w:rsid w:val="008C23C4"/>
    <w:rsid w:val="008C3E11"/>
    <w:rsid w:val="008D1849"/>
    <w:rsid w:val="008D68DF"/>
    <w:rsid w:val="008D69BE"/>
    <w:rsid w:val="008E2B68"/>
    <w:rsid w:val="008E3FCC"/>
    <w:rsid w:val="00900601"/>
    <w:rsid w:val="00900EA6"/>
    <w:rsid w:val="00905196"/>
    <w:rsid w:val="009052B8"/>
    <w:rsid w:val="009062CB"/>
    <w:rsid w:val="00906BB8"/>
    <w:rsid w:val="00915685"/>
    <w:rsid w:val="0092097F"/>
    <w:rsid w:val="00923087"/>
    <w:rsid w:val="009246E3"/>
    <w:rsid w:val="009264E9"/>
    <w:rsid w:val="00930EC8"/>
    <w:rsid w:val="009368BC"/>
    <w:rsid w:val="009464DB"/>
    <w:rsid w:val="00947A12"/>
    <w:rsid w:val="009549AF"/>
    <w:rsid w:val="00954C7A"/>
    <w:rsid w:val="009631D4"/>
    <w:rsid w:val="00966AC8"/>
    <w:rsid w:val="0097289D"/>
    <w:rsid w:val="00972CA9"/>
    <w:rsid w:val="0097389D"/>
    <w:rsid w:val="009802F2"/>
    <w:rsid w:val="00992AB4"/>
    <w:rsid w:val="00996DC8"/>
    <w:rsid w:val="009A13BF"/>
    <w:rsid w:val="009A25B1"/>
    <w:rsid w:val="009B5967"/>
    <w:rsid w:val="009B705A"/>
    <w:rsid w:val="009C0FB1"/>
    <w:rsid w:val="009C1A52"/>
    <w:rsid w:val="009C264D"/>
    <w:rsid w:val="009C30D0"/>
    <w:rsid w:val="009D2366"/>
    <w:rsid w:val="009E1981"/>
    <w:rsid w:val="009E2B46"/>
    <w:rsid w:val="009E527C"/>
    <w:rsid w:val="009E7AE0"/>
    <w:rsid w:val="009F146C"/>
    <w:rsid w:val="009F312C"/>
    <w:rsid w:val="00A06B5F"/>
    <w:rsid w:val="00A114CF"/>
    <w:rsid w:val="00A118AF"/>
    <w:rsid w:val="00A15BF7"/>
    <w:rsid w:val="00A20701"/>
    <w:rsid w:val="00A227FE"/>
    <w:rsid w:val="00A2460E"/>
    <w:rsid w:val="00A339A5"/>
    <w:rsid w:val="00A35076"/>
    <w:rsid w:val="00A50873"/>
    <w:rsid w:val="00A60AF0"/>
    <w:rsid w:val="00A62572"/>
    <w:rsid w:val="00A6596A"/>
    <w:rsid w:val="00A724C8"/>
    <w:rsid w:val="00A72C18"/>
    <w:rsid w:val="00A73097"/>
    <w:rsid w:val="00A75D23"/>
    <w:rsid w:val="00A86058"/>
    <w:rsid w:val="00A8698D"/>
    <w:rsid w:val="00A945D6"/>
    <w:rsid w:val="00AA1240"/>
    <w:rsid w:val="00AA2CC9"/>
    <w:rsid w:val="00AB0B27"/>
    <w:rsid w:val="00AB18A1"/>
    <w:rsid w:val="00AB668C"/>
    <w:rsid w:val="00AC055F"/>
    <w:rsid w:val="00AC057C"/>
    <w:rsid w:val="00AC5ED0"/>
    <w:rsid w:val="00AD13BF"/>
    <w:rsid w:val="00AD4C62"/>
    <w:rsid w:val="00AD4F67"/>
    <w:rsid w:val="00AD6710"/>
    <w:rsid w:val="00AE13DF"/>
    <w:rsid w:val="00AE310A"/>
    <w:rsid w:val="00AE794C"/>
    <w:rsid w:val="00AF2AB2"/>
    <w:rsid w:val="00AF7E0E"/>
    <w:rsid w:val="00B01964"/>
    <w:rsid w:val="00B03056"/>
    <w:rsid w:val="00B06F44"/>
    <w:rsid w:val="00B071C9"/>
    <w:rsid w:val="00B1163A"/>
    <w:rsid w:val="00B11BA1"/>
    <w:rsid w:val="00B153DA"/>
    <w:rsid w:val="00B16C88"/>
    <w:rsid w:val="00B17A67"/>
    <w:rsid w:val="00B27217"/>
    <w:rsid w:val="00B31866"/>
    <w:rsid w:val="00B36C9F"/>
    <w:rsid w:val="00B42FC4"/>
    <w:rsid w:val="00B44DE3"/>
    <w:rsid w:val="00B46ABA"/>
    <w:rsid w:val="00B47248"/>
    <w:rsid w:val="00B51E98"/>
    <w:rsid w:val="00B563E4"/>
    <w:rsid w:val="00B60760"/>
    <w:rsid w:val="00B61C27"/>
    <w:rsid w:val="00B66CA2"/>
    <w:rsid w:val="00B72CD2"/>
    <w:rsid w:val="00B76938"/>
    <w:rsid w:val="00B83006"/>
    <w:rsid w:val="00B92620"/>
    <w:rsid w:val="00B9713E"/>
    <w:rsid w:val="00BA06F7"/>
    <w:rsid w:val="00BA0AFA"/>
    <w:rsid w:val="00BA31AD"/>
    <w:rsid w:val="00BA6417"/>
    <w:rsid w:val="00BB3057"/>
    <w:rsid w:val="00BC0AE1"/>
    <w:rsid w:val="00BC2891"/>
    <w:rsid w:val="00BC40B8"/>
    <w:rsid w:val="00BC588C"/>
    <w:rsid w:val="00BC6820"/>
    <w:rsid w:val="00BD4252"/>
    <w:rsid w:val="00BD4844"/>
    <w:rsid w:val="00BE5164"/>
    <w:rsid w:val="00BF7E92"/>
    <w:rsid w:val="00C02158"/>
    <w:rsid w:val="00C07837"/>
    <w:rsid w:val="00C1179A"/>
    <w:rsid w:val="00C137E8"/>
    <w:rsid w:val="00C22EA6"/>
    <w:rsid w:val="00C234B3"/>
    <w:rsid w:val="00C258D1"/>
    <w:rsid w:val="00C32E2E"/>
    <w:rsid w:val="00C362BC"/>
    <w:rsid w:val="00C40E3E"/>
    <w:rsid w:val="00C41680"/>
    <w:rsid w:val="00C42CC4"/>
    <w:rsid w:val="00C45125"/>
    <w:rsid w:val="00C460C9"/>
    <w:rsid w:val="00C5149E"/>
    <w:rsid w:val="00C52165"/>
    <w:rsid w:val="00C55459"/>
    <w:rsid w:val="00C554A3"/>
    <w:rsid w:val="00C554AD"/>
    <w:rsid w:val="00C6352C"/>
    <w:rsid w:val="00C73327"/>
    <w:rsid w:val="00C75D5C"/>
    <w:rsid w:val="00C761C6"/>
    <w:rsid w:val="00C80D2A"/>
    <w:rsid w:val="00C80F44"/>
    <w:rsid w:val="00C81FB7"/>
    <w:rsid w:val="00C8597A"/>
    <w:rsid w:val="00C8673F"/>
    <w:rsid w:val="00C92579"/>
    <w:rsid w:val="00C96D92"/>
    <w:rsid w:val="00CA04C7"/>
    <w:rsid w:val="00CA4CEB"/>
    <w:rsid w:val="00CA51EA"/>
    <w:rsid w:val="00CC09A5"/>
    <w:rsid w:val="00CC0D83"/>
    <w:rsid w:val="00CC1C8B"/>
    <w:rsid w:val="00CC406D"/>
    <w:rsid w:val="00CD13EB"/>
    <w:rsid w:val="00CD2B35"/>
    <w:rsid w:val="00CD6172"/>
    <w:rsid w:val="00CD61E6"/>
    <w:rsid w:val="00CE0FA1"/>
    <w:rsid w:val="00CE107D"/>
    <w:rsid w:val="00CE51DC"/>
    <w:rsid w:val="00CE7901"/>
    <w:rsid w:val="00CE7F78"/>
    <w:rsid w:val="00CF2061"/>
    <w:rsid w:val="00CF28B9"/>
    <w:rsid w:val="00CF2A09"/>
    <w:rsid w:val="00D0192A"/>
    <w:rsid w:val="00D05351"/>
    <w:rsid w:val="00D0582B"/>
    <w:rsid w:val="00D11714"/>
    <w:rsid w:val="00D139F9"/>
    <w:rsid w:val="00D13D8F"/>
    <w:rsid w:val="00D14D4B"/>
    <w:rsid w:val="00D1534C"/>
    <w:rsid w:val="00D26279"/>
    <w:rsid w:val="00D31A6E"/>
    <w:rsid w:val="00D3209B"/>
    <w:rsid w:val="00D34A88"/>
    <w:rsid w:val="00D35150"/>
    <w:rsid w:val="00D35EBF"/>
    <w:rsid w:val="00D36B3D"/>
    <w:rsid w:val="00D424CC"/>
    <w:rsid w:val="00D433CA"/>
    <w:rsid w:val="00D460B5"/>
    <w:rsid w:val="00D503EE"/>
    <w:rsid w:val="00D67D01"/>
    <w:rsid w:val="00D67DA4"/>
    <w:rsid w:val="00D713E4"/>
    <w:rsid w:val="00D768EA"/>
    <w:rsid w:val="00D77092"/>
    <w:rsid w:val="00D774EE"/>
    <w:rsid w:val="00D77799"/>
    <w:rsid w:val="00D862A4"/>
    <w:rsid w:val="00D866E3"/>
    <w:rsid w:val="00D8694B"/>
    <w:rsid w:val="00DA5043"/>
    <w:rsid w:val="00DB7AF5"/>
    <w:rsid w:val="00DC1FFA"/>
    <w:rsid w:val="00DC5596"/>
    <w:rsid w:val="00DC6476"/>
    <w:rsid w:val="00DD1061"/>
    <w:rsid w:val="00DD2840"/>
    <w:rsid w:val="00DD2D47"/>
    <w:rsid w:val="00DE4360"/>
    <w:rsid w:val="00DE50FD"/>
    <w:rsid w:val="00DE65CE"/>
    <w:rsid w:val="00DE6D0A"/>
    <w:rsid w:val="00DF1D10"/>
    <w:rsid w:val="00DF4968"/>
    <w:rsid w:val="00E0127E"/>
    <w:rsid w:val="00E031CF"/>
    <w:rsid w:val="00E04ACE"/>
    <w:rsid w:val="00E06E59"/>
    <w:rsid w:val="00E340BD"/>
    <w:rsid w:val="00E34C97"/>
    <w:rsid w:val="00E360B7"/>
    <w:rsid w:val="00E41862"/>
    <w:rsid w:val="00E42302"/>
    <w:rsid w:val="00E50356"/>
    <w:rsid w:val="00E551C1"/>
    <w:rsid w:val="00E61FB4"/>
    <w:rsid w:val="00E62A4B"/>
    <w:rsid w:val="00E63D9B"/>
    <w:rsid w:val="00E65043"/>
    <w:rsid w:val="00E73E91"/>
    <w:rsid w:val="00E81487"/>
    <w:rsid w:val="00E854B4"/>
    <w:rsid w:val="00E963DC"/>
    <w:rsid w:val="00E96DA8"/>
    <w:rsid w:val="00EA30E1"/>
    <w:rsid w:val="00EA3F69"/>
    <w:rsid w:val="00EA6C06"/>
    <w:rsid w:val="00EB0F97"/>
    <w:rsid w:val="00EB3232"/>
    <w:rsid w:val="00EB3345"/>
    <w:rsid w:val="00EB5F63"/>
    <w:rsid w:val="00EC2B20"/>
    <w:rsid w:val="00EC4E57"/>
    <w:rsid w:val="00EE59D8"/>
    <w:rsid w:val="00F00E6D"/>
    <w:rsid w:val="00F0292A"/>
    <w:rsid w:val="00F057AE"/>
    <w:rsid w:val="00F14417"/>
    <w:rsid w:val="00F1725A"/>
    <w:rsid w:val="00F272D5"/>
    <w:rsid w:val="00F40BF7"/>
    <w:rsid w:val="00F43B6D"/>
    <w:rsid w:val="00F46DF9"/>
    <w:rsid w:val="00F50E04"/>
    <w:rsid w:val="00F5114F"/>
    <w:rsid w:val="00F53375"/>
    <w:rsid w:val="00F53F62"/>
    <w:rsid w:val="00F6289F"/>
    <w:rsid w:val="00F65387"/>
    <w:rsid w:val="00F660D2"/>
    <w:rsid w:val="00F700C6"/>
    <w:rsid w:val="00F75D40"/>
    <w:rsid w:val="00F90681"/>
    <w:rsid w:val="00FA089D"/>
    <w:rsid w:val="00FA160A"/>
    <w:rsid w:val="00FA1A6B"/>
    <w:rsid w:val="00FA6FB2"/>
    <w:rsid w:val="00FB5BD7"/>
    <w:rsid w:val="00FB62C4"/>
    <w:rsid w:val="00FB67BA"/>
    <w:rsid w:val="00FC63C8"/>
    <w:rsid w:val="00FD518B"/>
    <w:rsid w:val="00FD6C5D"/>
    <w:rsid w:val="00FE155C"/>
    <w:rsid w:val="00FE2A8F"/>
    <w:rsid w:val="00FF2815"/>
    <w:rsid w:val="00FF3110"/>
    <w:rsid w:val="00FF663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D856"/>
  <w15:chartTrackingRefBased/>
  <w15:docId w15:val="{92F3E7D3-D46E-4FCF-9C2E-0EA2440F5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ter"/>
    <w:uiPriority w:val="9"/>
    <w:qFormat/>
    <w:rsid w:val="006230A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Ttulo2">
    <w:name w:val="heading 2"/>
    <w:basedOn w:val="Normal"/>
    <w:link w:val="Ttulo2Carter"/>
    <w:uiPriority w:val="9"/>
    <w:qFormat/>
    <w:rsid w:val="006230AA"/>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paragraph" w:styleId="Ttulo3">
    <w:name w:val="heading 3"/>
    <w:basedOn w:val="Normal"/>
    <w:next w:val="Normal"/>
    <w:link w:val="Ttulo3Carter"/>
    <w:uiPriority w:val="9"/>
    <w:semiHidden/>
    <w:unhideWhenUsed/>
    <w:qFormat/>
    <w:rsid w:val="006F17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13587C"/>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3587C"/>
  </w:style>
  <w:style w:type="paragraph" w:styleId="Rodap">
    <w:name w:val="footer"/>
    <w:basedOn w:val="Normal"/>
    <w:link w:val="RodapCarter"/>
    <w:uiPriority w:val="99"/>
    <w:unhideWhenUsed/>
    <w:rsid w:val="0013587C"/>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3587C"/>
  </w:style>
  <w:style w:type="character" w:styleId="Hiperligao">
    <w:name w:val="Hyperlink"/>
    <w:basedOn w:val="Tipodeletrapredefinidodopargrafo"/>
    <w:uiPriority w:val="99"/>
    <w:unhideWhenUsed/>
    <w:rsid w:val="00C234B3"/>
    <w:rPr>
      <w:color w:val="0000FF"/>
      <w:u w:val="single"/>
    </w:rPr>
  </w:style>
  <w:style w:type="paragraph" w:styleId="Reviso">
    <w:name w:val="Revision"/>
    <w:hidden/>
    <w:uiPriority w:val="99"/>
    <w:semiHidden/>
    <w:rsid w:val="009C1A52"/>
    <w:pPr>
      <w:spacing w:after="0" w:line="240" w:lineRule="auto"/>
    </w:pPr>
  </w:style>
  <w:style w:type="character" w:styleId="MenoNoResolvida">
    <w:name w:val="Unresolved Mention"/>
    <w:basedOn w:val="Tipodeletrapredefinidodopargrafo"/>
    <w:uiPriority w:val="99"/>
    <w:semiHidden/>
    <w:unhideWhenUsed/>
    <w:rsid w:val="00D14D4B"/>
    <w:rPr>
      <w:color w:val="605E5C"/>
      <w:shd w:val="clear" w:color="auto" w:fill="E1DFDD"/>
    </w:rPr>
  </w:style>
  <w:style w:type="character" w:styleId="Hiperligaovisitada">
    <w:name w:val="FollowedHyperlink"/>
    <w:basedOn w:val="Tipodeletrapredefinidodopargrafo"/>
    <w:uiPriority w:val="99"/>
    <w:semiHidden/>
    <w:unhideWhenUsed/>
    <w:rsid w:val="00456A1E"/>
    <w:rPr>
      <w:color w:val="954F72" w:themeColor="followedHyperlink"/>
      <w:u w:val="single"/>
    </w:rPr>
  </w:style>
  <w:style w:type="paragraph" w:styleId="PargrafodaLista">
    <w:name w:val="List Paragraph"/>
    <w:basedOn w:val="Normal"/>
    <w:qFormat/>
    <w:rsid w:val="00B76938"/>
    <w:pPr>
      <w:ind w:left="720"/>
      <w:contextualSpacing/>
    </w:pPr>
  </w:style>
  <w:style w:type="paragraph" w:styleId="Ttulo">
    <w:name w:val="Title"/>
    <w:link w:val="TtuloCarter"/>
    <w:uiPriority w:val="10"/>
    <w:qFormat/>
    <w:rsid w:val="00BA6417"/>
    <w:pPr>
      <w:spacing w:after="0" w:line="240" w:lineRule="auto"/>
    </w:pPr>
    <w:rPr>
      <w:rFonts w:ascii="Times New Roman" w:eastAsia="Times New Roman" w:hAnsi="Times New Roman" w:cs="Times New Roman"/>
      <w:kern w:val="0"/>
      <w:sz w:val="56"/>
      <w:szCs w:val="56"/>
      <w:lang w:eastAsia="pt-PT"/>
      <w14:ligatures w14:val="none"/>
    </w:rPr>
  </w:style>
  <w:style w:type="character" w:customStyle="1" w:styleId="TtuloCarter">
    <w:name w:val="Título Caráter"/>
    <w:basedOn w:val="Tipodeletrapredefinidodopargrafo"/>
    <w:link w:val="Ttulo"/>
    <w:uiPriority w:val="10"/>
    <w:rsid w:val="00BA6417"/>
    <w:rPr>
      <w:rFonts w:ascii="Times New Roman" w:eastAsia="Times New Roman" w:hAnsi="Times New Roman" w:cs="Times New Roman"/>
      <w:kern w:val="0"/>
      <w:sz w:val="56"/>
      <w:szCs w:val="56"/>
      <w:lang w:eastAsia="pt-PT"/>
      <w14:ligatures w14:val="none"/>
    </w:rPr>
  </w:style>
  <w:style w:type="character" w:styleId="Refdecomentrio">
    <w:name w:val="annotation reference"/>
    <w:basedOn w:val="Tipodeletrapredefinidodopargrafo"/>
    <w:uiPriority w:val="99"/>
    <w:semiHidden/>
    <w:unhideWhenUsed/>
    <w:rsid w:val="0085040B"/>
    <w:rPr>
      <w:sz w:val="16"/>
      <w:szCs w:val="16"/>
    </w:rPr>
  </w:style>
  <w:style w:type="paragraph" w:styleId="Textodecomentrio">
    <w:name w:val="annotation text"/>
    <w:basedOn w:val="Normal"/>
    <w:link w:val="TextodecomentrioCarter"/>
    <w:uiPriority w:val="99"/>
    <w:unhideWhenUsed/>
    <w:rsid w:val="0085040B"/>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85040B"/>
    <w:rPr>
      <w:sz w:val="20"/>
      <w:szCs w:val="20"/>
    </w:rPr>
  </w:style>
  <w:style w:type="character" w:customStyle="1" w:styleId="Ttulo1Carter">
    <w:name w:val="Título 1 Caráter"/>
    <w:basedOn w:val="Tipodeletrapredefinidodopargrafo"/>
    <w:link w:val="Ttulo1"/>
    <w:uiPriority w:val="9"/>
    <w:rsid w:val="006230AA"/>
    <w:rPr>
      <w:rFonts w:ascii="Times New Roman" w:eastAsia="Times New Roman" w:hAnsi="Times New Roman" w:cs="Times New Roman"/>
      <w:b/>
      <w:bCs/>
      <w:kern w:val="36"/>
      <w:sz w:val="48"/>
      <w:szCs w:val="48"/>
      <w:lang w:val="en-US"/>
      <w14:ligatures w14:val="none"/>
    </w:rPr>
  </w:style>
  <w:style w:type="character" w:customStyle="1" w:styleId="Ttulo2Carter">
    <w:name w:val="Título 2 Caráter"/>
    <w:basedOn w:val="Tipodeletrapredefinidodopargrafo"/>
    <w:link w:val="Ttulo2"/>
    <w:uiPriority w:val="9"/>
    <w:rsid w:val="006230AA"/>
    <w:rPr>
      <w:rFonts w:ascii="Times New Roman" w:eastAsia="Times New Roman" w:hAnsi="Times New Roman" w:cs="Times New Roman"/>
      <w:b/>
      <w:bCs/>
      <w:kern w:val="0"/>
      <w:sz w:val="36"/>
      <w:szCs w:val="36"/>
      <w:lang w:val="en-US"/>
      <w14:ligatures w14:val="none"/>
    </w:rPr>
  </w:style>
  <w:style w:type="paragraph" w:customStyle="1" w:styleId="isselectedend">
    <w:name w:val="isselectedend"/>
    <w:basedOn w:val="Normal"/>
    <w:uiPriority w:val="99"/>
    <w:rsid w:val="006230A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rte">
    <w:name w:val="Strong"/>
    <w:basedOn w:val="Tipodeletrapredefinidodopargrafo"/>
    <w:uiPriority w:val="22"/>
    <w:qFormat/>
    <w:rsid w:val="006230AA"/>
    <w:rPr>
      <w:b/>
      <w:bCs/>
    </w:rPr>
  </w:style>
  <w:style w:type="character" w:styleId="nfase">
    <w:name w:val="Emphasis"/>
    <w:basedOn w:val="Tipodeletrapredefinidodopargrafo"/>
    <w:uiPriority w:val="20"/>
    <w:qFormat/>
    <w:rsid w:val="006230AA"/>
    <w:rPr>
      <w:i/>
      <w:iCs/>
    </w:rPr>
  </w:style>
  <w:style w:type="character" w:customStyle="1" w:styleId="text-token-text-primary">
    <w:name w:val="text-token-text-primary"/>
    <w:basedOn w:val="Tipodeletrapredefinidodopargrafo"/>
    <w:rsid w:val="006230AA"/>
  </w:style>
  <w:style w:type="paragraph" w:styleId="NormalWeb">
    <w:name w:val="Normal (Web)"/>
    <w:basedOn w:val="Normal"/>
    <w:uiPriority w:val="99"/>
    <w:unhideWhenUsed/>
    <w:rsid w:val="006230A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Ttulo3Carter">
    <w:name w:val="Título 3 Caráter"/>
    <w:basedOn w:val="Tipodeletrapredefinidodopargrafo"/>
    <w:link w:val="Ttulo3"/>
    <w:uiPriority w:val="9"/>
    <w:semiHidden/>
    <w:rsid w:val="006F1710"/>
    <w:rPr>
      <w:rFonts w:asciiTheme="majorHAnsi" w:eastAsiaTheme="majorEastAsia" w:hAnsiTheme="majorHAnsi" w:cstheme="majorBidi"/>
      <w:color w:val="1F3763" w:themeColor="accent1" w:themeShade="7F"/>
      <w:sz w:val="24"/>
      <w:szCs w:val="24"/>
    </w:rPr>
  </w:style>
  <w:style w:type="paragraph" w:customStyle="1" w:styleId="PRHeading">
    <w:name w:val="PR Heading"/>
    <w:rsid w:val="002B750C"/>
    <w:pPr>
      <w:keepNext/>
      <w:spacing w:before="280" w:after="140" w:line="276" w:lineRule="auto"/>
    </w:pPr>
    <w:rPr>
      <w:rFonts w:ascii="Aptos" w:eastAsiaTheme="minorEastAsia" w:hAnsi="Aptos"/>
      <w:b/>
      <w:color w:val="124160"/>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786404">
      <w:bodyDiv w:val="1"/>
      <w:marLeft w:val="0"/>
      <w:marRight w:val="0"/>
      <w:marTop w:val="0"/>
      <w:marBottom w:val="0"/>
      <w:divBdr>
        <w:top w:val="none" w:sz="0" w:space="0" w:color="auto"/>
        <w:left w:val="none" w:sz="0" w:space="0" w:color="auto"/>
        <w:bottom w:val="none" w:sz="0" w:space="0" w:color="auto"/>
        <w:right w:val="none" w:sz="0" w:space="0" w:color="auto"/>
      </w:divBdr>
      <w:divsChild>
        <w:div w:id="216862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3256182">
      <w:bodyDiv w:val="1"/>
      <w:marLeft w:val="0"/>
      <w:marRight w:val="0"/>
      <w:marTop w:val="0"/>
      <w:marBottom w:val="0"/>
      <w:divBdr>
        <w:top w:val="none" w:sz="0" w:space="0" w:color="auto"/>
        <w:left w:val="none" w:sz="0" w:space="0" w:color="auto"/>
        <w:bottom w:val="none" w:sz="0" w:space="0" w:color="auto"/>
        <w:right w:val="none" w:sz="0" w:space="0" w:color="auto"/>
      </w:divBdr>
    </w:div>
    <w:div w:id="761293019">
      <w:bodyDiv w:val="1"/>
      <w:marLeft w:val="0"/>
      <w:marRight w:val="0"/>
      <w:marTop w:val="0"/>
      <w:marBottom w:val="0"/>
      <w:divBdr>
        <w:top w:val="none" w:sz="0" w:space="0" w:color="auto"/>
        <w:left w:val="none" w:sz="0" w:space="0" w:color="auto"/>
        <w:bottom w:val="none" w:sz="0" w:space="0" w:color="auto"/>
        <w:right w:val="none" w:sz="0" w:space="0" w:color="auto"/>
      </w:divBdr>
    </w:div>
    <w:div w:id="970861883">
      <w:bodyDiv w:val="1"/>
      <w:marLeft w:val="0"/>
      <w:marRight w:val="0"/>
      <w:marTop w:val="0"/>
      <w:marBottom w:val="0"/>
      <w:divBdr>
        <w:top w:val="none" w:sz="0" w:space="0" w:color="auto"/>
        <w:left w:val="none" w:sz="0" w:space="0" w:color="auto"/>
        <w:bottom w:val="none" w:sz="0" w:space="0" w:color="auto"/>
        <w:right w:val="none" w:sz="0" w:space="0" w:color="auto"/>
      </w:divBdr>
    </w:div>
    <w:div w:id="1074359035">
      <w:bodyDiv w:val="1"/>
      <w:marLeft w:val="0"/>
      <w:marRight w:val="0"/>
      <w:marTop w:val="0"/>
      <w:marBottom w:val="0"/>
      <w:divBdr>
        <w:top w:val="none" w:sz="0" w:space="0" w:color="auto"/>
        <w:left w:val="none" w:sz="0" w:space="0" w:color="auto"/>
        <w:bottom w:val="none" w:sz="0" w:space="0" w:color="auto"/>
        <w:right w:val="none" w:sz="0" w:space="0" w:color="auto"/>
      </w:divBdr>
    </w:div>
    <w:div w:id="1303459456">
      <w:bodyDiv w:val="1"/>
      <w:marLeft w:val="0"/>
      <w:marRight w:val="0"/>
      <w:marTop w:val="0"/>
      <w:marBottom w:val="0"/>
      <w:divBdr>
        <w:top w:val="none" w:sz="0" w:space="0" w:color="auto"/>
        <w:left w:val="none" w:sz="0" w:space="0" w:color="auto"/>
        <w:bottom w:val="none" w:sz="0" w:space="0" w:color="auto"/>
        <w:right w:val="none" w:sz="0" w:space="0" w:color="auto"/>
      </w:divBdr>
    </w:div>
    <w:div w:id="1434133963">
      <w:bodyDiv w:val="1"/>
      <w:marLeft w:val="0"/>
      <w:marRight w:val="0"/>
      <w:marTop w:val="0"/>
      <w:marBottom w:val="0"/>
      <w:divBdr>
        <w:top w:val="none" w:sz="0" w:space="0" w:color="auto"/>
        <w:left w:val="none" w:sz="0" w:space="0" w:color="auto"/>
        <w:bottom w:val="none" w:sz="0" w:space="0" w:color="auto"/>
        <w:right w:val="none" w:sz="0" w:space="0" w:color="auto"/>
      </w:divBdr>
    </w:div>
    <w:div w:id="1436746521">
      <w:bodyDiv w:val="1"/>
      <w:marLeft w:val="0"/>
      <w:marRight w:val="0"/>
      <w:marTop w:val="0"/>
      <w:marBottom w:val="0"/>
      <w:divBdr>
        <w:top w:val="none" w:sz="0" w:space="0" w:color="auto"/>
        <w:left w:val="none" w:sz="0" w:space="0" w:color="auto"/>
        <w:bottom w:val="none" w:sz="0" w:space="0" w:color="auto"/>
        <w:right w:val="none" w:sz="0" w:space="0" w:color="auto"/>
      </w:divBdr>
    </w:div>
    <w:div w:id="1627419963">
      <w:bodyDiv w:val="1"/>
      <w:marLeft w:val="0"/>
      <w:marRight w:val="0"/>
      <w:marTop w:val="0"/>
      <w:marBottom w:val="0"/>
      <w:divBdr>
        <w:top w:val="none" w:sz="0" w:space="0" w:color="auto"/>
        <w:left w:val="none" w:sz="0" w:space="0" w:color="auto"/>
        <w:bottom w:val="none" w:sz="0" w:space="0" w:color="auto"/>
        <w:right w:val="none" w:sz="0" w:space="0" w:color="auto"/>
      </w:divBdr>
    </w:div>
    <w:div w:id="1693846054">
      <w:bodyDiv w:val="1"/>
      <w:marLeft w:val="0"/>
      <w:marRight w:val="0"/>
      <w:marTop w:val="0"/>
      <w:marBottom w:val="0"/>
      <w:divBdr>
        <w:top w:val="none" w:sz="0" w:space="0" w:color="auto"/>
        <w:left w:val="none" w:sz="0" w:space="0" w:color="auto"/>
        <w:bottom w:val="none" w:sz="0" w:space="0" w:color="auto"/>
        <w:right w:val="none" w:sz="0" w:space="0" w:color="auto"/>
      </w:divBdr>
      <w:divsChild>
        <w:div w:id="727580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24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ena.layme@iseg.ulisboa.p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ta.santiago@lift.com.p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seg.ulisboa.p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b5612f-4e82-4a6c-ba89-747654d9d927">
      <Terms xmlns="http://schemas.microsoft.com/office/infopath/2007/PartnerControls"/>
    </lcf76f155ced4ddcb4097134ff3c332f>
    <TaxCatchAll xmlns="d96c4649-2c0b-422b-b9e4-d7d2a4de83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60AC98F6E446C4A94D47ABDBA219DE5" ma:contentTypeVersion="14" ma:contentTypeDescription="Criar um novo documento." ma:contentTypeScope="" ma:versionID="181357f7251270d4dcead95575710c52">
  <xsd:schema xmlns:xsd="http://www.w3.org/2001/XMLSchema" xmlns:xs="http://www.w3.org/2001/XMLSchema" xmlns:p="http://schemas.microsoft.com/office/2006/metadata/properties" xmlns:ns2="3db5612f-4e82-4a6c-ba89-747654d9d927" xmlns:ns3="d96c4649-2c0b-422b-b9e4-d7d2a4de83cd" targetNamespace="http://schemas.microsoft.com/office/2006/metadata/properties" ma:root="true" ma:fieldsID="cff2c6c42dba74d34a92bc16aff625e5" ns2:_="" ns3:_="">
    <xsd:import namespace="3db5612f-4e82-4a6c-ba89-747654d9d927"/>
    <xsd:import namespace="d96c4649-2c0b-422b-b9e4-d7d2a4de83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5612f-4e82-4a6c-ba89-747654d9d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m" ma:readOnly="false" ma:fieldId="{5cf76f15-5ced-4ddc-b409-7134ff3c332f}" ma:taxonomyMulti="true" ma:sspId="a48f9566-069b-479b-843d-4f6c74a4a3f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6c4649-2c0b-422b-b9e4-d7d2a4de83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7da76f-17ad-4c10-8c09-277afab80954}" ma:internalName="TaxCatchAll" ma:showField="CatchAllData" ma:web="d96c4649-2c0b-422b-b9e4-d7d2a4de83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867D82-A8B9-46D9-A0F6-A864E844CB59}">
  <ds:schemaRefs>
    <ds:schemaRef ds:uri="http://schemas.microsoft.com/office/2006/metadata/properties"/>
    <ds:schemaRef ds:uri="http://schemas.microsoft.com/office/infopath/2007/PartnerControls"/>
    <ds:schemaRef ds:uri="3db5612f-4e82-4a6c-ba89-747654d9d927"/>
    <ds:schemaRef ds:uri="d96c4649-2c0b-422b-b9e4-d7d2a4de83cd"/>
  </ds:schemaRefs>
</ds:datastoreItem>
</file>

<file path=customXml/itemProps2.xml><?xml version="1.0" encoding="utf-8"?>
<ds:datastoreItem xmlns:ds="http://schemas.openxmlformats.org/officeDocument/2006/customXml" ds:itemID="{5670C39C-DE37-482B-87FD-7CF0AB3D8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5612f-4e82-4a6c-ba89-747654d9d927"/>
    <ds:schemaRef ds:uri="d96c4649-2c0b-422b-b9e4-d7d2a4de83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C1017B-0C6F-46AF-B542-095AD79ED8F9}">
  <ds:schemaRefs>
    <ds:schemaRef ds:uri="http://schemas.openxmlformats.org/officeDocument/2006/bibliography"/>
  </ds:schemaRefs>
</ds:datastoreItem>
</file>

<file path=customXml/itemProps4.xml><?xml version="1.0" encoding="utf-8"?>
<ds:datastoreItem xmlns:ds="http://schemas.openxmlformats.org/officeDocument/2006/customXml" ds:itemID="{3D95CCE8-6731-408E-97B3-BF4FCA9C77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777</Words>
  <Characters>4536</Characters>
  <Application>Microsoft Office Word</Application>
  <DocSecurity>0</DocSecurity>
  <Lines>78</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Cardoso</dc:creator>
  <cp:keywords/>
  <dc:description/>
  <cp:lastModifiedBy>Rita Santiago</cp:lastModifiedBy>
  <cp:revision>56</cp:revision>
  <dcterms:created xsi:type="dcterms:W3CDTF">2026-10-23T12:40:00Z</dcterms:created>
  <dcterms:modified xsi:type="dcterms:W3CDTF">2026-10-30T19:17:00Z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0x010100660AC98F6E446C4A94D47ABDBA219DE5</vt:lpwstr>
  </property>
  <property fmtid="{D5CDD505-2E9C-101B-9397-08002B2CF9AE}" pid="3" name="MediaServiceImageTags">
    <vt:lpwstr/>
  </property>
  <property fmtid="{D5CDD505-2E9C-101B-9397-08002B2CF9AE}" pid="4" name="docLang">
    <vt:lpwstr>pt</vt:lpwstr>
  </property>
</Properties>
</file>