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b w:val="1"/>
          <w:bCs w:val="1"/>
          <w:color w:val="002060"/>
          <w:sz w:val="32"/>
          <w:szCs w:val="32"/>
          <w:rtl w:val="0"/>
        </w:rPr>
        <w:t xml:space="preserve">Renewed investment momentum in Nigeria's oil &amp; gas sector drives demand for heavy engineering and complex logistics</w:t>
      </w:r>
      <w:r w:rsidDel="00000000" w:rsidR="00000000" w:rsidRPr="00000000">
        <w:rPr>
          <w:rFonts w:ascii="Calibri" w:cs="Calibri" w:eastAsia="Calibri" w:hAnsi="Calibri"/>
          <w:b w:val="1"/>
          <w:bCs w:val="1"/>
          <w:sz w:val="32"/>
          <w:szCs w:val="32"/>
          <w:rtl w:val="0"/>
        </w:rPr>
        <w:t xml:space="preserve"> </w:t>
      </w:r>
      <w:r w:rsidDel="00000000" w:rsidR="00000000" w:rsidRPr="00000000">
        <w:rPr>
          <w:rtl w:val="0"/>
        </w:rPr>
      </w:r>
    </w:p>
    <w:p w:rsidR="00000000" w:rsidDel="00000000" w:rsidP="00000000" w:rsidRDefault="00000000" w:rsidRPr="00000000" w14:paraId="00000002">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The regulatory framework of the Petroleum Industry Act and new offshore licensing rounds drive key energy infrastructure projects with investment projections exceeding $30 billion.</w:t>
      </w:r>
    </w:p>
    <w:p w:rsidR="00000000" w:rsidDel="00000000" w:rsidP="00000000" w:rsidRDefault="00000000" w:rsidRPr="00000000" w14:paraId="00000003">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The NUPRC promotes the development of natural gas reserves estimated at 200 trillion cubic feet to accelerate energy self-sufficiency and export capacity in the region.</w:t>
      </w:r>
    </w:p>
    <w:p w:rsidR="00000000" w:rsidDel="00000000" w:rsidP="00000000" w:rsidRDefault="00000000" w:rsidRPr="00000000" w14:paraId="00000004">
      <w:pPr>
        <w:spacing w:after="240" w:before="240" w:lineRule="auto"/>
        <w:jc w:val="both"/>
        <w:rPr>
          <w:rFonts w:ascii="Calibri" w:cs="Calibri" w:eastAsia="Calibri" w:hAnsi="Calibri"/>
          <w:i w:val="1"/>
          <w:iCs w:val="1"/>
        </w:rPr>
      </w:pPr>
      <w:r w:rsidDel="00000000" w:rsidR="00000000" w:rsidRPr="00000000">
        <w:rPr>
          <w:rFonts w:ascii="Calibri" w:cs="Calibri" w:eastAsia="Calibri" w:hAnsi="Calibri"/>
          <w:i w:val="1"/>
          <w:iCs w:val="1"/>
          <w:color w:val="002060"/>
          <w:rtl w:val="0"/>
        </w:rPr>
        <w:t xml:space="preserve">Precision in heavy lifting engineering and modular transport is critical to positioning components exceeding thousands of tons in weight and meeting execution deadlines.</w:t>
      </w:r>
      <w:r w:rsidDel="00000000" w:rsidR="00000000" w:rsidRPr="00000000">
        <w:rPr>
          <w:rFonts w:ascii="Calibri" w:cs="Calibri" w:eastAsia="Calibri" w:hAnsi="Calibri"/>
          <w:i w:val="1"/>
          <w:iCs w:val="1"/>
          <w:rtl w:val="0"/>
        </w:rPr>
        <w:t xml:space="preserve"> </w:t>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Nigeria's energy sector is experiencing a notable revival of investments in upstream and downstream projects, positioning the country at the forefront of industrial transformations in West Africa. With official estimates pointing to capital attraction exceeding $30 billion in strategic crude oil and natural gas developments, the timely and proper execution of these hyperstructures has become a national priority. In this scenario, the availability of advanced heavy engineering solutions, oversized cargo transport, and technical capacity on the ground is consolidated as a critical success factor.</w:t>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momentum provided by the Nigerian Upstream Petroleum Regulatory Commission (NUPRC) and the tax incentives derived from the Petroleum Industry Act (PIA) are accelerating the construction and modernization of processing plants, liquefied natural gas (LNG) terminals, and refining complexes throughout the country. The scale of the components required for these developments, with equipment frequently exceeding thousands of tons in weight, demands rigorous logistical planning from port arrival to final positioning and installation on site.</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Buildwell, a benchmark in heavy lifting services and modular transport, supports this transformation through the deployment of cutting-edge technology and specialized equipment in the region, such as the 500-ton capacity XCA500L8_1 crane recently added to its commercial fleet in the area. The company brings its international expertise and local knowledge to solve operational challenges arising from the transport of ultra-heavy pieces across complex road networks, ensuring compliance with international safety and efficiency standards in the industrial supply chain at all times.</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Emile Abou Habib, Managing Director of Sarens Buildwell, “The magnitude of new hydrocarbon projects in Nigeria requires extraordinarily precise rigging engineering. The industry's commitment to increasing local processing capacity and optimizing gas infrastructure demands lifting and transport solutions capable of seamlessly integrating into highly demanding construction schedules. Our priority is to make available to the national market our fleet of heavy cranes and SPMT modular trailers necessary to bring these strategic developments to fruition.”</w:t>
      </w:r>
    </w:p>
    <w:p w:rsidR="00000000" w:rsidDel="00000000" w:rsidP="00000000" w:rsidRDefault="00000000" w:rsidRPr="00000000" w14:paraId="00000009">
      <w:pPr>
        <w:spacing w:after="240" w:before="240"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The modernization of the Nigerian energy grid not only seeks to meet domestic fuel and energy demand, but also to consolidate the country's position as a key exporter within the Decade of Gas initiative. As this investment cycle progresses, collaboration between project developers and heavy logistics specialists will continue to play an essential role in achieving the country's infrastructure goals.</w:t>
      </w:r>
      <w:r w:rsidDel="00000000" w:rsidR="00000000" w:rsidRPr="00000000">
        <w:rPr>
          <w:rtl w:val="0"/>
        </w:rPr>
      </w:r>
    </w:p>
    <w:p w:rsidR="00000000" w:rsidDel="00000000" w:rsidP="00000000" w:rsidRDefault="00000000" w:rsidRPr="00000000" w14:paraId="0000000A">
      <w:pPr>
        <w:spacing w:after="240" w:before="240"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possesses extensive experience executing strategic projects in Nigeria. The company actively collaborates on key developments such as the LNG project for BUA (transport and installation of components for a 700-ton-per-day gas plant in Ajaokuta), the ELPS pipeline system expansion project for LEE Engineering and NNPC, and recent Ro-Ro load out operation of a 300-ton jacket via barge using 40 axle lines SPMT.</w:t>
      </w:r>
    </w:p>
    <w:p w:rsidR="00000000" w:rsidDel="00000000" w:rsidP="00000000" w:rsidRDefault="00000000" w:rsidRPr="00000000" w14:paraId="0000000B">
      <w:pPr>
        <w:spacing w:after="240" w:before="240" w:line="276" w:lineRule="auto"/>
        <w:jc w:val="both"/>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About Sarens </w:t>
      </w:r>
    </w:p>
    <w:p w:rsidR="00000000" w:rsidDel="00000000" w:rsidP="00000000" w:rsidRDefault="00000000" w:rsidRPr="00000000" w14:paraId="0000000C">
      <w:pPr>
        <w:spacing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  </w:t>
      </w:r>
    </w:p>
    <w:p w:rsidR="00000000" w:rsidDel="00000000" w:rsidP="00000000" w:rsidRDefault="00000000" w:rsidRPr="00000000" w14:paraId="0000000D">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E">
      <w:pPr>
        <w:spacing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w:t>
      </w:r>
      <w:r w:rsidDel="00000000" w:rsidR="00000000" w:rsidRPr="00000000">
        <w:rPr>
          <w:rFonts w:ascii="Calibri" w:cs="Calibri" w:eastAsia="Calibri" w:hAnsi="Calibri"/>
          <w:color w:val="073763"/>
          <w:rtl w:val="0"/>
        </w:rPr>
        <w:t xml:space="preserve">.</w:t>
      </w:r>
      <w:r w:rsidDel="00000000" w:rsidR="00000000" w:rsidRPr="00000000">
        <w:rPr>
          <w:rFonts w:ascii="Calibri" w:cs="Calibri" w:eastAsia="Calibri" w:hAnsi="Calibri"/>
          <w:rtl w:val="0"/>
        </w:rPr>
        <w:t xml:space="preserve"> </w:t>
      </w:r>
      <w:hyperlink r:id="rId6">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240" w:before="24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-247649</wp:posOffset>
          </wp:positionV>
          <wp:extent cx="2237740" cy="43878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