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F9B2C" w14:textId="7F823D24" w:rsidR="0052225A" w:rsidRPr="003E2512" w:rsidRDefault="0052225A" w:rsidP="006A1D2B">
      <w:pPr>
        <w:spacing w:before="120" w:after="120" w:line="276" w:lineRule="auto"/>
        <w:jc w:val="both"/>
        <w:rPr>
          <w:rFonts w:ascii="Noto Sans" w:eastAsia="Times New Roman" w:hAnsi="Noto Sans" w:cs="Noto Sans"/>
        </w:rPr>
      </w:pPr>
      <w:r w:rsidRPr="003E2512">
        <w:rPr>
          <w:rFonts w:ascii="Noto Sans" w:eastAsia="Times New Roman" w:hAnsi="Noto Sans" w:cs="Noto Sans"/>
          <w:b/>
          <w:bCs/>
          <w:lang w:val="fr"/>
        </w:rPr>
        <w:t>L’industrie pharmaceutique possède le socle de données pour le passeport numérique des produits</w:t>
      </w:r>
    </w:p>
    <w:p w14:paraId="641C8689" w14:textId="61E18758" w:rsidR="00C43F21" w:rsidRPr="003E2512" w:rsidRDefault="0052225A" w:rsidP="003E2512">
      <w:pPr>
        <w:spacing w:line="360" w:lineRule="auto"/>
        <w:jc w:val="both"/>
        <w:rPr>
          <w:rFonts w:ascii="Noto Sans" w:hAnsi="Noto Sans" w:cs="Noto Sans"/>
          <w:i/>
          <w:iCs/>
          <w:sz w:val="20"/>
          <w:szCs w:val="20"/>
        </w:rPr>
      </w:pPr>
      <w:r w:rsidRPr="003E2512">
        <w:rPr>
          <w:rFonts w:ascii="Noto Sans" w:hAnsi="Noto Sans" w:cs="Noto Sans"/>
          <w:i/>
          <w:iCs/>
          <w:sz w:val="20"/>
          <w:szCs w:val="20"/>
          <w:lang w:val="fr"/>
        </w:rPr>
        <w:t xml:space="preserve">Dès 2027, plusieurs catégories de produits commercialisés dans l’UE devront être dotées d’un </w:t>
      </w:r>
      <w:r w:rsidRPr="003E2512">
        <w:rPr>
          <w:rFonts w:ascii="Noto Sans" w:hAnsi="Noto Sans" w:cs="Noto Sans"/>
          <w:sz w:val="20"/>
          <w:szCs w:val="20"/>
          <w:lang w:val="fr"/>
        </w:rPr>
        <w:t>Passeport numérique des produits (DPP)</w:t>
      </w:r>
      <w:r w:rsidRPr="003E2512">
        <w:rPr>
          <w:rFonts w:ascii="Noto Sans" w:hAnsi="Noto Sans" w:cs="Noto Sans"/>
          <w:i/>
          <w:iCs/>
          <w:sz w:val="20"/>
          <w:szCs w:val="20"/>
          <w:lang w:val="fr"/>
        </w:rPr>
        <w:t>, garantissant des données standardisées et accessibles afin de renforcer la transparence, promouvoir des pratiques durables et éclairer la prise de décision à chaque étape des chaînes de valeur. Bien que les entreprises pharmaceutiques fournissent déjà une grande partie de ces informations via le GS1 Datamatrix pour se conformer à la législation en vigueur, ce secteur n’est pas soumis aux exigences du DPP.</w:t>
      </w:r>
    </w:p>
    <w:p w14:paraId="0D3F1704" w14:textId="65B60ACF" w:rsidR="00BF01EB" w:rsidRPr="003E2512" w:rsidRDefault="006F08EE" w:rsidP="003E2512">
      <w:pPr>
        <w:spacing w:line="360" w:lineRule="auto"/>
        <w:jc w:val="both"/>
        <w:rPr>
          <w:rFonts w:ascii="Noto Sans" w:hAnsi="Noto Sans" w:cs="Noto Sans"/>
          <w:i/>
          <w:iCs/>
          <w:sz w:val="20"/>
          <w:szCs w:val="20"/>
        </w:rPr>
      </w:pPr>
      <w:r w:rsidRPr="003E2512">
        <w:rPr>
          <w:rFonts w:ascii="Noto Sans" w:hAnsi="Noto Sans" w:cs="Noto Sans"/>
          <w:i/>
          <w:iCs/>
          <w:sz w:val="20"/>
          <w:szCs w:val="20"/>
          <w:lang w:val="fr"/>
        </w:rPr>
        <w:t>Et pourtant, étendre les informations figurant sur les emballages pharmaceutiques actuels au-delà des exigences réglementaires existantes offre des avantages importants pour la sécurité des patients et le développement durable mondial. Si la publicité directe auprès des consommateurs reste interdite dans le secteur pharmaceutique européen des médicaments sur ordonnance, les codes 2D ouvrent néanmoins de nouvelles perspectives aux fabricants : mieux faire comprendre aux consommateurs les consignes de recyclage et d’élimination, leur donner accès aux notices électroniques d’information patient (</w:t>
      </w:r>
      <w:proofErr w:type="spellStart"/>
      <w:r w:rsidRPr="003E2512">
        <w:rPr>
          <w:rFonts w:ascii="Noto Sans" w:hAnsi="Noto Sans" w:cs="Noto Sans"/>
          <w:i/>
          <w:iCs/>
          <w:sz w:val="20"/>
          <w:szCs w:val="20"/>
          <w:lang w:val="fr"/>
        </w:rPr>
        <w:t>ePIL</w:t>
      </w:r>
      <w:proofErr w:type="spellEnd"/>
      <w:r w:rsidRPr="003E2512">
        <w:rPr>
          <w:rFonts w:ascii="Noto Sans" w:hAnsi="Noto Sans" w:cs="Noto Sans"/>
          <w:i/>
          <w:iCs/>
          <w:sz w:val="20"/>
          <w:szCs w:val="20"/>
          <w:lang w:val="fr"/>
        </w:rPr>
        <w:t xml:space="preserve">), ou encore garantir la transparence essentielle au bon fonctionnement des programmes de réutilisation des médicaments.  </w:t>
      </w:r>
    </w:p>
    <w:p w14:paraId="3BAF56E7" w14:textId="1A83C414" w:rsidR="009A3434" w:rsidRPr="003E2512" w:rsidRDefault="00250E7C" w:rsidP="003E2512">
      <w:pPr>
        <w:spacing w:line="360" w:lineRule="auto"/>
        <w:jc w:val="both"/>
        <w:rPr>
          <w:rFonts w:ascii="Noto Sans" w:hAnsi="Noto Sans" w:cs="Noto Sans"/>
          <w:i/>
          <w:iCs/>
          <w:sz w:val="20"/>
          <w:szCs w:val="20"/>
        </w:rPr>
      </w:pPr>
      <w:r w:rsidRPr="008149FB">
        <w:rPr>
          <w:rFonts w:ascii="Noto Sans" w:hAnsi="Noto Sans" w:cs="Noto Sans"/>
          <w:i/>
          <w:iCs/>
          <w:sz w:val="20"/>
          <w:szCs w:val="20"/>
          <w:lang w:val="fr"/>
        </w:rPr>
        <w:t xml:space="preserve">James Cutforth, Global Head of </w:t>
      </w:r>
      <w:proofErr w:type="spellStart"/>
      <w:r w:rsidRPr="008149FB">
        <w:rPr>
          <w:rFonts w:ascii="Noto Sans" w:hAnsi="Noto Sans" w:cs="Noto Sans"/>
          <w:i/>
          <w:iCs/>
          <w:sz w:val="20"/>
          <w:szCs w:val="20"/>
          <w:lang w:val="fr"/>
        </w:rPr>
        <w:t>Regulated</w:t>
      </w:r>
      <w:proofErr w:type="spellEnd"/>
      <w:r w:rsidRPr="008149FB">
        <w:rPr>
          <w:rFonts w:ascii="Noto Sans" w:hAnsi="Noto Sans" w:cs="Noto Sans"/>
          <w:i/>
          <w:iCs/>
          <w:sz w:val="20"/>
          <w:szCs w:val="20"/>
          <w:lang w:val="fr"/>
        </w:rPr>
        <w:t xml:space="preserve"> </w:t>
      </w:r>
      <w:proofErr w:type="spellStart"/>
      <w:r w:rsidRPr="008149FB">
        <w:rPr>
          <w:rFonts w:ascii="Noto Sans" w:hAnsi="Noto Sans" w:cs="Noto Sans"/>
          <w:i/>
          <w:iCs/>
          <w:sz w:val="20"/>
          <w:szCs w:val="20"/>
          <w:lang w:val="fr"/>
        </w:rPr>
        <w:t>Sectors</w:t>
      </w:r>
      <w:proofErr w:type="spellEnd"/>
      <w:r w:rsidRPr="008149FB">
        <w:rPr>
          <w:rFonts w:ascii="Noto Sans" w:hAnsi="Noto Sans" w:cs="Noto Sans"/>
          <w:i/>
          <w:iCs/>
          <w:sz w:val="20"/>
          <w:szCs w:val="20"/>
          <w:lang w:val="fr"/>
        </w:rPr>
        <w:t>, Domino Printing Sciences, explore la valeur d’un équivalent DPP pour l’industrie pharmaceutique.</w:t>
      </w:r>
    </w:p>
    <w:p w14:paraId="15C48F01" w14:textId="2D4B74A7" w:rsidR="00EA7A65" w:rsidRPr="003E2512" w:rsidRDefault="00EA7A65" w:rsidP="003E2512">
      <w:pPr>
        <w:spacing w:line="360" w:lineRule="auto"/>
        <w:jc w:val="both"/>
        <w:rPr>
          <w:rFonts w:ascii="Noto Sans" w:hAnsi="Noto Sans" w:cs="Noto Sans"/>
          <w:b/>
          <w:bCs/>
          <w:sz w:val="20"/>
          <w:szCs w:val="20"/>
        </w:rPr>
      </w:pPr>
      <w:r w:rsidRPr="003E2512">
        <w:rPr>
          <w:rFonts w:ascii="Noto Sans" w:hAnsi="Noto Sans" w:cs="Noto Sans"/>
          <w:b/>
          <w:bCs/>
          <w:sz w:val="20"/>
          <w:szCs w:val="20"/>
          <w:lang w:val="fr"/>
        </w:rPr>
        <w:t>Le passeport produit de l’industrie pharmaceutique</w:t>
      </w:r>
    </w:p>
    <w:p w14:paraId="10349304" w14:textId="24122E36" w:rsidR="009738A9" w:rsidRPr="003E2512" w:rsidRDefault="0052225A" w:rsidP="003E2512">
      <w:pPr>
        <w:spacing w:line="360" w:lineRule="auto"/>
        <w:jc w:val="both"/>
        <w:rPr>
          <w:rFonts w:ascii="Noto Sans" w:hAnsi="Noto Sans" w:cs="Noto Sans"/>
          <w:sz w:val="20"/>
          <w:szCs w:val="20"/>
        </w:rPr>
      </w:pPr>
      <w:r w:rsidRPr="003E2512">
        <w:rPr>
          <w:rFonts w:ascii="Noto Sans" w:hAnsi="Noto Sans" w:cs="Noto Sans"/>
          <w:sz w:val="20"/>
          <w:szCs w:val="20"/>
          <w:lang w:val="fr"/>
        </w:rPr>
        <w:t xml:space="preserve">En 2024, le </w:t>
      </w:r>
      <w:hyperlink r:id="rId7" w:tgtFrame="_blank" w:history="1">
        <w:r w:rsidRPr="003E2512">
          <w:rPr>
            <w:rStyle w:val="Hyperlink"/>
            <w:rFonts w:ascii="Noto Sans" w:hAnsi="Noto Sans" w:cs="Noto Sans"/>
            <w:sz w:val="20"/>
            <w:szCs w:val="20"/>
            <w:lang w:val="fr"/>
          </w:rPr>
          <w:t>Règlement sur l’écoconception pour des produits durables</w:t>
        </w:r>
      </w:hyperlink>
      <w:r w:rsidRPr="003E2512">
        <w:rPr>
          <w:rFonts w:ascii="Noto Sans" w:hAnsi="Noto Sans" w:cs="Noto Sans"/>
          <w:sz w:val="20"/>
          <w:szCs w:val="20"/>
          <w:lang w:val="fr"/>
        </w:rPr>
        <w:t xml:space="preserve"> est entré en vigueur, introduisant le </w:t>
      </w:r>
      <w:hyperlink r:id="rId8" w:history="1">
        <w:r w:rsidRPr="003E2512">
          <w:rPr>
            <w:rStyle w:val="Hyperlink"/>
            <w:rFonts w:ascii="Noto Sans" w:hAnsi="Noto Sans" w:cs="Noto Sans"/>
            <w:sz w:val="20"/>
            <w:szCs w:val="20"/>
            <w:lang w:val="fr"/>
          </w:rPr>
          <w:t>Passeport numérique des produits (DPP)</w:t>
        </w:r>
      </w:hyperlink>
      <w:r w:rsidRPr="003E2512">
        <w:rPr>
          <w:rFonts w:ascii="Noto Sans" w:hAnsi="Noto Sans" w:cs="Noto Sans"/>
          <w:sz w:val="20"/>
          <w:szCs w:val="20"/>
          <w:lang w:val="fr"/>
        </w:rPr>
        <w:t xml:space="preserve"> pour </w:t>
      </w:r>
      <w:hyperlink r:id="rId9" w:tgtFrame="_blank" w:history="1">
        <w:r w:rsidRPr="003E2512">
          <w:rPr>
            <w:rStyle w:val="Hyperlink"/>
            <w:rFonts w:ascii="Noto Sans" w:hAnsi="Noto Sans" w:cs="Noto Sans"/>
            <w:sz w:val="20"/>
            <w:szCs w:val="20"/>
            <w:lang w:val="fr"/>
          </w:rPr>
          <w:t>certains groupes de produits</w:t>
        </w:r>
      </w:hyperlink>
      <w:r w:rsidRPr="003E2512">
        <w:rPr>
          <w:rFonts w:ascii="Noto Sans" w:hAnsi="Noto Sans" w:cs="Noto Sans"/>
          <w:sz w:val="20"/>
          <w:szCs w:val="20"/>
          <w:lang w:val="fr"/>
        </w:rPr>
        <w:t xml:space="preserve"> afin de renforcer la transparence. L’industrie pharmaceutique est dispensée de l’obligation de fournir des informations exhaustives sur l’origine, les matériaux, l’impact environnemental et les recommandations d’élimination de chaque produit, notamment parce qu’elle est déjà soumise à des exigences réglementaires strictes en matière de transparence et de traçabilité. Les fabricants commercialisant leurs produits dans l’UE et aux États-Unis utilisent déjà des codes 2D </w:t>
      </w:r>
      <w:proofErr w:type="spellStart"/>
      <w:r w:rsidRPr="003E2512">
        <w:rPr>
          <w:rFonts w:ascii="Noto Sans" w:hAnsi="Noto Sans" w:cs="Noto Sans"/>
          <w:sz w:val="20"/>
          <w:szCs w:val="20"/>
          <w:lang w:val="fr"/>
        </w:rPr>
        <w:t>datamatrix</w:t>
      </w:r>
      <w:proofErr w:type="spellEnd"/>
      <w:r w:rsidRPr="003E2512">
        <w:rPr>
          <w:rFonts w:ascii="Noto Sans" w:hAnsi="Noto Sans" w:cs="Noto Sans"/>
          <w:sz w:val="20"/>
          <w:szCs w:val="20"/>
          <w:lang w:val="fr"/>
        </w:rPr>
        <w:t xml:space="preserve"> pour répondre aux exigences de sérialisation et de traçabilité de la directive européenne sur les médicaments falsifiés (FMD) et de la loi américaine Drug Supply Chain Security </w:t>
      </w:r>
      <w:proofErr w:type="spellStart"/>
      <w:r w:rsidRPr="003E2512">
        <w:rPr>
          <w:rFonts w:ascii="Noto Sans" w:hAnsi="Noto Sans" w:cs="Noto Sans"/>
          <w:sz w:val="20"/>
          <w:szCs w:val="20"/>
          <w:lang w:val="fr"/>
        </w:rPr>
        <w:t>Act</w:t>
      </w:r>
      <w:proofErr w:type="spellEnd"/>
      <w:r w:rsidRPr="003E2512">
        <w:rPr>
          <w:rFonts w:ascii="Noto Sans" w:hAnsi="Noto Sans" w:cs="Noto Sans"/>
          <w:sz w:val="20"/>
          <w:szCs w:val="20"/>
          <w:lang w:val="fr"/>
        </w:rPr>
        <w:t xml:space="preserve"> (DSCSA). </w:t>
      </w:r>
    </w:p>
    <w:p w14:paraId="6A52EE5F" w14:textId="7145D1DE" w:rsidR="00B872F5" w:rsidRPr="003E2512" w:rsidRDefault="00B93CF6" w:rsidP="003E2512">
      <w:pPr>
        <w:spacing w:line="360" w:lineRule="auto"/>
        <w:jc w:val="both"/>
        <w:rPr>
          <w:rFonts w:ascii="Noto Sans" w:hAnsi="Noto Sans" w:cs="Noto Sans"/>
          <w:sz w:val="20"/>
          <w:szCs w:val="20"/>
        </w:rPr>
      </w:pPr>
      <w:r w:rsidRPr="003E2512">
        <w:rPr>
          <w:rFonts w:ascii="Noto Sans" w:hAnsi="Noto Sans" w:cs="Noto Sans"/>
          <w:sz w:val="20"/>
          <w:szCs w:val="20"/>
          <w:lang w:val="fr"/>
        </w:rPr>
        <w:t xml:space="preserve">Si les produits pharmaceutiques intègrent déjà bon nombre des informations contenues dans un DPP, des écarts significatifs subsistent néanmoins. Dans l’industrie pharmaceutique, les informations sur les produits s’adressent aux régulateurs plutôt qu’aux patients. Les médicaments étant prescrits et non choisis en rayon, les consommateurs n’ont pas besoin </w:t>
      </w:r>
      <w:proofErr w:type="gramStart"/>
      <w:r w:rsidRPr="003E2512">
        <w:rPr>
          <w:rFonts w:ascii="Noto Sans" w:hAnsi="Noto Sans" w:cs="Noto Sans"/>
          <w:sz w:val="20"/>
          <w:szCs w:val="20"/>
          <w:lang w:val="fr"/>
        </w:rPr>
        <w:lastRenderedPageBreak/>
        <w:t>d’informations</w:t>
      </w:r>
      <w:proofErr w:type="gramEnd"/>
      <w:r w:rsidRPr="003E2512">
        <w:rPr>
          <w:rFonts w:ascii="Noto Sans" w:hAnsi="Noto Sans" w:cs="Noto Sans"/>
          <w:sz w:val="20"/>
          <w:szCs w:val="20"/>
          <w:lang w:val="fr"/>
        </w:rPr>
        <w:t xml:space="preserve"> comparatives sur les produits. Et, bien entendu, contrairement aux autres groupes de produits pour lesquels le DPP doit fournir des informations de recyclage, de nombreux produits pharmaceutiques ne peuvent pas être recyclés dans les installations publiques standard, qu’il s’agisse de la collecte à domicile ou des centres locaux.</w:t>
      </w:r>
    </w:p>
    <w:p w14:paraId="4F8EC26B" w14:textId="6B12EAF2" w:rsidR="00330F89" w:rsidRPr="003E2512" w:rsidRDefault="00E91190" w:rsidP="003E2512">
      <w:pPr>
        <w:spacing w:line="360" w:lineRule="auto"/>
        <w:jc w:val="both"/>
        <w:rPr>
          <w:rFonts w:ascii="Noto Sans" w:hAnsi="Noto Sans" w:cs="Noto Sans"/>
          <w:sz w:val="20"/>
          <w:szCs w:val="20"/>
        </w:rPr>
      </w:pPr>
      <w:r w:rsidRPr="003E2512">
        <w:rPr>
          <w:rFonts w:ascii="Noto Sans" w:hAnsi="Noto Sans" w:cs="Noto Sans"/>
          <w:sz w:val="20"/>
          <w:szCs w:val="20"/>
          <w:lang w:val="fr"/>
        </w:rPr>
        <w:t xml:space="preserve">Au-delà des exigences réglementaires, plusieurs raisons convaincantes incitent les fabricants pharmaceutiques à envisager l’intérêt de s’appuyer sur le GS1 Datamatrix existant pour adopter un code de type DPP. En effet, le GS1 Datamatrix figurant sur les emballages pharmaceutiques n’étant pas créé conformément à la norme GS1 Digital Link, les codes 2D ne peuvent pas être scannés automatiquement par les smartphones afin d’établir une communication avec le consommateur. C’est pourquoi une récente collaboration entre </w:t>
      </w:r>
      <w:hyperlink r:id="rId10" w:history="1"/>
      <w:r w:rsidRPr="003E2512">
        <w:rPr>
          <w:rFonts w:ascii="Noto Sans" w:hAnsi="Noto Sans" w:cs="Noto Sans"/>
          <w:sz w:val="20"/>
          <w:szCs w:val="20"/>
          <w:u w:val="single"/>
          <w:lang w:val="fr"/>
        </w:rPr>
        <w:t>GS1 et Google</w:t>
      </w:r>
      <w:r w:rsidRPr="003E2512">
        <w:rPr>
          <w:rFonts w:ascii="Noto Sans" w:hAnsi="Noto Sans" w:cs="Noto Sans"/>
          <w:sz w:val="20"/>
          <w:szCs w:val="20"/>
          <w:lang w:val="fr"/>
        </w:rPr>
        <w:t xml:space="preserve"> cherche à permettre aux consommateurs de scanner directement les emballages de médicaments grâce à Google Lens. GS1 poursuit sa collaboration avec les fabricants pour étendre la portée du secteur pharmaceutique jusqu’au consommateur final, posant ainsi les bases d’une communication élargie visant à mieux informer les consommateurs.</w:t>
      </w:r>
    </w:p>
    <w:p w14:paraId="7F4C0E5C" w14:textId="204E5659" w:rsidR="00F256D3" w:rsidRPr="003E2512" w:rsidRDefault="00F256D3" w:rsidP="003E2512">
      <w:pPr>
        <w:spacing w:line="360" w:lineRule="auto"/>
        <w:jc w:val="both"/>
        <w:rPr>
          <w:rFonts w:ascii="Noto Sans" w:hAnsi="Noto Sans" w:cs="Noto Sans"/>
          <w:b/>
          <w:bCs/>
          <w:sz w:val="20"/>
          <w:szCs w:val="20"/>
        </w:rPr>
      </w:pPr>
      <w:r w:rsidRPr="003E2512">
        <w:rPr>
          <w:rFonts w:ascii="Noto Sans" w:hAnsi="Noto Sans" w:cs="Noto Sans"/>
          <w:b/>
          <w:bCs/>
          <w:sz w:val="20"/>
          <w:szCs w:val="20"/>
          <w:lang w:val="fr"/>
        </w:rPr>
        <w:t xml:space="preserve">Transformer l’élimination et le recyclage des produits pharmaceutiques </w:t>
      </w:r>
    </w:p>
    <w:p w14:paraId="31BDC2DC" w14:textId="0562D8B2" w:rsidR="00EE5839" w:rsidRPr="003E2512" w:rsidRDefault="00B71C94" w:rsidP="003E2512">
      <w:pPr>
        <w:spacing w:before="120" w:after="120"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t xml:space="preserve">L’industrie a une réelle opportunité de jouer un rôle clé dans la réduction du gaspillage de produits pharmaceutiques. Selon l’Organisation mondiale de la Santé (OMS), </w:t>
      </w:r>
      <w:hyperlink r:id="rId11" w:history="1">
        <w:r w:rsidRPr="003E2512">
          <w:rPr>
            <w:rStyle w:val="Hyperlink"/>
            <w:rFonts w:ascii="Noto Sans" w:eastAsia="Times New Roman" w:hAnsi="Noto Sans" w:cs="Noto Sans"/>
            <w:sz w:val="20"/>
            <w:szCs w:val="20"/>
            <w:lang w:val="fr"/>
          </w:rPr>
          <w:t>85 % des déchets</w:t>
        </w:r>
      </w:hyperlink>
      <w:r w:rsidRPr="003E2512">
        <w:rPr>
          <w:rFonts w:ascii="Noto Sans" w:eastAsia="Times New Roman" w:hAnsi="Noto Sans" w:cs="Noto Sans"/>
          <w:sz w:val="20"/>
          <w:szCs w:val="20"/>
          <w:lang w:val="fr"/>
        </w:rPr>
        <w:t xml:space="preserve"> produits par les activités de soins de santé sont des déchets généraux non dangereux, et pourtant une large part finit toujours en décharge. L’équilibre entre recyclabilité et protection des médicaments est un véritable défi ; pourtant, avec près de </w:t>
      </w:r>
      <w:hyperlink r:id="rId12" w:history="1">
        <w:r w:rsidRPr="003E2512">
          <w:rPr>
            <w:rStyle w:val="Hyperlink"/>
            <w:rFonts w:ascii="Noto Sans" w:eastAsia="Times New Roman" w:hAnsi="Noto Sans" w:cs="Noto Sans"/>
            <w:sz w:val="20"/>
            <w:szCs w:val="20"/>
            <w:lang w:val="fr"/>
          </w:rPr>
          <w:t>150 millions de plaquettes thermoformées</w:t>
        </w:r>
      </w:hyperlink>
      <w:r w:rsidRPr="003E2512">
        <w:rPr>
          <w:rFonts w:ascii="Noto Sans" w:eastAsia="Times New Roman" w:hAnsi="Noto Sans" w:cs="Noto Sans"/>
          <w:sz w:val="20"/>
          <w:szCs w:val="20"/>
          <w:lang w:val="fr"/>
        </w:rPr>
        <w:t xml:space="preserve"> utilisées chaque année par le seul NHS au Royaume-Uni, l’impact environnemental suscite de réelles inquiétudes.</w:t>
      </w:r>
    </w:p>
    <w:p w14:paraId="0AB7A9B7" w14:textId="111F3F93" w:rsidR="001220CA" w:rsidRPr="003E2512" w:rsidRDefault="008055BE" w:rsidP="003E2512">
      <w:pPr>
        <w:spacing w:before="120" w:after="120"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t xml:space="preserve">Il est d’autant plus essentiel de traiter la question de l’élimination sécurisée d’énormes quantités de médicaments non utilisés. La consommation pharmaceutique continue d’augmenter </w:t>
      </w:r>
      <w:hyperlink r:id="rId13" w:history="1">
        <w:r w:rsidRPr="003E2512">
          <w:rPr>
            <w:rStyle w:val="Hyperlink"/>
            <w:rFonts w:ascii="Noto Sans" w:eastAsia="Times New Roman" w:hAnsi="Noto Sans" w:cs="Noto Sans"/>
            <w:sz w:val="20"/>
            <w:szCs w:val="20"/>
            <w:lang w:val="fr"/>
          </w:rPr>
          <w:t>d’une année sur l’autre</w:t>
        </w:r>
      </w:hyperlink>
      <w:r w:rsidRPr="003E2512">
        <w:rPr>
          <w:rFonts w:ascii="Noto Sans" w:eastAsia="Times New Roman" w:hAnsi="Noto Sans" w:cs="Noto Sans"/>
          <w:sz w:val="20"/>
          <w:szCs w:val="20"/>
          <w:lang w:val="fr"/>
        </w:rPr>
        <w:t xml:space="preserve">, malgré les efforts concertés de </w:t>
      </w:r>
      <w:hyperlink r:id="rId14" w:history="1">
        <w:r w:rsidRPr="003E2512">
          <w:rPr>
            <w:rStyle w:val="Hyperlink"/>
            <w:rFonts w:ascii="Noto Sans" w:eastAsia="Times New Roman" w:hAnsi="Noto Sans" w:cs="Noto Sans"/>
            <w:sz w:val="20"/>
            <w:szCs w:val="20"/>
            <w:lang w:val="fr"/>
          </w:rPr>
          <w:t>réduction de la surprescription</w:t>
        </w:r>
      </w:hyperlink>
      <w:r w:rsidRPr="003E2512">
        <w:rPr>
          <w:rFonts w:ascii="Noto Sans" w:eastAsia="Times New Roman" w:hAnsi="Noto Sans" w:cs="Noto Sans"/>
          <w:sz w:val="20"/>
          <w:szCs w:val="20"/>
          <w:lang w:val="fr"/>
        </w:rPr>
        <w:t xml:space="preserve">. Si la production et le transport superflus accentuent les émissions de CO2, c’est surtout la façon dont les particuliers se débarrassent de la part importante de médicaments sur ordonnance non utilisés après leur délivrance qui pose </w:t>
      </w:r>
      <w:proofErr w:type="gramStart"/>
      <w:r w:rsidRPr="003E2512">
        <w:rPr>
          <w:rFonts w:ascii="Noto Sans" w:eastAsia="Times New Roman" w:hAnsi="Noto Sans" w:cs="Noto Sans"/>
          <w:sz w:val="20"/>
          <w:szCs w:val="20"/>
          <w:lang w:val="fr"/>
        </w:rPr>
        <w:t>problème</w:t>
      </w:r>
      <w:proofErr w:type="gramEnd"/>
      <w:r w:rsidRPr="003E2512">
        <w:rPr>
          <w:rFonts w:ascii="Noto Sans" w:eastAsia="Times New Roman" w:hAnsi="Noto Sans" w:cs="Noto Sans"/>
          <w:sz w:val="20"/>
          <w:szCs w:val="20"/>
          <w:lang w:val="fr"/>
        </w:rPr>
        <w:t xml:space="preserve">. Au Royaume-Uni, </w:t>
      </w:r>
      <w:hyperlink r:id="rId15" w:history="1">
        <w:r w:rsidRPr="003E2512">
          <w:rPr>
            <w:rStyle w:val="Hyperlink"/>
            <w:rFonts w:ascii="Noto Sans" w:eastAsia="Times New Roman" w:hAnsi="Noto Sans" w:cs="Noto Sans"/>
            <w:sz w:val="20"/>
            <w:szCs w:val="20"/>
            <w:lang w:val="fr"/>
          </w:rPr>
          <w:t>40 % des personnes</w:t>
        </w:r>
      </w:hyperlink>
      <w:r w:rsidRPr="003E2512">
        <w:rPr>
          <w:rFonts w:ascii="Noto Sans" w:eastAsia="Times New Roman" w:hAnsi="Noto Sans" w:cs="Noto Sans"/>
          <w:sz w:val="20"/>
          <w:szCs w:val="20"/>
          <w:lang w:val="fr"/>
        </w:rPr>
        <w:t xml:space="preserve"> reconnaissent jeter leurs médicaments non utilisés avec les ordures ménagères, une pratique qui, tout comme d’autres </w:t>
      </w:r>
      <w:hyperlink r:id="rId16" w:history="1">
        <w:r w:rsidRPr="003E2512">
          <w:rPr>
            <w:rStyle w:val="Hyperlink"/>
            <w:rFonts w:ascii="Noto Sans" w:eastAsia="Times New Roman" w:hAnsi="Noto Sans" w:cs="Noto Sans"/>
            <w:sz w:val="20"/>
            <w:szCs w:val="20"/>
            <w:lang w:val="fr"/>
          </w:rPr>
          <w:t>méthodes d’élimination incorrectes</w:t>
        </w:r>
      </w:hyperlink>
      <w:r w:rsidRPr="003E2512">
        <w:rPr>
          <w:rFonts w:ascii="Noto Sans" w:eastAsia="Times New Roman" w:hAnsi="Noto Sans" w:cs="Noto Sans"/>
          <w:sz w:val="20"/>
          <w:szCs w:val="20"/>
          <w:lang w:val="fr"/>
        </w:rPr>
        <w:t xml:space="preserve"> (comme les jeter dans les toilettes) contribue à la pollution des voies navigables, des littoraux et des écosystèmes.  </w:t>
      </w:r>
    </w:p>
    <w:p w14:paraId="3BD89267" w14:textId="61C26FD2" w:rsidR="00C16624" w:rsidRPr="003E2512" w:rsidRDefault="00C16624" w:rsidP="003E2512">
      <w:pPr>
        <w:spacing w:before="120" w:after="120"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lastRenderedPageBreak/>
        <w:t>Le manque de connaissances est un problème majeur qui pourrait être résolu grâce à des codes de type DPP. Sensibiliser aux risques associés aux déchets médicaux et informer les particuliers sur la façon d’éliminer en toute sécurité les médicaments inutilisés et les emballages vides (par exemple via un lien vers le point de recyclage de plaquettes thermoformées le plus proche) pourrait véritablement changer la donne. En exploitant les codes 2D déjà présents sur les produits pour informer sur leur élimination sécurisée et le recyclage des emballages, les marques renforceraient la confiance des clients, tout en réduisant les risques pour les cours d’eau et en limitant les émissions de CO2.</w:t>
      </w:r>
    </w:p>
    <w:p w14:paraId="4D144738" w14:textId="4D7032D7" w:rsidR="00186BB1" w:rsidRPr="003E2512" w:rsidRDefault="00186BB1" w:rsidP="003E2512">
      <w:pPr>
        <w:spacing w:before="120" w:after="120" w:line="360" w:lineRule="auto"/>
        <w:jc w:val="both"/>
        <w:rPr>
          <w:rFonts w:ascii="Noto Sans" w:eastAsia="Times New Roman" w:hAnsi="Noto Sans" w:cs="Noto Sans"/>
          <w:b/>
          <w:bCs/>
          <w:sz w:val="20"/>
          <w:szCs w:val="20"/>
        </w:rPr>
      </w:pPr>
      <w:r w:rsidRPr="003E2512">
        <w:rPr>
          <w:rFonts w:ascii="Noto Sans" w:eastAsia="Times New Roman" w:hAnsi="Noto Sans" w:cs="Noto Sans"/>
          <w:b/>
          <w:bCs/>
          <w:sz w:val="20"/>
          <w:szCs w:val="20"/>
          <w:lang w:val="fr"/>
        </w:rPr>
        <w:t>Répondre aux craintes de l’industrie pharmaceutique</w:t>
      </w:r>
    </w:p>
    <w:p w14:paraId="6915027D" w14:textId="48F556D0" w:rsidR="00A0703E" w:rsidRPr="003E2512" w:rsidRDefault="00B070E0" w:rsidP="003E2512">
      <w:pPr>
        <w:spacing w:before="120" w:after="120"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t xml:space="preserve">Les fabricants de produits pharmaceutiques qui envisagent d’utiliser des codes 2D pour fournir des informations aux consommateurs font état de certaines préoccupations légitimes, comme l’interdiction de la </w:t>
      </w:r>
      <w:hyperlink r:id="rId17" w:history="1">
        <w:r w:rsidRPr="003E2512">
          <w:rPr>
            <w:rStyle w:val="Hyperlink"/>
            <w:rFonts w:ascii="Noto Sans" w:eastAsia="Times New Roman" w:hAnsi="Noto Sans" w:cs="Noto Sans"/>
            <w:sz w:val="20"/>
            <w:szCs w:val="20"/>
            <w:lang w:val="fr"/>
          </w:rPr>
          <w:t>publicité directe auprès du consommateur</w:t>
        </w:r>
      </w:hyperlink>
      <w:r w:rsidRPr="003E2512">
        <w:rPr>
          <w:rFonts w:ascii="Noto Sans" w:eastAsia="Times New Roman" w:hAnsi="Noto Sans" w:cs="Noto Sans"/>
          <w:sz w:val="20"/>
          <w:szCs w:val="20"/>
          <w:lang w:val="fr"/>
        </w:rPr>
        <w:t xml:space="preserve"> dans la plupart des pays en dehors des États-Unis et de la Nouvelle-Zélande. Tout code de type DPP visible par les patients devrait être examiné avec la plus grande attention afin de s’assurer qu’il ne puisse, en aucune façon, être perçu comme promotionnel.</w:t>
      </w:r>
    </w:p>
    <w:p w14:paraId="11EA060B" w14:textId="532C3B89" w:rsidR="00025C6A" w:rsidRPr="003E2512" w:rsidRDefault="000A317D" w:rsidP="003E2512">
      <w:pPr>
        <w:spacing w:before="120" w:after="120"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t>Les fabricants de produits pharmaceutiques et les professionnels de santé partagent également la crainte de voir des patients accéder à des données cliniques hors contexte. Dans la mesure où les informations détaillées sur les produits sont rédigées pour les cliniciens et les régulateurs, et non pour les patients, les fabricants s’exposent également à un risque d’infraction aux règles européennes sur la publicité non adressée directement aux consommateurs, qui pointent spécifiquement le danger d</w:t>
      </w:r>
      <w:proofErr w:type="gramStart"/>
      <w:r w:rsidRPr="003E2512">
        <w:rPr>
          <w:rFonts w:ascii="Noto Sans" w:eastAsia="Times New Roman" w:hAnsi="Noto Sans" w:cs="Noto Sans"/>
          <w:sz w:val="20"/>
          <w:szCs w:val="20"/>
          <w:lang w:val="fr"/>
        </w:rPr>
        <w:t>’«</w:t>
      </w:r>
      <w:proofErr w:type="gramEnd"/>
      <w:r w:rsidRPr="003E2512">
        <w:rPr>
          <w:rFonts w:ascii="Noto Sans" w:eastAsia="Times New Roman" w:hAnsi="Noto Sans" w:cs="Noto Sans"/>
          <w:sz w:val="20"/>
          <w:szCs w:val="20"/>
          <w:lang w:val="fr"/>
        </w:rPr>
        <w:t xml:space="preserve"> </w:t>
      </w:r>
      <w:proofErr w:type="spellStart"/>
      <w:r w:rsidRPr="003E2512">
        <w:rPr>
          <w:rFonts w:ascii="Noto Sans" w:eastAsia="Times New Roman" w:hAnsi="Noto Sans" w:cs="Noto Sans"/>
          <w:sz w:val="20"/>
          <w:szCs w:val="20"/>
          <w:lang w:val="fr"/>
        </w:rPr>
        <w:t>auto-diagnostic</w:t>
      </w:r>
      <w:proofErr w:type="spellEnd"/>
      <w:r w:rsidRPr="003E2512">
        <w:rPr>
          <w:rFonts w:ascii="Noto Sans" w:eastAsia="Times New Roman" w:hAnsi="Noto Sans" w:cs="Noto Sans"/>
          <w:sz w:val="20"/>
          <w:szCs w:val="20"/>
          <w:lang w:val="fr"/>
        </w:rPr>
        <w:t xml:space="preserve"> erroné ».</w:t>
      </w:r>
    </w:p>
    <w:p w14:paraId="77B3C6EA" w14:textId="34893A18" w:rsidR="00204D4A" w:rsidRPr="003E2512" w:rsidRDefault="00703700" w:rsidP="003E2512">
      <w:pPr>
        <w:spacing w:before="120" w:after="120"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t>Néanmoins, la transparence offre de réelles opportunités pour renforcer l’équité en santé et optimiser la gestion de la distribution des médicaments, y compris les produits inutilisés. La fourniture d’</w:t>
      </w:r>
      <w:proofErr w:type="spellStart"/>
      <w:r w:rsidRPr="003E2512">
        <w:rPr>
          <w:rFonts w:ascii="Noto Sans" w:eastAsia="Times New Roman" w:hAnsi="Noto Sans" w:cs="Noto Sans"/>
          <w:sz w:val="20"/>
          <w:szCs w:val="20"/>
          <w:lang w:val="fr"/>
        </w:rPr>
        <w:t>ePIL</w:t>
      </w:r>
      <w:proofErr w:type="spellEnd"/>
      <w:r w:rsidRPr="003E2512">
        <w:rPr>
          <w:rFonts w:ascii="Noto Sans" w:eastAsia="Times New Roman" w:hAnsi="Noto Sans" w:cs="Noto Sans"/>
          <w:sz w:val="20"/>
          <w:szCs w:val="20"/>
          <w:lang w:val="fr"/>
        </w:rPr>
        <w:t xml:space="preserve"> et l’assistance à la gestion des prescriptions afin d’éviter les commandes excessives sont des objectifs clés pour réduire la gâche. On recense également plusieurs projets qui remettent en question la destruction automatique des médicaments périmés ou non souhaités, comme cette initiative allemande visant à </w:t>
      </w:r>
      <w:hyperlink r:id="rId18" w:history="1">
        <w:r w:rsidRPr="003E2512">
          <w:rPr>
            <w:rStyle w:val="Hyperlink"/>
            <w:rFonts w:ascii="Noto Sans" w:eastAsia="Times New Roman" w:hAnsi="Noto Sans" w:cs="Noto Sans"/>
            <w:sz w:val="20"/>
            <w:szCs w:val="20"/>
            <w:lang w:val="fr"/>
          </w:rPr>
          <w:t>récupérer les composés</w:t>
        </w:r>
      </w:hyperlink>
      <w:r w:rsidRPr="003E2512">
        <w:rPr>
          <w:rFonts w:ascii="Noto Sans" w:eastAsia="Times New Roman" w:hAnsi="Noto Sans" w:cs="Noto Sans"/>
          <w:sz w:val="20"/>
          <w:szCs w:val="20"/>
          <w:lang w:val="fr"/>
        </w:rPr>
        <w:t xml:space="preserve">, ou encore ce projet grec destiné à </w:t>
      </w:r>
      <w:hyperlink r:id="rId19" w:history="1">
        <w:r w:rsidRPr="003E2512">
          <w:rPr>
            <w:rStyle w:val="Hyperlink"/>
            <w:rFonts w:ascii="Noto Sans" w:eastAsia="Times New Roman" w:hAnsi="Noto Sans" w:cs="Noto Sans"/>
            <w:sz w:val="20"/>
            <w:szCs w:val="20"/>
            <w:u w:val="none"/>
            <w:lang w:val="fr"/>
          </w:rPr>
          <w:t>redistribuer des médicaments</w:t>
        </w:r>
      </w:hyperlink>
      <w:r w:rsidRPr="003E2512">
        <w:rPr>
          <w:rFonts w:ascii="Noto Sans" w:eastAsia="Times New Roman" w:hAnsi="Noto Sans" w:cs="Noto Sans"/>
          <w:sz w:val="20"/>
          <w:szCs w:val="20"/>
          <w:lang w:val="fr"/>
        </w:rPr>
        <w:t xml:space="preserve"> à des personnes qui n’auraient autrement pas les moyens de se soigner. Associés à la chaîne de traçabilité stricte déjà en place et aux sceaux anti-effraction empêchant toute réutilisation après ouverture, les codes 2D permettraient de garantir que les produits sont authentiques et sûrs avant toute redistribution ou récupération.</w:t>
      </w:r>
    </w:p>
    <w:p w14:paraId="021CAD16" w14:textId="1D06833C" w:rsidR="00F12DD4" w:rsidRPr="003E2512" w:rsidRDefault="00D6348B" w:rsidP="003E2512">
      <w:pPr>
        <w:spacing w:before="120" w:after="120" w:line="360" w:lineRule="auto"/>
        <w:jc w:val="both"/>
        <w:rPr>
          <w:rFonts w:ascii="Noto Sans" w:eastAsia="Times New Roman" w:hAnsi="Noto Sans" w:cs="Noto Sans"/>
          <w:b/>
          <w:bCs/>
          <w:sz w:val="20"/>
          <w:szCs w:val="20"/>
        </w:rPr>
      </w:pPr>
      <w:r w:rsidRPr="003E2512">
        <w:rPr>
          <w:rFonts w:ascii="Noto Sans" w:eastAsia="Times New Roman" w:hAnsi="Noto Sans" w:cs="Noto Sans"/>
          <w:b/>
          <w:bCs/>
          <w:sz w:val="20"/>
          <w:szCs w:val="20"/>
          <w:lang w:val="fr"/>
        </w:rPr>
        <w:t>Conclusion : Les codes-barres communiquent avec les consommateurs</w:t>
      </w:r>
    </w:p>
    <w:p w14:paraId="208D9E57" w14:textId="66213C92" w:rsidR="004F673C" w:rsidRPr="003E2512" w:rsidRDefault="00E05CCB" w:rsidP="003E2512">
      <w:pPr>
        <w:spacing w:before="120" w:after="120" w:line="360" w:lineRule="auto"/>
        <w:jc w:val="both"/>
        <w:rPr>
          <w:rFonts w:ascii="Noto Sans" w:eastAsia="Times New Roman" w:hAnsi="Noto Sans" w:cs="Noto Sans"/>
          <w:sz w:val="20"/>
          <w:szCs w:val="20"/>
        </w:rPr>
      </w:pPr>
      <w:r w:rsidRPr="003E2512">
        <w:rPr>
          <w:rFonts w:ascii="Noto Sans" w:hAnsi="Noto Sans" w:cs="Noto Sans"/>
          <w:sz w:val="20"/>
          <w:szCs w:val="20"/>
          <w:lang w:val="fr"/>
        </w:rPr>
        <w:lastRenderedPageBreak/>
        <w:t xml:space="preserve">Pour les entreprises pharmaceutiques, le passeport numérique des produits (DPP), bien que non imposé par la réglementation, ouvre une opportunité majeure : faire évoluer les codes 2D déjà présents sur des milliards de médicaments pour transmettre des informations utiles non seulement aux régulateurs, fabricants et professionnels de santé, mais aussi directement aux patients. Le déploiement des </w:t>
      </w:r>
      <w:proofErr w:type="spellStart"/>
      <w:r w:rsidRPr="003E2512">
        <w:rPr>
          <w:rFonts w:ascii="Noto Sans" w:hAnsi="Noto Sans" w:cs="Noto Sans"/>
          <w:sz w:val="20"/>
          <w:szCs w:val="20"/>
          <w:lang w:val="fr"/>
        </w:rPr>
        <w:t>ePIL</w:t>
      </w:r>
      <w:proofErr w:type="spellEnd"/>
      <w:r w:rsidRPr="003E2512">
        <w:rPr>
          <w:rFonts w:ascii="Noto Sans" w:hAnsi="Noto Sans" w:cs="Noto Sans"/>
          <w:sz w:val="20"/>
          <w:szCs w:val="20"/>
          <w:lang w:val="fr"/>
        </w:rPr>
        <w:t xml:space="preserve"> devrait permettre de réduire fortement le recours aux notices imprimées. Les informations sur le recyclage et l’élimination pourraient aider les consommateurs à mieux savoir comment gérer leurs médicaments, qu’ils soient utilisés ou non, réduisant ainsi le risque de pollution environnementale. Des informations actualisées pourraient permettre aux patients de mieux gérer leurs prescriptions et d’éviter les commandes excessives, qui participent à une surproduction de médicaments. Par ailleurs, une traçabilité accrue pourrait favoriser l’élimination et la réutilisation sûres et efficaces des médicaments. </w:t>
      </w:r>
    </w:p>
    <w:p w14:paraId="15D16E7F" w14:textId="415EA06B" w:rsidR="00250E7C" w:rsidRPr="003E2512" w:rsidRDefault="00CD29E4" w:rsidP="003E2512">
      <w:pPr>
        <w:spacing w:line="360" w:lineRule="auto"/>
        <w:jc w:val="both"/>
        <w:rPr>
          <w:rFonts w:ascii="Noto Sans" w:eastAsia="Times New Roman" w:hAnsi="Noto Sans" w:cs="Noto Sans"/>
          <w:sz w:val="20"/>
          <w:szCs w:val="20"/>
        </w:rPr>
      </w:pPr>
      <w:r w:rsidRPr="003E2512">
        <w:rPr>
          <w:rFonts w:ascii="Noto Sans" w:eastAsia="Times New Roman" w:hAnsi="Noto Sans" w:cs="Noto Sans"/>
          <w:sz w:val="20"/>
          <w:szCs w:val="20"/>
          <w:lang w:val="fr"/>
        </w:rPr>
        <w:t xml:space="preserve">Les fabricants de produits pharmaceutiques ne sont pas encore tenus de fournir des DPP, mais grâce à certaines innovations telles que le programme GS1, un équivalent au DPP sera déterminant pour </w:t>
      </w:r>
      <w:hyperlink r:id="rId20" w:history="1">
        <w:r w:rsidRPr="0018233F">
          <w:rPr>
            <w:rStyle w:val="Hyperlink"/>
            <w:rFonts w:ascii="Noto Sans" w:eastAsia="Times New Roman" w:hAnsi="Noto Sans" w:cs="Noto Sans"/>
            <w:sz w:val="20"/>
            <w:szCs w:val="20"/>
            <w:lang w:val="fr"/>
          </w:rPr>
          <w:t>anticiper les exigences réglementaires et les évolutions du marché à venir.</w:t>
        </w:r>
      </w:hyperlink>
    </w:p>
    <w:p w14:paraId="10C8BB4F" w14:textId="77777777" w:rsidR="0036185C" w:rsidRDefault="0036185C" w:rsidP="0036185C">
      <w:pPr>
        <w:spacing w:before="120" w:after="120" w:line="240" w:lineRule="auto"/>
        <w:rPr>
          <w:rFonts w:ascii="Noto Sans" w:eastAsia="Calibri" w:hAnsi="Noto Sans" w:cs="Noto Sans"/>
          <w:b/>
          <w:bCs/>
          <w:lang w:val="pt-PT"/>
        </w:rPr>
      </w:pPr>
      <w:r>
        <w:rPr>
          <w:rFonts w:ascii="Noto Sans" w:eastAsia="Calibri" w:hAnsi="Noto Sans" w:cs="Noto Sans"/>
          <w:b/>
          <w:bCs/>
          <w:lang w:val="pt-PT"/>
        </w:rPr>
        <w:t>&lt;</w:t>
      </w:r>
      <w:r w:rsidRPr="005C6917">
        <w:rPr>
          <w:rFonts w:ascii="Noto Sans" w:eastAsia="Calibri" w:hAnsi="Noto Sans" w:cs="Noto Sans"/>
          <w:b/>
          <w:bCs/>
          <w:lang w:val="pt-PT"/>
        </w:rPr>
        <w:t>FIN</w:t>
      </w:r>
      <w:r>
        <w:rPr>
          <w:rFonts w:ascii="Noto Sans" w:eastAsia="Calibri" w:hAnsi="Noto Sans" w:cs="Noto Sans"/>
          <w:b/>
          <w:bCs/>
          <w:lang w:val="pt-PT"/>
        </w:rPr>
        <w:t>&gt;</w:t>
      </w:r>
    </w:p>
    <w:p w14:paraId="7FC688C2" w14:textId="1FA04ACB" w:rsidR="0036185C" w:rsidRDefault="0036185C" w:rsidP="0036185C">
      <w:pPr>
        <w:spacing w:line="240" w:lineRule="auto"/>
        <w:rPr>
          <w:rFonts w:ascii="Noto Sans" w:eastAsia="Gill Sans" w:hAnsi="Noto Sans" w:cs="Noto Sans"/>
          <w:b/>
          <w:bCs/>
          <w:sz w:val="20"/>
          <w:szCs w:val="20"/>
          <w:lang w:val="fr-FR"/>
        </w:rPr>
      </w:pPr>
      <w:bookmarkStart w:id="0" w:name="_Hlk46133219"/>
      <w:r w:rsidRPr="00E06028">
        <w:rPr>
          <w:rFonts w:ascii="Noto Sans" w:eastAsia="Gill Sans" w:hAnsi="Noto Sans" w:cs="Noto Sans"/>
          <w:b/>
          <w:bCs/>
          <w:sz w:val="20"/>
          <w:szCs w:val="20"/>
          <w:lang w:val="fr-FR"/>
        </w:rPr>
        <w:t>Avis de non-responsabilité</w:t>
      </w:r>
      <w:r w:rsidRPr="00E06028">
        <w:rPr>
          <w:rFonts w:ascii="Noto Sans" w:eastAsia="Gill Sans" w:hAnsi="Noto Sans" w:cs="Noto Sans"/>
          <w:b/>
          <w:sz w:val="20"/>
          <w:szCs w:val="20"/>
          <w:lang w:val="es-ES"/>
        </w:rPr>
        <w:br/>
      </w:r>
      <w:r w:rsidRPr="001D71EE">
        <w:rPr>
          <w:rFonts w:ascii="Noto Sans" w:hAnsi="Noto Sans" w:cs="Noto Sans"/>
          <w:sz w:val="20"/>
          <w:szCs w:val="20"/>
          <w:lang w:val="fr-FR"/>
        </w:rPr>
        <w:t xml:space="preserve">Les informations contenues dans ce communiqué de presse sont considérées comme vraies et exactes à la date de publication par Domino. Des changements de circonstances après la date de publication peuvent avoir un impact sur l'exactitude des informations. </w:t>
      </w:r>
      <w:r w:rsidRPr="00E06028">
        <w:rPr>
          <w:rFonts w:ascii="Noto Sans" w:hAnsi="Noto Sans" w:cs="Noto Sans"/>
          <w:sz w:val="20"/>
          <w:szCs w:val="20"/>
          <w:lang w:val="fr-FR"/>
        </w:rPr>
        <w:t>Tous les chiffres et déclarations en matière de résultats indiqués dans les présentes ont été obtenus dans des conditions particulières et ne peuvent être reproduits que dans des circonstances similaires. Pour toutes informations sur un produit particulier, contactez votre Représentant Domino local.  Ce document n’est pas intégré aux conditions générales de vente entre vous-même et Domino.</w:t>
      </w:r>
      <w:r>
        <w:rPr>
          <w:rFonts w:ascii="Noto Sans" w:hAnsi="Noto Sans" w:cs="Noto Sans"/>
          <w:sz w:val="20"/>
          <w:szCs w:val="20"/>
          <w:lang w:val="fr-FR"/>
        </w:rPr>
        <w:t xml:space="preserve"> </w:t>
      </w:r>
      <w:r w:rsidRPr="00E06028">
        <w:rPr>
          <w:rFonts w:ascii="Noto Sans" w:hAnsi="Noto Sans" w:cs="Noto Sans"/>
          <w:sz w:val="20"/>
          <w:szCs w:val="20"/>
          <w:lang w:val="fr-FR"/>
        </w:rPr>
        <w:t xml:space="preserve">Les images peuvent inclure des éléments supplémentaires ou des mises à niveaux. La qualité d'impression peut varier en fonction des consommables, de l'imprimante, des substrats et d'autres facteurs. Les images et photographies ne font pas partie des conditions générales de vente entre vous-même et Domino. </w:t>
      </w:r>
      <w:r w:rsidRPr="00E06028">
        <w:rPr>
          <w:rFonts w:ascii="Noto Sans" w:hAnsi="Noto Sans" w:cs="Noto Sans"/>
          <w:sz w:val="20"/>
          <w:szCs w:val="20"/>
          <w:lang w:val="fr-FR"/>
        </w:rPr>
        <w:br/>
      </w:r>
      <w:bookmarkStart w:id="1" w:name="_Hlk61949672"/>
    </w:p>
    <w:p w14:paraId="27DCBB16" w14:textId="5588F36D" w:rsidR="00567B5C" w:rsidRPr="003E2512" w:rsidRDefault="0036185C" w:rsidP="0036185C">
      <w:pPr>
        <w:spacing w:before="120" w:after="120" w:line="240" w:lineRule="auto"/>
        <w:rPr>
          <w:rFonts w:ascii="Noto Sans" w:eastAsia="Times New Roman" w:hAnsi="Noto Sans" w:cs="Noto Sans"/>
          <w:sz w:val="20"/>
          <w:szCs w:val="20"/>
          <w:highlight w:val="yellow"/>
        </w:rPr>
      </w:pPr>
      <w:r w:rsidRPr="00E06028">
        <w:rPr>
          <w:rFonts w:ascii="Noto Sans" w:eastAsia="Gill Sans" w:hAnsi="Noto Sans" w:cs="Noto Sans"/>
          <w:b/>
          <w:bCs/>
          <w:sz w:val="20"/>
          <w:szCs w:val="20"/>
          <w:lang w:val="fr-FR"/>
        </w:rPr>
        <w:t>Notes à l'attention des rédacteurs :</w:t>
      </w:r>
      <w:r w:rsidRPr="00E06028">
        <w:rPr>
          <w:rFonts w:ascii="Noto Sans" w:eastAsia="Gill Sans" w:hAnsi="Noto Sans" w:cs="Noto Sans"/>
          <w:sz w:val="20"/>
          <w:szCs w:val="20"/>
          <w:lang w:val="es-ES"/>
        </w:rPr>
        <w:br/>
      </w:r>
      <w:r w:rsidRPr="00E06028">
        <w:rPr>
          <w:rFonts w:ascii="Noto Sans" w:eastAsia="Gill Sans" w:hAnsi="Noto Sans" w:cs="Noto Sans"/>
          <w:b/>
          <w:bCs/>
          <w:sz w:val="20"/>
          <w:szCs w:val="20"/>
          <w:lang w:val="fr-FR"/>
        </w:rPr>
        <w:t>À propos de Domino</w:t>
      </w:r>
      <w:r w:rsidRPr="00E06028">
        <w:rPr>
          <w:rFonts w:ascii="Noto Sans" w:eastAsia="Gill Sans" w:hAnsi="Noto Sans" w:cs="Noto Sans"/>
          <w:sz w:val="20"/>
          <w:szCs w:val="20"/>
          <w:lang w:val="es-ES"/>
        </w:rPr>
        <w:br/>
      </w:r>
      <w:r w:rsidRPr="00E06028">
        <w:rPr>
          <w:rFonts w:ascii="Noto Sans" w:eastAsia="Gill Sans" w:hAnsi="Noto Sans" w:cs="Noto Sans"/>
          <w:sz w:val="20"/>
          <w:szCs w:val="20"/>
          <w:lang w:val="fr-FR"/>
        </w:rPr>
        <w:t xml:space="preserve">Fondée en 1978, Domino Printing Sciences (Domino) a acquis une réputation mondiale pour le développement et la fabrication de technologies de codage, de marquage et d'impression numérique, ainsi que pour la qualité de son service après-vente à l'international. Aujourd'hui, Domino propose l'un des portefeuilles les plus complets de solutions intégrales de codage afin de répondre aux exigences de conformité et de productivité des fabricants à travers de nombreux secteurs, notamment l'agroalimentaire, les boissons, et les produits pharmaceutiques et industriels. Les technologies de base de l'entreprise incluent des systèmes innovants comme le jet d'encre, le laser, l’impression-pose d’étiquettes et le codage transfert thermique conçus pour l'application de données variables, de codes à barres et de codes de traçabilité uniques sur les produits et les emballages.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Domino emploie plus de 3 000 personnes à travers le monde et ses produits sont vendus dans </w:t>
      </w:r>
      <w:r w:rsidRPr="00E06028">
        <w:rPr>
          <w:rFonts w:ascii="Noto Sans" w:eastAsia="Gill Sans" w:hAnsi="Noto Sans" w:cs="Noto Sans"/>
          <w:sz w:val="20"/>
          <w:szCs w:val="20"/>
          <w:lang w:val="fr-FR"/>
        </w:rPr>
        <w:lastRenderedPageBreak/>
        <w:t>plus de 120 pays grâce à un réseau mondial de 29 filiales et de plus de 200 distributeurs. Domino possède des sites de production en Allemagne, en Chine, aux États-Unis, en Inde, au Royaume-Uni, en Suède et en Suisse.</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Depuis le 11 juin 2015, Domino est une division autonome de Brother Industries Ltd.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Pour plus d'informations sur Domino, veuillez consulter </w:t>
      </w:r>
      <w:hyperlink r:id="rId21" w:history="1">
        <w:r w:rsidRPr="008149FB">
          <w:rPr>
            <w:rStyle w:val="Hyperlink"/>
            <w:rFonts w:ascii="Noto Sans" w:eastAsia="Gill Sans" w:hAnsi="Noto Sans" w:cs="Noto Sans"/>
            <w:sz w:val="20"/>
            <w:szCs w:val="20"/>
            <w:lang w:val="fr-FR"/>
          </w:rPr>
          <w:t>www.domino-printing.com</w:t>
        </w:r>
      </w:hyperlink>
      <w:r w:rsidRPr="00E06028">
        <w:rPr>
          <w:rFonts w:ascii="Noto Sans" w:eastAsia="Gill Sans" w:hAnsi="Noto Sans" w:cs="Noto Sans"/>
          <w:sz w:val="20"/>
          <w:szCs w:val="20"/>
          <w:lang w:val="fr-FR"/>
        </w:rPr>
        <w:t xml:space="preserve">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r>
      <w:r w:rsidRPr="00E06028">
        <w:rPr>
          <w:rFonts w:ascii="Noto Sans" w:eastAsia="Gill Sans" w:hAnsi="Noto Sans" w:cs="Noto Sans"/>
          <w:b/>
          <w:bCs/>
          <w:sz w:val="20"/>
          <w:szCs w:val="20"/>
          <w:lang w:val="fr-FR"/>
        </w:rPr>
        <w:t>Pour de plus amples renseignements, veuillez contacter :</w:t>
      </w:r>
      <w:r w:rsidRPr="00E06028">
        <w:rPr>
          <w:rFonts w:ascii="Noto Sans" w:eastAsia="Gill Sans" w:hAnsi="Noto Sans" w:cs="Noto Sans"/>
          <w:b/>
          <w:sz w:val="20"/>
          <w:szCs w:val="20"/>
          <w:lang w:val="fr-FR"/>
        </w:rPr>
        <w:br/>
      </w:r>
      <w:r w:rsidRPr="00F4774E">
        <w:rPr>
          <w:rFonts w:ascii="Noto Sans" w:hAnsi="Noto Sans" w:cs="Noto Sans"/>
          <w:sz w:val="20"/>
          <w:szCs w:val="20"/>
          <w:lang w:val="nl"/>
        </w:rPr>
        <w:t>Jade Taylor-Salazar</w:t>
      </w:r>
      <w:r w:rsidRPr="00E06028">
        <w:rPr>
          <w:rFonts w:ascii="Noto Sans" w:hAnsi="Noto Sans" w:cs="Noto Sans"/>
          <w:sz w:val="20"/>
          <w:szCs w:val="20"/>
          <w:lang w:val="fr-FR"/>
        </w:rPr>
        <w:br/>
        <w:t xml:space="preserve">Spécialiste en contenu rédactionnel </w:t>
      </w:r>
      <w:r w:rsidRPr="00E06028">
        <w:rPr>
          <w:rFonts w:ascii="Noto Sans" w:hAnsi="Noto Sans" w:cs="Noto Sans"/>
          <w:sz w:val="20"/>
          <w:szCs w:val="20"/>
          <w:lang w:val="fr-FR"/>
        </w:rPr>
        <w:br/>
        <w:t xml:space="preserve">Domino Printing Sciences </w:t>
      </w:r>
      <w:r w:rsidRPr="00E06028">
        <w:rPr>
          <w:rFonts w:ascii="Noto Sans" w:hAnsi="Noto Sans" w:cs="Noto Sans"/>
          <w:sz w:val="20"/>
          <w:szCs w:val="20"/>
          <w:lang w:val="fr-FR"/>
        </w:rPr>
        <w:br/>
        <w:t>Tél. : +44 (0) 1954 778780</w:t>
      </w:r>
      <w:r w:rsidRPr="00E06028">
        <w:rPr>
          <w:rFonts w:ascii="Noto Sans" w:hAnsi="Noto Sans" w:cs="Noto Sans"/>
          <w:sz w:val="20"/>
          <w:szCs w:val="20"/>
          <w:lang w:val="fr-FR"/>
        </w:rPr>
        <w:br/>
      </w:r>
      <w:hyperlink r:id="rId22" w:history="1">
        <w:r w:rsidRPr="00F623A5">
          <w:rPr>
            <w:rStyle w:val="Hyperlink"/>
            <w:rFonts w:ascii="Noto Sans" w:hAnsi="Noto Sans" w:cs="Noto Sans"/>
            <w:sz w:val="20"/>
            <w:szCs w:val="20"/>
            <w:lang w:val="fr-FR"/>
          </w:rPr>
          <w:t>Jade.Taylor-Salazar@domino-uk.com</w:t>
        </w:r>
      </w:hyperlink>
      <w:r w:rsidRPr="00E06028">
        <w:rPr>
          <w:rFonts w:ascii="Noto Sans" w:eastAsia="Verdana" w:hAnsi="Noto Sans" w:cs="Noto Sans"/>
          <w:sz w:val="20"/>
          <w:szCs w:val="20"/>
          <w:lang w:val="fr-FR"/>
        </w:rPr>
        <w:br/>
      </w:r>
      <w:r w:rsidRPr="00E06028">
        <w:rPr>
          <w:rFonts w:ascii="Noto Sans" w:eastAsia="Verdana" w:hAnsi="Noto Sans" w:cs="Noto Sans"/>
          <w:sz w:val="20"/>
          <w:szCs w:val="20"/>
          <w:lang w:val="fr-FR"/>
        </w:rPr>
        <w:br/>
      </w:r>
      <w:bookmarkEnd w:id="0"/>
      <w:bookmarkEnd w:id="1"/>
      <w:r w:rsidRPr="00E06028">
        <w:rPr>
          <w:rFonts w:ascii="Noto Sans" w:hAnsi="Noto Sans" w:cs="Noto Sans"/>
          <w:sz w:val="20"/>
          <w:szCs w:val="20"/>
          <w:lang w:val="fr-FR"/>
        </w:rPr>
        <w:t>Delphine Baudesson</w:t>
      </w:r>
      <w:r w:rsidRPr="00E06028">
        <w:rPr>
          <w:rFonts w:ascii="Noto Sans" w:hAnsi="Noto Sans" w:cs="Noto Sans"/>
          <w:sz w:val="20"/>
          <w:szCs w:val="20"/>
          <w:lang w:val="fr-FR"/>
        </w:rPr>
        <w:br/>
        <w:t xml:space="preserve">Responsable du marketing </w:t>
      </w:r>
      <w:r w:rsidRPr="00E06028">
        <w:rPr>
          <w:rFonts w:ascii="Noto Sans" w:hAnsi="Noto Sans" w:cs="Noto Sans"/>
          <w:sz w:val="20"/>
          <w:szCs w:val="20"/>
          <w:lang w:val="fr-FR"/>
        </w:rPr>
        <w:br/>
        <w:t>Domino Printing Sciences France</w:t>
      </w:r>
      <w:r w:rsidRPr="00E06028">
        <w:rPr>
          <w:rFonts w:ascii="Noto Sans" w:hAnsi="Noto Sans" w:cs="Noto Sans"/>
          <w:sz w:val="20"/>
          <w:szCs w:val="20"/>
          <w:lang w:val="fr-FR"/>
        </w:rPr>
        <w:br/>
        <w:t>Tél. : +33 6 78 58 81 59</w:t>
      </w:r>
      <w:r w:rsidRPr="00E06028">
        <w:rPr>
          <w:rFonts w:ascii="Noto Sans" w:hAnsi="Noto Sans" w:cs="Noto Sans"/>
          <w:sz w:val="20"/>
          <w:szCs w:val="20"/>
          <w:lang w:val="fr-FR"/>
        </w:rPr>
        <w:br/>
      </w:r>
      <w:hyperlink r:id="rId23" w:history="1">
        <w:r w:rsidRPr="00E06028">
          <w:rPr>
            <w:rStyle w:val="Hyperlink"/>
            <w:rFonts w:ascii="Noto Sans" w:hAnsi="Noto Sans" w:cs="Noto Sans"/>
            <w:sz w:val="20"/>
            <w:szCs w:val="20"/>
            <w:lang w:val="fr-FR"/>
          </w:rPr>
          <w:t>delphine.baudesson@domino-marquage.com</w:t>
        </w:r>
      </w:hyperlink>
      <w:r w:rsidRPr="00E06028">
        <w:rPr>
          <w:rStyle w:val="Hyperlink"/>
          <w:rFonts w:ascii="Noto Sans" w:hAnsi="Noto Sans" w:cs="Noto Sans"/>
          <w:sz w:val="20"/>
          <w:szCs w:val="20"/>
          <w:lang w:val="fr-FR"/>
        </w:rPr>
        <w:br/>
      </w:r>
      <w:r w:rsidRPr="00E06028">
        <w:rPr>
          <w:rFonts w:ascii="Noto Sans" w:hAnsi="Noto Sans" w:cs="Noto Sans"/>
          <w:sz w:val="20"/>
          <w:szCs w:val="20"/>
          <w:lang w:val="fr-FR"/>
        </w:rPr>
        <w:br/>
      </w:r>
    </w:p>
    <w:sectPr w:rsidR="00567B5C" w:rsidRPr="003E2512">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7EBB" w14:textId="77777777" w:rsidR="002378CF" w:rsidRDefault="002378CF" w:rsidP="008149FB">
      <w:pPr>
        <w:spacing w:after="0" w:line="240" w:lineRule="auto"/>
      </w:pPr>
      <w:r>
        <w:separator/>
      </w:r>
    </w:p>
  </w:endnote>
  <w:endnote w:type="continuationSeparator" w:id="0">
    <w:p w14:paraId="52836135" w14:textId="77777777" w:rsidR="002378CF" w:rsidRDefault="002378CF" w:rsidP="00814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205F" w:usb2="08000029"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w:altName w:val="Arial"/>
    <w:panose1 w:val="00000000000000000000"/>
    <w:charset w:val="00"/>
    <w:family w:val="swiss"/>
    <w:notTrueType/>
    <w:pitch w:val="variable"/>
    <w:sig w:usb0="A00000AF" w:usb1="5000205A"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C7ED" w14:textId="7216537F" w:rsidR="00982740" w:rsidRDefault="00982740">
    <w:pPr>
      <w:pStyle w:val="Footer"/>
    </w:pPr>
    <w:r>
      <w:rPr>
        <w:noProof/>
      </w:rPr>
      <w:drawing>
        <wp:anchor distT="0" distB="0" distL="114300" distR="114300" simplePos="0" relativeHeight="251659264" behindDoc="1" locked="0" layoutInCell="1" allowOverlap="1" wp14:anchorId="7DAC5FCC" wp14:editId="4AE5BEFA">
          <wp:simplePos x="0" y="0"/>
          <wp:positionH relativeFrom="margin">
            <wp:posOffset>4686300</wp:posOffset>
          </wp:positionH>
          <wp:positionV relativeFrom="page">
            <wp:posOffset>9690735</wp:posOffset>
          </wp:positionV>
          <wp:extent cx="5026025" cy="849630"/>
          <wp:effectExtent l="0" t="0" r="3175"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026025" cy="8496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FC7DE9B" wp14:editId="5F89F76B">
          <wp:simplePos x="0" y="0"/>
          <wp:positionH relativeFrom="column">
            <wp:posOffset>4829175</wp:posOffset>
          </wp:positionH>
          <wp:positionV relativeFrom="paragraph">
            <wp:posOffset>340995</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17966" w14:textId="77777777" w:rsidR="002378CF" w:rsidRDefault="002378CF" w:rsidP="008149FB">
      <w:pPr>
        <w:spacing w:after="0" w:line="240" w:lineRule="auto"/>
      </w:pPr>
      <w:r>
        <w:separator/>
      </w:r>
    </w:p>
  </w:footnote>
  <w:footnote w:type="continuationSeparator" w:id="0">
    <w:p w14:paraId="6FCFE073" w14:textId="77777777" w:rsidR="002378CF" w:rsidRDefault="002378CF" w:rsidP="00814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B1FD" w14:textId="0193729B" w:rsidR="00982740" w:rsidRDefault="00FA1EB5">
    <w:pPr>
      <w:pStyle w:val="Header"/>
    </w:pPr>
    <w:r>
      <w:rPr>
        <w:noProof/>
      </w:rPr>
      <w:drawing>
        <wp:anchor distT="0" distB="0" distL="114300" distR="114300" simplePos="0" relativeHeight="251662336" behindDoc="0" locked="0" layoutInCell="1" allowOverlap="1" wp14:anchorId="10A0613B" wp14:editId="0C29B09F">
          <wp:simplePos x="0" y="0"/>
          <wp:positionH relativeFrom="page">
            <wp:align>left</wp:align>
          </wp:positionH>
          <wp:positionV relativeFrom="paragraph">
            <wp:posOffset>-429260</wp:posOffset>
          </wp:positionV>
          <wp:extent cx="2257425" cy="88963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267410" cy="8940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26944"/>
    <w:multiLevelType w:val="hybridMultilevel"/>
    <w:tmpl w:val="E3AA88D6"/>
    <w:lvl w:ilvl="0" w:tplc="9B4E6770">
      <w:numFmt w:val="bullet"/>
      <w:lvlText w:val="•"/>
      <w:lvlJc w:val="left"/>
      <w:pPr>
        <w:ind w:left="720" w:hanging="360"/>
      </w:pPr>
      <w:rPr>
        <w:rFonts w:ascii="Noto Sans" w:eastAsia="Times New Roman" w:hAnsi="Noto Sans" w:cs="Noto Sans" w:hint="default"/>
      </w:rPr>
    </w:lvl>
    <w:lvl w:ilvl="1" w:tplc="E23E05D4">
      <w:numFmt w:val="bullet"/>
      <w:lvlText w:val=""/>
      <w:lvlJc w:val="left"/>
      <w:pPr>
        <w:ind w:left="1440" w:hanging="360"/>
      </w:pPr>
      <w:rPr>
        <w:rFonts w:ascii="Symbol" w:eastAsia="Times New Roman" w:hAnsi="Symbol" w:cs="Noto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6170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25A"/>
    <w:rsid w:val="00003CEF"/>
    <w:rsid w:val="0000751E"/>
    <w:rsid w:val="0000794E"/>
    <w:rsid w:val="000109C2"/>
    <w:rsid w:val="00016124"/>
    <w:rsid w:val="00023328"/>
    <w:rsid w:val="00025C6A"/>
    <w:rsid w:val="00035262"/>
    <w:rsid w:val="000405DF"/>
    <w:rsid w:val="000451FF"/>
    <w:rsid w:val="0007710B"/>
    <w:rsid w:val="00094DD2"/>
    <w:rsid w:val="000A317D"/>
    <w:rsid w:val="000F4018"/>
    <w:rsid w:val="000F4710"/>
    <w:rsid w:val="001073B8"/>
    <w:rsid w:val="001120BE"/>
    <w:rsid w:val="0011501B"/>
    <w:rsid w:val="00117E29"/>
    <w:rsid w:val="001220CA"/>
    <w:rsid w:val="00124B4B"/>
    <w:rsid w:val="001419A1"/>
    <w:rsid w:val="00165FCB"/>
    <w:rsid w:val="00167AF8"/>
    <w:rsid w:val="001760F9"/>
    <w:rsid w:val="0018233F"/>
    <w:rsid w:val="00182377"/>
    <w:rsid w:val="001863E8"/>
    <w:rsid w:val="00186BB1"/>
    <w:rsid w:val="001B4D3B"/>
    <w:rsid w:val="001C0D05"/>
    <w:rsid w:val="001C32AB"/>
    <w:rsid w:val="001D20FE"/>
    <w:rsid w:val="001F1828"/>
    <w:rsid w:val="00200B27"/>
    <w:rsid w:val="00204D4A"/>
    <w:rsid w:val="00232ADD"/>
    <w:rsid w:val="002378CF"/>
    <w:rsid w:val="0024332D"/>
    <w:rsid w:val="002451B1"/>
    <w:rsid w:val="00250E7C"/>
    <w:rsid w:val="002548F7"/>
    <w:rsid w:val="0025579B"/>
    <w:rsid w:val="00262D66"/>
    <w:rsid w:val="00271039"/>
    <w:rsid w:val="002A3681"/>
    <w:rsid w:val="002A62F4"/>
    <w:rsid w:val="002B3475"/>
    <w:rsid w:val="002D170E"/>
    <w:rsid w:val="002D175D"/>
    <w:rsid w:val="002D4F41"/>
    <w:rsid w:val="002E7397"/>
    <w:rsid w:val="002F222A"/>
    <w:rsid w:val="00302DE7"/>
    <w:rsid w:val="00311F47"/>
    <w:rsid w:val="00330F89"/>
    <w:rsid w:val="00352587"/>
    <w:rsid w:val="00354B15"/>
    <w:rsid w:val="0036185C"/>
    <w:rsid w:val="00362271"/>
    <w:rsid w:val="003855E7"/>
    <w:rsid w:val="00386D72"/>
    <w:rsid w:val="003B7011"/>
    <w:rsid w:val="003D1B6B"/>
    <w:rsid w:val="003D2D39"/>
    <w:rsid w:val="003E2512"/>
    <w:rsid w:val="003E32AC"/>
    <w:rsid w:val="003F35C8"/>
    <w:rsid w:val="00401A9F"/>
    <w:rsid w:val="004174C6"/>
    <w:rsid w:val="00424F7B"/>
    <w:rsid w:val="004271B7"/>
    <w:rsid w:val="00440308"/>
    <w:rsid w:val="00441512"/>
    <w:rsid w:val="00443C9D"/>
    <w:rsid w:val="00444641"/>
    <w:rsid w:val="00481CAA"/>
    <w:rsid w:val="00497E61"/>
    <w:rsid w:val="004A08EE"/>
    <w:rsid w:val="004C6BB4"/>
    <w:rsid w:val="004F673C"/>
    <w:rsid w:val="00510FC8"/>
    <w:rsid w:val="00511474"/>
    <w:rsid w:val="005125A2"/>
    <w:rsid w:val="0052127E"/>
    <w:rsid w:val="0052225A"/>
    <w:rsid w:val="00523215"/>
    <w:rsid w:val="00527A5E"/>
    <w:rsid w:val="00535470"/>
    <w:rsid w:val="00547300"/>
    <w:rsid w:val="0054767D"/>
    <w:rsid w:val="00567B5C"/>
    <w:rsid w:val="005755AF"/>
    <w:rsid w:val="005870B8"/>
    <w:rsid w:val="00592A21"/>
    <w:rsid w:val="005957E7"/>
    <w:rsid w:val="005C4ECC"/>
    <w:rsid w:val="005D75E1"/>
    <w:rsid w:val="005E5776"/>
    <w:rsid w:val="005E7E16"/>
    <w:rsid w:val="00620264"/>
    <w:rsid w:val="00623ED1"/>
    <w:rsid w:val="00653C32"/>
    <w:rsid w:val="00681ED3"/>
    <w:rsid w:val="006A01F0"/>
    <w:rsid w:val="006A1D2B"/>
    <w:rsid w:val="006B0587"/>
    <w:rsid w:val="006B3FA1"/>
    <w:rsid w:val="006C3BEA"/>
    <w:rsid w:val="006C518C"/>
    <w:rsid w:val="006E7800"/>
    <w:rsid w:val="006F08EE"/>
    <w:rsid w:val="00703700"/>
    <w:rsid w:val="00710017"/>
    <w:rsid w:val="007419F3"/>
    <w:rsid w:val="0074250D"/>
    <w:rsid w:val="0075232E"/>
    <w:rsid w:val="007859BB"/>
    <w:rsid w:val="007A1793"/>
    <w:rsid w:val="007A354F"/>
    <w:rsid w:val="007A40E6"/>
    <w:rsid w:val="007B7896"/>
    <w:rsid w:val="007E3ABF"/>
    <w:rsid w:val="007F15F3"/>
    <w:rsid w:val="007F162A"/>
    <w:rsid w:val="007F3A0F"/>
    <w:rsid w:val="007F57FD"/>
    <w:rsid w:val="008055BE"/>
    <w:rsid w:val="00810180"/>
    <w:rsid w:val="00811047"/>
    <w:rsid w:val="008149FB"/>
    <w:rsid w:val="00840631"/>
    <w:rsid w:val="00843217"/>
    <w:rsid w:val="00850549"/>
    <w:rsid w:val="00851BE5"/>
    <w:rsid w:val="008926AE"/>
    <w:rsid w:val="008E2AD6"/>
    <w:rsid w:val="009115F9"/>
    <w:rsid w:val="0091258F"/>
    <w:rsid w:val="00923342"/>
    <w:rsid w:val="009627F5"/>
    <w:rsid w:val="00964C3E"/>
    <w:rsid w:val="00970B69"/>
    <w:rsid w:val="009738A9"/>
    <w:rsid w:val="00981167"/>
    <w:rsid w:val="0098238D"/>
    <w:rsid w:val="00982740"/>
    <w:rsid w:val="00996D45"/>
    <w:rsid w:val="009A3434"/>
    <w:rsid w:val="009A578E"/>
    <w:rsid w:val="009D4745"/>
    <w:rsid w:val="009E2DBC"/>
    <w:rsid w:val="009F4BE4"/>
    <w:rsid w:val="009F536D"/>
    <w:rsid w:val="009F5D0F"/>
    <w:rsid w:val="00A00C82"/>
    <w:rsid w:val="00A018A6"/>
    <w:rsid w:val="00A02AC5"/>
    <w:rsid w:val="00A0703E"/>
    <w:rsid w:val="00A20DEB"/>
    <w:rsid w:val="00A35F98"/>
    <w:rsid w:val="00A457C4"/>
    <w:rsid w:val="00A4620F"/>
    <w:rsid w:val="00A5023E"/>
    <w:rsid w:val="00A5534D"/>
    <w:rsid w:val="00A70603"/>
    <w:rsid w:val="00A96218"/>
    <w:rsid w:val="00AB6151"/>
    <w:rsid w:val="00AD03DB"/>
    <w:rsid w:val="00AD04B8"/>
    <w:rsid w:val="00AD0909"/>
    <w:rsid w:val="00AE77CA"/>
    <w:rsid w:val="00AF1402"/>
    <w:rsid w:val="00AF307B"/>
    <w:rsid w:val="00AF5B20"/>
    <w:rsid w:val="00B012C8"/>
    <w:rsid w:val="00B070E0"/>
    <w:rsid w:val="00B1080B"/>
    <w:rsid w:val="00B14C77"/>
    <w:rsid w:val="00B27ADF"/>
    <w:rsid w:val="00B32AB8"/>
    <w:rsid w:val="00B4527C"/>
    <w:rsid w:val="00B54BAB"/>
    <w:rsid w:val="00B71C94"/>
    <w:rsid w:val="00B872F5"/>
    <w:rsid w:val="00B93CF6"/>
    <w:rsid w:val="00BA75D8"/>
    <w:rsid w:val="00BB18F7"/>
    <w:rsid w:val="00BD3AE8"/>
    <w:rsid w:val="00BD7343"/>
    <w:rsid w:val="00BF01EB"/>
    <w:rsid w:val="00BF49E3"/>
    <w:rsid w:val="00C16624"/>
    <w:rsid w:val="00C36DAD"/>
    <w:rsid w:val="00C43F21"/>
    <w:rsid w:val="00C46367"/>
    <w:rsid w:val="00C55E53"/>
    <w:rsid w:val="00C63662"/>
    <w:rsid w:val="00C64B5E"/>
    <w:rsid w:val="00C867A0"/>
    <w:rsid w:val="00C92273"/>
    <w:rsid w:val="00C94008"/>
    <w:rsid w:val="00CC0FC4"/>
    <w:rsid w:val="00CC1D83"/>
    <w:rsid w:val="00CD29E4"/>
    <w:rsid w:val="00CD6D04"/>
    <w:rsid w:val="00CD719E"/>
    <w:rsid w:val="00CE158C"/>
    <w:rsid w:val="00CF1050"/>
    <w:rsid w:val="00D408EF"/>
    <w:rsid w:val="00D43EC7"/>
    <w:rsid w:val="00D508B9"/>
    <w:rsid w:val="00D509B2"/>
    <w:rsid w:val="00D53DDC"/>
    <w:rsid w:val="00D6348B"/>
    <w:rsid w:val="00D63CE0"/>
    <w:rsid w:val="00D63F0F"/>
    <w:rsid w:val="00D66AB1"/>
    <w:rsid w:val="00D66E67"/>
    <w:rsid w:val="00D704BE"/>
    <w:rsid w:val="00D81175"/>
    <w:rsid w:val="00D82823"/>
    <w:rsid w:val="00D82BBA"/>
    <w:rsid w:val="00D955BD"/>
    <w:rsid w:val="00DB4A88"/>
    <w:rsid w:val="00DC56A9"/>
    <w:rsid w:val="00DF6A73"/>
    <w:rsid w:val="00E00C82"/>
    <w:rsid w:val="00E0243C"/>
    <w:rsid w:val="00E05CCB"/>
    <w:rsid w:val="00E11D8F"/>
    <w:rsid w:val="00E57159"/>
    <w:rsid w:val="00E72463"/>
    <w:rsid w:val="00E91190"/>
    <w:rsid w:val="00E92BF7"/>
    <w:rsid w:val="00EA37BB"/>
    <w:rsid w:val="00EA6E35"/>
    <w:rsid w:val="00EA7A65"/>
    <w:rsid w:val="00EC4798"/>
    <w:rsid w:val="00EE44E1"/>
    <w:rsid w:val="00EE5839"/>
    <w:rsid w:val="00EE6F29"/>
    <w:rsid w:val="00F06AC6"/>
    <w:rsid w:val="00F07F4B"/>
    <w:rsid w:val="00F12DD4"/>
    <w:rsid w:val="00F256D3"/>
    <w:rsid w:val="00F7568A"/>
    <w:rsid w:val="00F84CA3"/>
    <w:rsid w:val="00F87F13"/>
    <w:rsid w:val="00FA1EB5"/>
    <w:rsid w:val="00FB4716"/>
    <w:rsid w:val="00FC49C2"/>
    <w:rsid w:val="00FC6319"/>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D6846"/>
  <w15:chartTrackingRefBased/>
  <w15:docId w15:val="{C6AA5BF1-ADD4-487B-B72A-88BA074E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2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22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22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22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22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22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2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2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2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2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22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22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22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22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22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2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2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25A"/>
    <w:rPr>
      <w:rFonts w:eastAsiaTheme="majorEastAsia" w:cstheme="majorBidi"/>
      <w:color w:val="272727" w:themeColor="text1" w:themeTint="D8"/>
    </w:rPr>
  </w:style>
  <w:style w:type="paragraph" w:styleId="Title">
    <w:name w:val="Title"/>
    <w:basedOn w:val="Normal"/>
    <w:next w:val="Normal"/>
    <w:link w:val="TitleChar"/>
    <w:uiPriority w:val="10"/>
    <w:qFormat/>
    <w:rsid w:val="005222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2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2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2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25A"/>
    <w:pPr>
      <w:spacing w:before="160"/>
      <w:jc w:val="center"/>
    </w:pPr>
    <w:rPr>
      <w:i/>
      <w:iCs/>
      <w:color w:val="404040" w:themeColor="text1" w:themeTint="BF"/>
    </w:rPr>
  </w:style>
  <w:style w:type="character" w:customStyle="1" w:styleId="QuoteChar">
    <w:name w:val="Quote Char"/>
    <w:basedOn w:val="DefaultParagraphFont"/>
    <w:link w:val="Quote"/>
    <w:uiPriority w:val="29"/>
    <w:rsid w:val="0052225A"/>
    <w:rPr>
      <w:i/>
      <w:iCs/>
      <w:color w:val="404040" w:themeColor="text1" w:themeTint="BF"/>
    </w:rPr>
  </w:style>
  <w:style w:type="paragraph" w:styleId="ListParagraph">
    <w:name w:val="List Paragraph"/>
    <w:basedOn w:val="Normal"/>
    <w:uiPriority w:val="34"/>
    <w:qFormat/>
    <w:rsid w:val="0052225A"/>
    <w:pPr>
      <w:ind w:left="720"/>
      <w:contextualSpacing/>
    </w:pPr>
  </w:style>
  <w:style w:type="character" w:styleId="IntenseEmphasis">
    <w:name w:val="Intense Emphasis"/>
    <w:basedOn w:val="DefaultParagraphFont"/>
    <w:uiPriority w:val="21"/>
    <w:qFormat/>
    <w:rsid w:val="0052225A"/>
    <w:rPr>
      <w:i/>
      <w:iCs/>
      <w:color w:val="2F5496" w:themeColor="accent1" w:themeShade="BF"/>
    </w:rPr>
  </w:style>
  <w:style w:type="paragraph" w:styleId="IntenseQuote">
    <w:name w:val="Intense Quote"/>
    <w:basedOn w:val="Normal"/>
    <w:next w:val="Normal"/>
    <w:link w:val="IntenseQuoteChar"/>
    <w:uiPriority w:val="30"/>
    <w:qFormat/>
    <w:rsid w:val="005222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225A"/>
    <w:rPr>
      <w:i/>
      <w:iCs/>
      <w:color w:val="2F5496" w:themeColor="accent1" w:themeShade="BF"/>
    </w:rPr>
  </w:style>
  <w:style w:type="character" w:styleId="IntenseReference">
    <w:name w:val="Intense Reference"/>
    <w:basedOn w:val="DefaultParagraphFont"/>
    <w:uiPriority w:val="32"/>
    <w:qFormat/>
    <w:rsid w:val="0052225A"/>
    <w:rPr>
      <w:b/>
      <w:bCs/>
      <w:smallCaps/>
      <w:color w:val="2F5496" w:themeColor="accent1" w:themeShade="BF"/>
      <w:spacing w:val="5"/>
    </w:rPr>
  </w:style>
  <w:style w:type="character" w:styleId="Hyperlink">
    <w:name w:val="Hyperlink"/>
    <w:basedOn w:val="DefaultParagraphFont"/>
    <w:uiPriority w:val="99"/>
    <w:unhideWhenUsed/>
    <w:rsid w:val="0052225A"/>
    <w:rPr>
      <w:color w:val="0563C1" w:themeColor="hyperlink"/>
      <w:u w:val="single"/>
    </w:rPr>
  </w:style>
  <w:style w:type="character" w:styleId="UnresolvedMention">
    <w:name w:val="Unresolved Mention"/>
    <w:basedOn w:val="DefaultParagraphFont"/>
    <w:uiPriority w:val="99"/>
    <w:semiHidden/>
    <w:unhideWhenUsed/>
    <w:rsid w:val="0052225A"/>
    <w:rPr>
      <w:color w:val="605E5C"/>
      <w:shd w:val="clear" w:color="auto" w:fill="E1DFDD"/>
    </w:rPr>
  </w:style>
  <w:style w:type="character" w:styleId="CommentReference">
    <w:name w:val="annotation reference"/>
    <w:basedOn w:val="DefaultParagraphFont"/>
    <w:uiPriority w:val="99"/>
    <w:semiHidden/>
    <w:unhideWhenUsed/>
    <w:rsid w:val="00850549"/>
    <w:rPr>
      <w:sz w:val="16"/>
      <w:szCs w:val="16"/>
    </w:rPr>
  </w:style>
  <w:style w:type="paragraph" w:styleId="CommentText">
    <w:name w:val="annotation text"/>
    <w:basedOn w:val="Normal"/>
    <w:link w:val="CommentTextChar"/>
    <w:uiPriority w:val="99"/>
    <w:unhideWhenUsed/>
    <w:rsid w:val="00850549"/>
    <w:pPr>
      <w:spacing w:line="240" w:lineRule="auto"/>
    </w:pPr>
    <w:rPr>
      <w:sz w:val="20"/>
      <w:szCs w:val="20"/>
    </w:rPr>
  </w:style>
  <w:style w:type="character" w:customStyle="1" w:styleId="CommentTextChar">
    <w:name w:val="Comment Text Char"/>
    <w:basedOn w:val="DefaultParagraphFont"/>
    <w:link w:val="CommentText"/>
    <w:uiPriority w:val="99"/>
    <w:rsid w:val="00850549"/>
    <w:rPr>
      <w:sz w:val="20"/>
      <w:szCs w:val="20"/>
    </w:rPr>
  </w:style>
  <w:style w:type="paragraph" w:styleId="CommentSubject">
    <w:name w:val="annotation subject"/>
    <w:basedOn w:val="CommentText"/>
    <w:next w:val="CommentText"/>
    <w:link w:val="CommentSubjectChar"/>
    <w:uiPriority w:val="99"/>
    <w:semiHidden/>
    <w:unhideWhenUsed/>
    <w:rsid w:val="00850549"/>
    <w:rPr>
      <w:b/>
      <w:bCs/>
    </w:rPr>
  </w:style>
  <w:style w:type="character" w:customStyle="1" w:styleId="CommentSubjectChar">
    <w:name w:val="Comment Subject Char"/>
    <w:basedOn w:val="CommentTextChar"/>
    <w:link w:val="CommentSubject"/>
    <w:uiPriority w:val="99"/>
    <w:semiHidden/>
    <w:rsid w:val="00850549"/>
    <w:rPr>
      <w:b/>
      <w:bCs/>
      <w:sz w:val="20"/>
      <w:szCs w:val="20"/>
    </w:rPr>
  </w:style>
  <w:style w:type="paragraph" w:styleId="Revision">
    <w:name w:val="Revision"/>
    <w:hidden/>
    <w:uiPriority w:val="99"/>
    <w:semiHidden/>
    <w:rsid w:val="00094DD2"/>
    <w:pPr>
      <w:spacing w:after="0" w:line="240" w:lineRule="auto"/>
    </w:pPr>
  </w:style>
  <w:style w:type="character" w:styleId="FollowedHyperlink">
    <w:name w:val="FollowedHyperlink"/>
    <w:basedOn w:val="DefaultParagraphFont"/>
    <w:uiPriority w:val="99"/>
    <w:semiHidden/>
    <w:unhideWhenUsed/>
    <w:rsid w:val="00250E7C"/>
    <w:rPr>
      <w:color w:val="954F72" w:themeColor="followedHyperlink"/>
      <w:u w:val="single"/>
    </w:rPr>
  </w:style>
  <w:style w:type="paragraph" w:styleId="Header">
    <w:name w:val="header"/>
    <w:basedOn w:val="Normal"/>
    <w:link w:val="HeaderChar"/>
    <w:uiPriority w:val="99"/>
    <w:unhideWhenUsed/>
    <w:rsid w:val="00814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9FB"/>
  </w:style>
  <w:style w:type="paragraph" w:styleId="Footer">
    <w:name w:val="footer"/>
    <w:basedOn w:val="Normal"/>
    <w:link w:val="FooterChar"/>
    <w:uiPriority w:val="99"/>
    <w:unhideWhenUsed/>
    <w:rsid w:val="00814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gle-market-economy.ec.europa.eu/single-market/digital-product-passport_en" TargetMode="External"/><Relationship Id="rId13" Type="http://schemas.openxmlformats.org/officeDocument/2006/relationships/hyperlink" Target="https://www.sciencedirect.com/science/article/abs/pii/S0956053X23004178" TargetMode="External"/><Relationship Id="rId18" Type="http://schemas.openxmlformats.org/officeDocument/2006/relationships/hyperlink" Target="https://www.chemistry.nat.fau.eu/research/expired-drug-initiativ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domino-printing.com?utm_medium=press_release&amp;utm_source=onlinepublication&amp;utm_content=dpp-pharma-tlp-fr&amp;utm_campaign=2026-fr-fr-2026-int-fr-global-pr-cm-fy26-q2" TargetMode="External"/><Relationship Id="rId7" Type="http://schemas.openxmlformats.org/officeDocument/2006/relationships/hyperlink" Target="https://eur-lex.europa.eu/eli/reg/2024/1781/oj/eng" TargetMode="External"/><Relationship Id="rId12" Type="http://schemas.openxmlformats.org/officeDocument/2006/relationships/hyperlink" Target="https://mygroupltd.com/news/recycling-blister-packs-in-the-uk-the-rise-of-a-sustainable-solution/" TargetMode="External"/><Relationship Id="rId17" Type="http://schemas.openxmlformats.org/officeDocument/2006/relationships/hyperlink" Target="https://learning.eupati.eu/mod/book/view.php?id=866&amp;chapterid=781"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nhssomerset.nhs.uk/news/save-nhs-300m-cut-prescription-waste/" TargetMode="External"/><Relationship Id="rId20" Type="http://schemas.openxmlformats.org/officeDocument/2006/relationships/hyperlink" Target="https://www.domino-printing.com/fr-fr/sectors/pharmaceutique?utm_medium=press_release&amp;utm_source=onlinepublication&amp;utm_content=dpp-pharma-tlp-fr&amp;utm_campaign=2026-fr-fr-2026-int-fr-global-pr-cm-fy26-q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news-room/fact-sheets/detail/health-care-wast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hippocraticpost.com/pharmacy-drugs/unused-prescription-medicines-cost-the-nhs-300-million-every-year-40-of-brits-admit-to-binning-them/" TargetMode="External"/><Relationship Id="rId23" Type="http://schemas.openxmlformats.org/officeDocument/2006/relationships/hyperlink" Target="mailto:delphine.baudesson@domino-marquage.com" TargetMode="External"/><Relationship Id="rId10" Type="http://schemas.openxmlformats.org/officeDocument/2006/relationships/hyperlink" Target="https://www.gs1.org/resources/articles/gs1-brings-trusted-medicine-information-smartphones-through-collaboration-google?utm_medium=email&amp;utm_campaign=2025%20achievements%20HIG%20and%20GM&amp;utm_content=2025%20achievements%20HIG%20and%20GM+CID_8cc20509ef92dddbd77ac62cad1804c4&amp;utm_source=newsletter&amp;utm_term=collaboration%20with%20Google" TargetMode="External"/><Relationship Id="rId19" Type="http://schemas.openxmlformats.org/officeDocument/2006/relationships/hyperlink" Target="https://givmed.org/en/" TargetMode="External"/><Relationship Id="rId4" Type="http://schemas.openxmlformats.org/officeDocument/2006/relationships/webSettings" Target="webSettings.xml"/><Relationship Id="rId9" Type="http://schemas.openxmlformats.org/officeDocument/2006/relationships/hyperlink" Target="https://green-forum.ec.europa.eu/news/2025-2030-working-plan-2025-07-11_en" TargetMode="External"/><Relationship Id="rId14" Type="http://schemas.openxmlformats.org/officeDocument/2006/relationships/hyperlink" Target="https://nhssomerset.nhs.uk/news/save-nhs-300m-cut-prescription-waste/" TargetMode="External"/><Relationship Id="rId22" Type="http://schemas.openxmlformats.org/officeDocument/2006/relationships/hyperlink" Target="mailto:Jade.Taylor-Salazar@domino-uk.co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2126</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Mansell-Lewis</dc:creator>
  <cp:keywords/>
  <dc:description/>
  <cp:lastModifiedBy>Alex Byard</cp:lastModifiedBy>
  <cp:revision>2</cp:revision>
  <dcterms:created xsi:type="dcterms:W3CDTF">2026-10-29T16:58:00Z</dcterms:created>
  <dcterms:modified xsi:type="dcterms:W3CDTF">2026-10-29T16:58:00Z</dcterms:modified>
</cp:coreProperties>
</file>