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01E7B" w14:textId="12DD8C55" w:rsidR="008639DE" w:rsidRPr="00340239" w:rsidRDefault="008160FC" w:rsidP="00932172">
      <w:pPr>
        <w:spacing w:before="120" w:after="120" w:line="360" w:lineRule="auto"/>
        <w:rPr>
          <w:rFonts w:ascii="Noto Sans" w:hAnsi="Noto Sans" w:cs="Noto Sans"/>
          <w:sz w:val="22"/>
          <w:szCs w:val="22"/>
        </w:rPr>
      </w:pPr>
      <w:r w:rsidRPr="00340239">
        <w:rPr>
          <w:rFonts w:ascii="Noto Sans" w:hAnsi="Noto Sans" w:cs="Noto Sans"/>
          <w:b/>
          <w:bCs/>
          <w:sz w:val="22"/>
          <w:szCs w:val="22"/>
          <w:lang w:val="fr"/>
        </w:rPr>
        <w:t xml:space="preserve">Protéger la qualité des données dans les chaînes logistiques pharmaceutiques </w:t>
      </w:r>
    </w:p>
    <w:p w14:paraId="406E8E1E" w14:textId="19A74FCD" w:rsidR="008639DE" w:rsidRPr="005B5A25" w:rsidRDefault="00B014D0" w:rsidP="00932172">
      <w:pPr>
        <w:spacing w:before="120" w:after="120" w:line="360" w:lineRule="auto"/>
        <w:rPr>
          <w:rFonts w:ascii="Noto Sans" w:hAnsi="Noto Sans" w:cs="Noto Sans"/>
          <w:i/>
          <w:iCs/>
          <w:sz w:val="20"/>
          <w:szCs w:val="20"/>
        </w:rPr>
      </w:pPr>
      <w:r>
        <w:rPr>
          <w:rFonts w:ascii="Noto Sans" w:hAnsi="Noto Sans" w:cs="Noto Sans"/>
          <w:i/>
          <w:iCs/>
          <w:sz w:val="20"/>
          <w:szCs w:val="20"/>
          <w:lang w:val="fr"/>
        </w:rPr>
        <w:t xml:space="preserve">L'industrie pharmaceutique se connecte et s'automatise de plus en plus grâce à des technologies axées sur les données, qui permettent de soutenir les opérations avec une intervention humaine minimale. Par conséquent, la qualité des données est devenue un sujet de discussion essentiel. </w:t>
      </w:r>
    </w:p>
    <w:p w14:paraId="761607AA" w14:textId="42AD2518" w:rsidR="0088634A" w:rsidRPr="005B5A25" w:rsidRDefault="00B014D0" w:rsidP="00932172">
      <w:pPr>
        <w:spacing w:before="120" w:after="120" w:line="360" w:lineRule="auto"/>
        <w:rPr>
          <w:rFonts w:ascii="Noto Sans" w:hAnsi="Noto Sans" w:cs="Noto Sans"/>
          <w:i/>
          <w:iCs/>
          <w:sz w:val="20"/>
          <w:szCs w:val="20"/>
        </w:rPr>
      </w:pPr>
      <w:r>
        <w:rPr>
          <w:rFonts w:ascii="Noto Sans" w:hAnsi="Noto Sans" w:cs="Noto Sans"/>
          <w:i/>
          <w:iCs/>
          <w:sz w:val="20"/>
          <w:szCs w:val="20"/>
          <w:lang w:val="fr"/>
        </w:rPr>
        <w:t>L'industrie a déjà investi massivement dans la gouvernance des données. Toutefois, la qualité des données ne se limite pas au point d'application, et c'est la protection de ces données une fois le produit sorti de l'usine qui pourrait faire défaut aux fabricants.</w:t>
      </w:r>
    </w:p>
    <w:p w14:paraId="4CA3342C" w14:textId="43EFF1AD" w:rsidR="00D03142" w:rsidRPr="00D535EA" w:rsidRDefault="008160FC" w:rsidP="00932172">
      <w:pPr>
        <w:spacing w:before="120" w:after="120" w:line="360" w:lineRule="auto"/>
        <w:rPr>
          <w:rFonts w:ascii="Noto Sans" w:hAnsi="Noto Sans" w:cs="Noto Sans"/>
          <w:i/>
          <w:iCs/>
          <w:sz w:val="20"/>
          <w:szCs w:val="20"/>
        </w:rPr>
      </w:pPr>
      <w:r>
        <w:rPr>
          <w:rFonts w:ascii="Noto Sans" w:hAnsi="Noto Sans" w:cs="Noto Sans"/>
          <w:i/>
          <w:iCs/>
          <w:sz w:val="20"/>
          <w:szCs w:val="20"/>
          <w:lang w:val="fr"/>
        </w:rPr>
        <w:t xml:space="preserve">Bart Vansteenkiste, Global Key </w:t>
      </w:r>
      <w:proofErr w:type="spellStart"/>
      <w:r>
        <w:rPr>
          <w:rFonts w:ascii="Noto Sans" w:hAnsi="Noto Sans" w:cs="Noto Sans"/>
          <w:i/>
          <w:iCs/>
          <w:sz w:val="20"/>
          <w:szCs w:val="20"/>
          <w:lang w:val="fr"/>
        </w:rPr>
        <w:t>Account</w:t>
      </w:r>
      <w:proofErr w:type="spellEnd"/>
      <w:r>
        <w:rPr>
          <w:rFonts w:ascii="Noto Sans" w:hAnsi="Noto Sans" w:cs="Noto Sans"/>
          <w:i/>
          <w:iCs/>
          <w:sz w:val="20"/>
          <w:szCs w:val="20"/>
          <w:lang w:val="fr"/>
        </w:rPr>
        <w:t xml:space="preserve"> Manager – </w:t>
      </w:r>
      <w:proofErr w:type="spellStart"/>
      <w:r>
        <w:rPr>
          <w:rFonts w:ascii="Noto Sans" w:hAnsi="Noto Sans" w:cs="Noto Sans"/>
          <w:i/>
          <w:iCs/>
          <w:sz w:val="20"/>
          <w:szCs w:val="20"/>
          <w:lang w:val="fr"/>
        </w:rPr>
        <w:t>Lifesciences</w:t>
      </w:r>
      <w:proofErr w:type="spellEnd"/>
      <w:r>
        <w:rPr>
          <w:rFonts w:ascii="Noto Sans" w:hAnsi="Noto Sans" w:cs="Noto Sans"/>
          <w:i/>
          <w:iCs/>
          <w:sz w:val="20"/>
          <w:szCs w:val="20"/>
          <w:lang w:val="fr"/>
        </w:rPr>
        <w:t xml:space="preserve">, Domino Printing Sciences, explore l'importance des technologies de codage, de la validation et des tests d'échantillons stratégiques pour aider à protéger les données dans les chaînes logistiques pharmaceutiques. </w:t>
      </w:r>
    </w:p>
    <w:p w14:paraId="6E4B07D9" w14:textId="3FA99D1A" w:rsidR="006127B6" w:rsidRDefault="006127B6" w:rsidP="00932172">
      <w:pPr>
        <w:spacing w:before="120" w:after="120" w:line="360" w:lineRule="auto"/>
        <w:rPr>
          <w:rFonts w:ascii="Noto Sans" w:hAnsi="Noto Sans" w:cs="Noto Sans"/>
          <w:b/>
          <w:bCs/>
          <w:sz w:val="20"/>
          <w:szCs w:val="20"/>
        </w:rPr>
      </w:pPr>
      <w:r>
        <w:rPr>
          <w:rFonts w:ascii="Noto Sans" w:hAnsi="Noto Sans" w:cs="Noto Sans"/>
          <w:b/>
          <w:bCs/>
          <w:sz w:val="20"/>
          <w:szCs w:val="20"/>
          <w:lang w:val="fr"/>
        </w:rPr>
        <w:t>Intégrité des données en aval</w:t>
      </w:r>
    </w:p>
    <w:p w14:paraId="38549D7F" w14:textId="6DE9E5A1" w:rsidR="00D535EA"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Selon une étude récente d'Accenture, </w:t>
      </w:r>
      <w:hyperlink r:id="rId6" w:anchor="zoom=40" w:history="1">
        <w:r>
          <w:rPr>
            <w:rStyle w:val="Hyperlink"/>
            <w:rFonts w:ascii="Noto Sans" w:hAnsi="Noto Sans" w:cs="Noto Sans"/>
            <w:sz w:val="20"/>
            <w:szCs w:val="20"/>
            <w:lang w:val="fr"/>
          </w:rPr>
          <w:t>67 % des entreprises ne font pas suffisamment confiance à leurs données pour les utiliser efficacement</w:t>
        </w:r>
      </w:hyperlink>
      <w:r>
        <w:rPr>
          <w:rFonts w:ascii="Noto Sans" w:hAnsi="Noto Sans" w:cs="Noto Sans"/>
          <w:sz w:val="20"/>
          <w:szCs w:val="20"/>
          <w:lang w:val="fr"/>
        </w:rPr>
        <w:t xml:space="preserve">. Pour les secteurs réglementés, comme l'industrie pharmaceutique, il existe toutefois généralement déjà des données de référence exactes. </w:t>
      </w:r>
    </w:p>
    <w:p w14:paraId="30095AED" w14:textId="411B50A4" w:rsidR="0088634A" w:rsidRDefault="00C377FC"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Des obligations claires imposent la sérialisation des produits afin de garantir la traçabilité de la chaîne logistique et de renforcer la sécurité des patients, ainsi que la validation pour s'assurer que les données sont correctes et conformes au point d'application. Les problèmes de qualité des données dans le secteur pharmaceutique sont bien plus susceptibles de survenir dans l’ensemble de la chaîne logistique. Pour être véritablement fiables, les données doivent être précises, lisibles et accessibles tout au long de leur parcours. </w:t>
      </w:r>
    </w:p>
    <w:p w14:paraId="32B7F5CF" w14:textId="2512AD5E" w:rsidR="008639DE" w:rsidRPr="00A70298" w:rsidRDefault="0088634A" w:rsidP="00932172">
      <w:pPr>
        <w:spacing w:before="120" w:after="120" w:line="360" w:lineRule="auto"/>
        <w:rPr>
          <w:rFonts w:ascii="Noto Sans" w:hAnsi="Noto Sans" w:cs="Noto Sans"/>
          <w:sz w:val="20"/>
          <w:szCs w:val="20"/>
        </w:rPr>
      </w:pPr>
      <w:r>
        <w:rPr>
          <w:rFonts w:ascii="Noto Sans" w:hAnsi="Noto Sans" w:cs="Noto Sans"/>
          <w:sz w:val="20"/>
          <w:szCs w:val="20"/>
          <w:lang w:val="fr"/>
        </w:rPr>
        <w:t>Des données correctes dans le système mais incorrectes ou illisibles sur l'emballage peuvent être aussi dommageables que des données manquantes. Avec l’augmentation des systèmes de prescription et de délivrance automatisés, des données manquantes, incomplètes, mal formatées ou mal appliquées peuvent entraîner le rejet de stocks, des rappels ou, dans le pire des cas, de dangereuses erreurs de délivrance.</w:t>
      </w:r>
    </w:p>
    <w:p w14:paraId="69911B00" w14:textId="01DE50D9" w:rsidR="008639DE" w:rsidRDefault="00D535EA"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Les données manquantes et illisibles causent déjà des problèmes dans le secteur. Plusieurs pharmacies au Royaume-Uni ont récemment </w:t>
      </w:r>
      <w:hyperlink r:id="rId7" w:history="1">
        <w:r>
          <w:rPr>
            <w:rFonts w:ascii="Noto Sans" w:hAnsi="Noto Sans" w:cs="Noto Sans"/>
            <w:color w:val="0000EE"/>
            <w:sz w:val="20"/>
            <w:szCs w:val="20"/>
            <w:u w:val="single"/>
            <w:lang w:val="fr"/>
          </w:rPr>
          <w:t>signalé une augmentation de médicaments dotés de codes-barres illisibles</w:t>
        </w:r>
      </w:hyperlink>
      <w:r>
        <w:rPr>
          <w:rFonts w:ascii="Noto Sans" w:hAnsi="Noto Sans" w:cs="Noto Sans"/>
          <w:sz w:val="20"/>
          <w:szCs w:val="20"/>
          <w:lang w:val="fr"/>
        </w:rPr>
        <w:t>. L'</w:t>
      </w:r>
      <w:hyperlink r:id="rId8" w:history="1">
        <w:r>
          <w:rPr>
            <w:rFonts w:ascii="Noto Sans" w:hAnsi="Noto Sans" w:cs="Noto Sans"/>
            <w:color w:val="0000EE"/>
            <w:sz w:val="20"/>
            <w:szCs w:val="20"/>
            <w:u w:val="single"/>
            <w:lang w:val="fr"/>
          </w:rPr>
          <w:t>Agence britannique de régulation des médicaments et des produits de santé (MHRA) a signalé des problèmes similaires</w:t>
        </w:r>
      </w:hyperlink>
      <w:r>
        <w:rPr>
          <w:rFonts w:ascii="Noto Sans" w:hAnsi="Noto Sans" w:cs="Noto Sans"/>
          <w:sz w:val="20"/>
          <w:szCs w:val="20"/>
          <w:lang w:val="fr"/>
        </w:rPr>
        <w:t xml:space="preserve">, citant une augmentation des codes-barres 2D </w:t>
      </w:r>
      <w:r>
        <w:rPr>
          <w:rFonts w:ascii="Noto Sans" w:hAnsi="Noto Sans" w:cs="Noto Sans"/>
          <w:sz w:val="20"/>
          <w:szCs w:val="20"/>
          <w:lang w:val="fr"/>
        </w:rPr>
        <w:lastRenderedPageBreak/>
        <w:t xml:space="preserve">illisibles entraînant la mise au rebut ou la mise en quarantaine de stocks pendant que des contrôles manuels sont effectués. </w:t>
      </w:r>
    </w:p>
    <w:p w14:paraId="5A112E6C" w14:textId="076C2762" w:rsidR="00FE24CD" w:rsidRDefault="00FE24CD" w:rsidP="00932172">
      <w:pPr>
        <w:spacing w:before="120" w:after="120" w:line="360" w:lineRule="auto"/>
        <w:rPr>
          <w:rFonts w:ascii="Noto Sans" w:hAnsi="Noto Sans" w:cs="Noto Sans"/>
          <w:sz w:val="20"/>
          <w:szCs w:val="20"/>
        </w:rPr>
      </w:pPr>
      <w:r>
        <w:rPr>
          <w:rFonts w:ascii="Noto Sans" w:hAnsi="Noto Sans" w:cs="Noto Sans"/>
          <w:sz w:val="20"/>
          <w:szCs w:val="20"/>
          <w:lang w:val="fr"/>
        </w:rPr>
        <w:t>Ces incidents démontrent à quel point les données fiables de la chaîne logistique peuvent facilement être compromises.</w:t>
      </w:r>
    </w:p>
    <w:p w14:paraId="7EC5D0EC" w14:textId="4A05CB77" w:rsidR="008639DE" w:rsidRPr="00A70298" w:rsidRDefault="00B014D0" w:rsidP="00932172">
      <w:pPr>
        <w:spacing w:before="120" w:after="120" w:line="360" w:lineRule="auto"/>
        <w:rPr>
          <w:rFonts w:ascii="Noto Sans" w:hAnsi="Noto Sans" w:cs="Noto Sans"/>
          <w:sz w:val="20"/>
          <w:szCs w:val="20"/>
        </w:rPr>
      </w:pPr>
      <w:r>
        <w:rPr>
          <w:rFonts w:ascii="Noto Sans" w:hAnsi="Noto Sans" w:cs="Noto Sans"/>
          <w:b/>
          <w:bCs/>
          <w:sz w:val="20"/>
          <w:szCs w:val="20"/>
          <w:lang w:val="fr"/>
        </w:rPr>
        <w:t>Quand les bonnes données de chaîne logistique se dégradent</w:t>
      </w:r>
    </w:p>
    <w:p w14:paraId="05ECEC98" w14:textId="5C27AAE4" w:rsidR="008639DE" w:rsidRPr="00A70298"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Prenons un exemple : un médicament à forte valeur ajoutée est fabriqué en Allemagne et marqué d'un code Data Matrix 2D sérialisé et conforme, avant de quitter l'usine. </w:t>
      </w:r>
    </w:p>
    <w:p w14:paraId="6D3D2442" w14:textId="745607CB" w:rsidR="008639DE" w:rsidRPr="00A70298"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Au fur et à mesure que le médicament progresse dans la chaîne logistique, les manipulations répétées et les frottements liés à l'emballage endommagent le code Data Matrix imprimé. Quelques semaines plus tard, le produit arrive dans une pharmacie hospitalière au Royaume-Uni. Lorsqu'un pharmacien tente de scanner l'emballage, le code-barre s'avère illisible.</w:t>
      </w:r>
    </w:p>
    <w:p w14:paraId="5DA4FC26" w14:textId="7C8D3CAE" w:rsidR="008639DE" w:rsidRPr="00A70298"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 Quelles sont les conséquences ? </w:t>
      </w:r>
    </w:p>
    <w:p w14:paraId="1D6A2788" w14:textId="7BA35727" w:rsidR="008639DE" w:rsidRPr="00A70298"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Dans le meilleur des cas, le pharmacien devra mettre le produit de côté et effectuer des vérifications manuelles, ce qui augmente la charge de travail et entraîne des retards. Si le produit ne peut pas être vérifié, le médicament devra être mis au rebut, ce qui accroît la pression sur les coûts d'une industrie déjà sensible aux prix. Si aucun stock de remplacement n'est disponible, un traitement important pourrait se trouver retardé.</w:t>
      </w:r>
    </w:p>
    <w:p w14:paraId="7AC189C5" w14:textId="697AFEB0" w:rsidR="0033687E" w:rsidRPr="00A70298"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 La conclusion est simple : un code ne doit pas seulement être lisible à la sortie de la ligne de production, il doit le rester tout au long du cycle de vie du produit. </w:t>
      </w:r>
    </w:p>
    <w:p w14:paraId="63C8B466" w14:textId="629B5FC2" w:rsidR="006127B6" w:rsidRPr="005B5A25" w:rsidRDefault="00C377FC" w:rsidP="00932172">
      <w:pPr>
        <w:spacing w:before="120" w:after="120" w:line="360" w:lineRule="auto"/>
        <w:rPr>
          <w:rFonts w:ascii="Noto Sans" w:hAnsi="Noto Sans" w:cs="Noto Sans"/>
          <w:b/>
          <w:bCs/>
          <w:sz w:val="20"/>
          <w:szCs w:val="20"/>
        </w:rPr>
      </w:pPr>
      <w:r>
        <w:rPr>
          <w:rFonts w:ascii="Noto Sans" w:hAnsi="Noto Sans" w:cs="Noto Sans"/>
          <w:b/>
          <w:bCs/>
          <w:sz w:val="20"/>
          <w:szCs w:val="20"/>
          <w:lang w:val="fr"/>
        </w:rPr>
        <w:t>Instaurer la confiance</w:t>
      </w:r>
    </w:p>
    <w:p w14:paraId="75896E3A" w14:textId="33B37025" w:rsidR="00D535EA" w:rsidRDefault="00B53097"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L'intégrité des données dans le secteur pharmaceutique commence dès le point d'application. Une information erronée appliquée sur un emballage entraînera inévitablement des perturbations en aval. Des exemples issus du secteur ont montré comment des erreurs d'emballage, notamment l'utilisation de </w:t>
      </w:r>
      <w:hyperlink r:id="rId9" w:history="1">
        <w:r>
          <w:rPr>
            <w:rFonts w:ascii="Noto Sans" w:hAnsi="Noto Sans" w:cs="Noto Sans"/>
            <w:color w:val="0000EE"/>
            <w:sz w:val="20"/>
            <w:szCs w:val="20"/>
            <w:u w:val="single"/>
            <w:lang w:val="fr"/>
          </w:rPr>
          <w:t>composants pré-imprimés incorrects, ont contribué à des erreurs et à des rappels de produits</w:t>
        </w:r>
      </w:hyperlink>
      <w:r>
        <w:rPr>
          <w:rFonts w:ascii="Noto Sans" w:hAnsi="Noto Sans" w:cs="Noto Sans"/>
          <w:sz w:val="20"/>
          <w:szCs w:val="20"/>
          <w:lang w:val="fr"/>
        </w:rPr>
        <w:t xml:space="preserve">. </w:t>
      </w:r>
    </w:p>
    <w:p w14:paraId="70283ECD" w14:textId="562E58DE" w:rsidR="008B25DE" w:rsidRDefault="00232F4C"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L'accent que les réglementations pharmaceutiques mettent sur la validation est essentiel. Un processus de production correctement validé, associé à des systèmes d'inspection par vision en ligne, contribue à garantir l'utilisation des bons matériaux d'emballage et l'exactitude de toutes les informations figurant sur le produit dès le point d'application. </w:t>
      </w:r>
    </w:p>
    <w:p w14:paraId="704D881A" w14:textId="2F0A4DF3" w:rsidR="008639DE" w:rsidRPr="00A70298" w:rsidRDefault="0001021E" w:rsidP="00932172">
      <w:pPr>
        <w:spacing w:before="120" w:after="120" w:line="360" w:lineRule="auto"/>
        <w:rPr>
          <w:rFonts w:ascii="Noto Sans" w:hAnsi="Noto Sans" w:cs="Noto Sans"/>
          <w:sz w:val="20"/>
          <w:szCs w:val="20"/>
        </w:rPr>
      </w:pPr>
      <w:r>
        <w:rPr>
          <w:rFonts w:ascii="Noto Sans" w:hAnsi="Noto Sans" w:cs="Noto Sans"/>
          <w:sz w:val="20"/>
          <w:szCs w:val="20"/>
          <w:lang w:val="fr"/>
        </w:rPr>
        <w:lastRenderedPageBreak/>
        <w:t>L’intégrité en aval exige ensuite que les codes restent lisibles tout au long de la chaîne logistique pharmaceutique. Pour y parvenir, il faut donc privilégier le choix de technologies de codage adaptées, la validation de la qualité d'impression et la durabilité des codes-barres dans le temps.</w:t>
      </w:r>
    </w:p>
    <w:p w14:paraId="1652D733" w14:textId="77777777" w:rsidR="0001021E" w:rsidRPr="0001021E" w:rsidRDefault="0001021E" w:rsidP="00932172">
      <w:pPr>
        <w:spacing w:before="120" w:after="120" w:line="360" w:lineRule="auto"/>
        <w:rPr>
          <w:rFonts w:ascii="Noto Sans" w:hAnsi="Noto Sans" w:cs="Noto Sans"/>
          <w:b/>
          <w:bCs/>
          <w:sz w:val="20"/>
          <w:szCs w:val="20"/>
        </w:rPr>
      </w:pPr>
      <w:r>
        <w:rPr>
          <w:rFonts w:ascii="Noto Sans" w:hAnsi="Noto Sans" w:cs="Noto Sans"/>
          <w:b/>
          <w:bCs/>
          <w:sz w:val="20"/>
          <w:szCs w:val="20"/>
          <w:lang w:val="fr"/>
        </w:rPr>
        <w:t>Codage et vérification</w:t>
      </w:r>
    </w:p>
    <w:p w14:paraId="4E387151" w14:textId="53704FBE" w:rsidR="008160FC" w:rsidRDefault="0001021E"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Il n’existe pas de solution unique. Le modèle approprié variera d'une ligne de production à l'autre, et dépendra du type de substrat, de la vitesse de ligne, de l'environnement de production, et du fait qu'une technologie avec ou sans contact soit requise. </w:t>
      </w:r>
    </w:p>
    <w:p w14:paraId="1E3AAC09" w14:textId="2B57C487" w:rsidR="008639DE" w:rsidRPr="00A70298"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D'autres variations de la ligne de production, notamment la forme du produit, la stabilité de la ligne et les vibrations, influenceront le choix de la technologie de codage. Certaines applications peuvent nécessiter des solutions de manutention de produits dédiées, afin de garantir l'application fiable des codes Data Matrix 2D. </w:t>
      </w:r>
    </w:p>
    <w:p w14:paraId="4BE68633" w14:textId="07E27C72" w:rsidR="008639DE" w:rsidRPr="00A70298" w:rsidRDefault="0001021E"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L’utilisation de la </w:t>
      </w:r>
      <w:hyperlink r:id="rId10" w:history="1">
        <w:r w:rsidRPr="001F42DF">
          <w:rPr>
            <w:rStyle w:val="Hyperlink"/>
            <w:rFonts w:ascii="Noto Sans" w:hAnsi="Noto Sans" w:cs="Noto Sans"/>
            <w:sz w:val="20"/>
            <w:szCs w:val="20"/>
            <w:lang w:val="fr"/>
          </w:rPr>
          <w:t>vision industrielle</w:t>
        </w:r>
      </w:hyperlink>
      <w:r>
        <w:rPr>
          <w:rFonts w:ascii="Noto Sans" w:hAnsi="Noto Sans" w:cs="Noto Sans"/>
          <w:sz w:val="20"/>
          <w:szCs w:val="20"/>
          <w:lang w:val="fr"/>
        </w:rPr>
        <w:t xml:space="preserve"> pour contrôler et vérifier les codes sur les produits est essentielle. En plus de vérifier que les informations figurant sur un produit sont correctes et conformes aux commandes de production, ce qui réduit le risque d’étiquetage erroné des médicaments, les systèmes de vision peuvent confirmer la qualité du scan afin de réduire le risque de rejet de produits. </w:t>
      </w:r>
    </w:p>
    <w:p w14:paraId="77E269C5" w14:textId="0E513788" w:rsidR="00B771F5" w:rsidRDefault="00C377FC" w:rsidP="00932172">
      <w:pPr>
        <w:spacing w:before="120" w:after="120" w:line="360" w:lineRule="auto"/>
        <w:rPr>
          <w:rFonts w:ascii="Noto Sans" w:hAnsi="Noto Sans" w:cs="Noto Sans"/>
          <w:sz w:val="20"/>
          <w:szCs w:val="20"/>
        </w:rPr>
      </w:pPr>
      <w:r>
        <w:rPr>
          <w:rFonts w:ascii="Noto Sans" w:hAnsi="Noto Sans" w:cs="Noto Sans"/>
          <w:b/>
          <w:bCs/>
          <w:sz w:val="20"/>
          <w:szCs w:val="20"/>
          <w:lang w:val="fr"/>
        </w:rPr>
        <w:t>Codage durable</w:t>
      </w:r>
    </w:p>
    <w:p w14:paraId="3444C844" w14:textId="7588596F" w:rsidR="00FE24CD" w:rsidRPr="00FE24CD" w:rsidRDefault="00B771F5" w:rsidP="00932172">
      <w:pPr>
        <w:spacing w:before="120" w:after="120" w:line="360" w:lineRule="auto"/>
        <w:rPr>
          <w:rFonts w:ascii="Noto Sans" w:hAnsi="Noto Sans" w:cs="Noto Sans"/>
          <w:sz w:val="20"/>
          <w:szCs w:val="20"/>
        </w:rPr>
      </w:pPr>
      <w:r>
        <w:rPr>
          <w:rFonts w:ascii="Noto Sans" w:hAnsi="Noto Sans" w:cs="Noto Sans"/>
          <w:sz w:val="20"/>
          <w:szCs w:val="20"/>
          <w:lang w:val="fr"/>
        </w:rPr>
        <w:t>Pour soutenir la lisibilité à long terme des codes, les fabricants doivent évaluer les performances des codes dans les conditions réelles des chaînes logistiques pharmaceutiques. Un codage durable favorise la traçabilité au sein de la chaîne logistique et la conformité réglementaire en garantissant que les données restent accessibles.</w:t>
      </w:r>
    </w:p>
    <w:p w14:paraId="56923116" w14:textId="10F79174" w:rsidR="008639DE" w:rsidRPr="00A70298"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Des facteurs tels que la stérilisation à la vapeur, le stockage à froid, la manipulation, les frottements et l'exposition à la lumière peuvent tous affecter l'intégrité des codes au fil du temps. Le choix de l'encre ou du ruban adapté au matériau d'emballage est donc tout aussi important que celui de la technologie de codage elle-même. Les codes produits doivent alors faire l'objet de tests de durabilité, ainsi que de tests de performance de lecture répétés, afin de garantir que les codes 2D restent lisibles tout au long du cycle de vie des produits.</w:t>
      </w:r>
    </w:p>
    <w:p w14:paraId="04CCE591" w14:textId="524AC6DB" w:rsidR="00C5444D" w:rsidRDefault="00B014D0"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En combinant des processus de vérification automatisés avec le choix d'une technologie de codage et de consommables adaptés, les fabricants peuvent contribuer à protéger leurs données au-delà </w:t>
      </w:r>
      <w:r>
        <w:rPr>
          <w:rFonts w:ascii="Noto Sans" w:hAnsi="Noto Sans" w:cs="Noto Sans"/>
          <w:sz w:val="20"/>
          <w:szCs w:val="20"/>
          <w:lang w:val="fr"/>
        </w:rPr>
        <w:lastRenderedPageBreak/>
        <w:t xml:space="preserve">de l'atelier de production. Le partenariat avec un fournisseur expérimenté de solutions avancées d'impression de données variables et de gestion des données peut aider les fabricants pharmaceutiques à faire face à ces choix, en sélectionnant et en mettant en œuvre une solution qui garantit une qualité des codes et </w:t>
      </w:r>
      <w:proofErr w:type="gramStart"/>
      <w:r>
        <w:rPr>
          <w:rFonts w:ascii="Noto Sans" w:hAnsi="Noto Sans" w:cs="Noto Sans"/>
          <w:sz w:val="20"/>
          <w:szCs w:val="20"/>
          <w:lang w:val="fr"/>
        </w:rPr>
        <w:t>une durabilité fiables</w:t>
      </w:r>
      <w:proofErr w:type="gramEnd"/>
      <w:r>
        <w:rPr>
          <w:rFonts w:ascii="Noto Sans" w:hAnsi="Noto Sans" w:cs="Noto Sans"/>
          <w:sz w:val="20"/>
          <w:szCs w:val="20"/>
          <w:lang w:val="fr"/>
        </w:rPr>
        <w:t>, ainsi qu'une traçabilité tout au long du cycle de vie des produits.</w:t>
      </w:r>
    </w:p>
    <w:p w14:paraId="4AEB0DA5" w14:textId="1EF83F12" w:rsidR="008639DE" w:rsidRPr="00A70298" w:rsidRDefault="00B014D0" w:rsidP="00932172">
      <w:pPr>
        <w:spacing w:before="120" w:after="120" w:line="360" w:lineRule="auto"/>
        <w:rPr>
          <w:rFonts w:ascii="Noto Sans" w:hAnsi="Noto Sans" w:cs="Noto Sans"/>
          <w:sz w:val="20"/>
          <w:szCs w:val="20"/>
        </w:rPr>
      </w:pPr>
      <w:r>
        <w:rPr>
          <w:rFonts w:ascii="Noto Sans" w:hAnsi="Noto Sans" w:cs="Noto Sans"/>
          <w:b/>
          <w:bCs/>
          <w:sz w:val="20"/>
          <w:szCs w:val="20"/>
          <w:lang w:val="fr"/>
        </w:rPr>
        <w:t>Conclusion</w:t>
      </w:r>
    </w:p>
    <w:p w14:paraId="6A2DC3C5" w14:textId="4A3F758D" w:rsidR="00FE24CD" w:rsidRPr="00FE24CD" w:rsidRDefault="0088634A" w:rsidP="00932172">
      <w:pPr>
        <w:spacing w:before="120" w:after="120" w:line="360" w:lineRule="auto"/>
        <w:rPr>
          <w:rFonts w:ascii="Noto Sans" w:hAnsi="Noto Sans" w:cs="Noto Sans"/>
          <w:sz w:val="20"/>
          <w:szCs w:val="20"/>
        </w:rPr>
      </w:pPr>
      <w:r>
        <w:rPr>
          <w:rFonts w:ascii="Noto Sans" w:hAnsi="Noto Sans" w:cs="Noto Sans"/>
          <w:sz w:val="20"/>
          <w:szCs w:val="20"/>
          <w:lang w:val="fr"/>
        </w:rPr>
        <w:t xml:space="preserve">La gestion de la qualité des données s’étend de la ligne de production jusqu’à l’ensemble de la chaîne logistique. Même les systèmes de sérialisation et de traçabilité les plus sophistiqués dépendent de la précision, de la qualité et de la durabilité des codes appliqués sur l'emballage. </w:t>
      </w:r>
    </w:p>
    <w:p w14:paraId="7A357C8E" w14:textId="0236D7F8" w:rsidR="00FE24CD" w:rsidRDefault="00FE24CD" w:rsidP="00932172">
      <w:pPr>
        <w:spacing w:before="120" w:after="120" w:line="360" w:lineRule="auto"/>
        <w:rPr>
          <w:rFonts w:ascii="Noto Sans" w:hAnsi="Noto Sans" w:cs="Noto Sans"/>
          <w:sz w:val="20"/>
          <w:szCs w:val="20"/>
        </w:rPr>
      </w:pPr>
      <w:r>
        <w:rPr>
          <w:rFonts w:ascii="Noto Sans" w:hAnsi="Noto Sans" w:cs="Noto Sans"/>
          <w:sz w:val="20"/>
          <w:szCs w:val="20"/>
          <w:lang w:val="fr"/>
        </w:rPr>
        <w:t>Sans une solution de codage et de marquage optimisée, des données fiables peuvent être compromises bien avant d'atteindre l'utilisateur final. En privilégiant la précision des données, la qualité des codes et leur durabilité, les fabricants peuvent renforcer l'intégrité des données pharmaceutiques et bâtir des chaînes logistiques plus résilientes et autonomes.</w:t>
      </w:r>
    </w:p>
    <w:p w14:paraId="796A6AA7" w14:textId="77777777" w:rsidR="00CF5C02" w:rsidRDefault="00CF5C02" w:rsidP="00CF5C02">
      <w:pPr>
        <w:spacing w:before="120" w:after="120" w:line="360" w:lineRule="auto"/>
        <w:rPr>
          <w:rFonts w:ascii="Noto Sans" w:eastAsia="Calibri" w:hAnsi="Noto Sans" w:cs="Noto Sans"/>
          <w:b/>
          <w:bCs/>
          <w:sz w:val="22"/>
          <w:szCs w:val="22"/>
          <w:lang w:val="pt-PT"/>
        </w:rPr>
      </w:pPr>
      <w:r>
        <w:rPr>
          <w:rFonts w:ascii="Noto Sans" w:eastAsia="Calibri" w:hAnsi="Noto Sans" w:cs="Noto Sans"/>
          <w:b/>
          <w:bCs/>
          <w:sz w:val="22"/>
          <w:szCs w:val="22"/>
          <w:lang w:val="pt-PT"/>
        </w:rPr>
        <w:t>&lt;</w:t>
      </w:r>
      <w:r w:rsidRPr="005C6917">
        <w:rPr>
          <w:rFonts w:ascii="Noto Sans" w:eastAsia="Calibri" w:hAnsi="Noto Sans" w:cs="Noto Sans"/>
          <w:b/>
          <w:bCs/>
          <w:sz w:val="22"/>
          <w:szCs w:val="22"/>
          <w:lang w:val="pt-PT"/>
        </w:rPr>
        <w:t>FIN</w:t>
      </w:r>
      <w:r>
        <w:rPr>
          <w:rFonts w:ascii="Noto Sans" w:eastAsia="Calibri" w:hAnsi="Noto Sans" w:cs="Noto Sans"/>
          <w:b/>
          <w:bCs/>
          <w:sz w:val="22"/>
          <w:szCs w:val="22"/>
          <w:lang w:val="pt-PT"/>
        </w:rPr>
        <w:t>&gt;</w:t>
      </w:r>
    </w:p>
    <w:p w14:paraId="028A90E4" w14:textId="24574373" w:rsidR="00CF5C02" w:rsidRDefault="00CF5C02" w:rsidP="00CF5C02">
      <w:pPr>
        <w:rPr>
          <w:rFonts w:ascii="Noto Sans" w:eastAsia="Gill Sans" w:hAnsi="Noto Sans" w:cs="Noto Sans"/>
          <w:b/>
          <w:bCs/>
          <w:sz w:val="20"/>
          <w:szCs w:val="20"/>
          <w:lang w:val="fr-FR"/>
        </w:rPr>
      </w:pPr>
      <w:bookmarkStart w:id="0" w:name="_Hlk46133219"/>
      <w:r w:rsidRPr="00E06028">
        <w:rPr>
          <w:rFonts w:ascii="Noto Sans" w:eastAsia="Gill Sans" w:hAnsi="Noto Sans" w:cs="Noto Sans"/>
          <w:b/>
          <w:bCs/>
          <w:sz w:val="20"/>
          <w:szCs w:val="20"/>
          <w:lang w:val="fr-FR"/>
        </w:rPr>
        <w:t>Avis de non-responsabilité</w:t>
      </w:r>
      <w:r w:rsidRPr="00E06028">
        <w:rPr>
          <w:rFonts w:ascii="Noto Sans" w:eastAsia="Gill Sans" w:hAnsi="Noto Sans" w:cs="Noto Sans"/>
          <w:b/>
          <w:sz w:val="20"/>
          <w:szCs w:val="20"/>
          <w:lang w:val="es-ES"/>
        </w:rPr>
        <w:br/>
      </w:r>
      <w:r w:rsidRPr="001D71EE">
        <w:rPr>
          <w:rFonts w:ascii="Noto Sans" w:hAnsi="Noto Sans" w:cs="Noto Sans"/>
          <w:sz w:val="20"/>
          <w:szCs w:val="20"/>
          <w:lang w:val="fr-FR"/>
        </w:rPr>
        <w:t xml:space="preserve">Les informations contenues dans ce communiqué de presse sont considérées comme vraies et exactes à la date de publication par Domino. Des changements de circonstances après la date de publication peuvent avoir un impact sur l'exactitude des informations. </w:t>
      </w:r>
      <w:r w:rsidRPr="00E06028">
        <w:rPr>
          <w:rFonts w:ascii="Noto Sans" w:hAnsi="Noto Sans" w:cs="Noto Sans"/>
          <w:sz w:val="20"/>
          <w:szCs w:val="20"/>
          <w:lang w:val="fr-FR"/>
        </w:rPr>
        <w:t>Tous les chiffres et déclarations en matière de résultats indiqués dans les présentes ont été obtenus dans des conditions particulières et ne peuvent être reproduits que dans des circonstances similaires. Pour toutes informations sur un produit particulier, contactez votre Représentant Domino local.  Ce document n’est pas intégré aux conditions générales de vente entre vous-même et Domino.</w:t>
      </w:r>
      <w:r>
        <w:rPr>
          <w:rFonts w:ascii="Noto Sans" w:hAnsi="Noto Sans" w:cs="Noto Sans"/>
          <w:sz w:val="20"/>
          <w:szCs w:val="20"/>
          <w:lang w:val="fr-FR"/>
        </w:rPr>
        <w:t xml:space="preserve"> </w:t>
      </w:r>
      <w:r w:rsidRPr="00E06028">
        <w:rPr>
          <w:rFonts w:ascii="Noto Sans" w:hAnsi="Noto Sans" w:cs="Noto Sans"/>
          <w:sz w:val="20"/>
          <w:szCs w:val="20"/>
          <w:lang w:val="fr-FR"/>
        </w:rPr>
        <w:t xml:space="preserve">Les images peuvent inclure des éléments supplémentaires ou des mises à niveaux. La qualité d'impression peut varier en fonction des consommables, de l'imprimante, des substrats et d'autres facteurs. Les images et photographies ne font pas partie des conditions générales de vente entre vous-même et Domino. </w:t>
      </w:r>
      <w:r w:rsidRPr="00E06028">
        <w:rPr>
          <w:rFonts w:ascii="Noto Sans" w:hAnsi="Noto Sans" w:cs="Noto Sans"/>
          <w:sz w:val="20"/>
          <w:szCs w:val="20"/>
          <w:lang w:val="fr-FR"/>
        </w:rPr>
        <w:br/>
      </w:r>
      <w:bookmarkStart w:id="1" w:name="_Hlk61949672"/>
    </w:p>
    <w:p w14:paraId="18E53700" w14:textId="07D58C8A" w:rsidR="00CF5C02" w:rsidRPr="00E06028" w:rsidRDefault="00CF5C02" w:rsidP="00CF5C02">
      <w:pPr>
        <w:rPr>
          <w:rFonts w:ascii="Noto Sans" w:hAnsi="Noto Sans" w:cs="Noto Sans"/>
          <w:sz w:val="20"/>
          <w:szCs w:val="20"/>
          <w:lang w:val="fr-FR"/>
        </w:rPr>
      </w:pPr>
      <w:r w:rsidRPr="00E06028">
        <w:rPr>
          <w:rFonts w:ascii="Noto Sans" w:eastAsia="Gill Sans" w:hAnsi="Noto Sans" w:cs="Noto Sans"/>
          <w:b/>
          <w:bCs/>
          <w:sz w:val="20"/>
          <w:szCs w:val="20"/>
          <w:lang w:val="fr-FR"/>
        </w:rPr>
        <w:t>Notes à l'attention des rédacteurs :</w:t>
      </w:r>
      <w:r w:rsidRPr="00E06028">
        <w:rPr>
          <w:rFonts w:ascii="Noto Sans" w:eastAsia="Gill Sans" w:hAnsi="Noto Sans" w:cs="Noto Sans"/>
          <w:sz w:val="20"/>
          <w:szCs w:val="20"/>
          <w:lang w:val="es-ES"/>
        </w:rPr>
        <w:br/>
      </w:r>
      <w:r w:rsidRPr="00E06028">
        <w:rPr>
          <w:rFonts w:ascii="Noto Sans" w:eastAsia="Gill Sans" w:hAnsi="Noto Sans" w:cs="Noto Sans"/>
          <w:b/>
          <w:bCs/>
          <w:sz w:val="20"/>
          <w:szCs w:val="20"/>
          <w:lang w:val="fr-FR"/>
        </w:rPr>
        <w:t>À propos de Domino</w:t>
      </w:r>
      <w:r w:rsidRPr="00E06028">
        <w:rPr>
          <w:rFonts w:ascii="Noto Sans" w:eastAsia="Gill Sans" w:hAnsi="Noto Sans" w:cs="Noto Sans"/>
          <w:sz w:val="20"/>
          <w:szCs w:val="20"/>
          <w:lang w:val="es-ES"/>
        </w:rPr>
        <w:br/>
      </w:r>
      <w:r w:rsidRPr="00E06028">
        <w:rPr>
          <w:rFonts w:ascii="Noto Sans" w:eastAsia="Gill Sans" w:hAnsi="Noto Sans" w:cs="Noto Sans"/>
          <w:sz w:val="20"/>
          <w:szCs w:val="20"/>
          <w:lang w:val="fr-FR"/>
        </w:rPr>
        <w:t xml:space="preserve">Fondée en 1978, Domino Printing Sciences (Domino) a acquis une réputation mondiale pour le développement et la fabrication de technologies de codage, de marquage et d'impression numérique, ainsi que pour la qualité de son service après-vente à l'international. Aujourd'hui, Domino propose l'un des portefeuilles les plus complets de solutions intégrales de codage afin de répondre aux exigences de conformité et de productivité des fabricants à travers de nombreux secteurs, notamment l'agroalimentaire, les boissons, et les produits pharmaceutiques et industriels. Les technologies de base de l'entreprise incluent des systèmes innovants comme le jet d'encre, le laser, l’impression-pose d’étiquettes et le codage transfert thermique conçus pour l'application de données variables, de codes à barres et de codes de traçabilité uniques sur les </w:t>
      </w:r>
      <w:r w:rsidRPr="00E06028">
        <w:rPr>
          <w:rFonts w:ascii="Noto Sans" w:eastAsia="Gill Sans" w:hAnsi="Noto Sans" w:cs="Noto Sans"/>
          <w:sz w:val="20"/>
          <w:szCs w:val="20"/>
          <w:lang w:val="fr-FR"/>
        </w:rPr>
        <w:lastRenderedPageBreak/>
        <w:t xml:space="preserve">produits et les emballages.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Domino emploie plus de 3 000 personnes à travers le monde et ses produits sont vendus dans plus de 120 pays grâce à un réseau mondial de 29 filiales et de plus de 200 distributeurs. Domino possède des sites de production en Allemagne, en Chine, aux États-Unis, en Inde, au Royaume-Uni, en Suède et en Suisse.</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Depuis le 11 juin 2015, Domino est une division autonome de Brother Industries Ltd.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Pour plus d'informations sur Domino, veuillez consulter </w:t>
      </w:r>
      <w:hyperlink r:id="rId11" w:history="1">
        <w:r w:rsidRPr="00E06028">
          <w:rPr>
            <w:rStyle w:val="Hyperlink"/>
            <w:rFonts w:ascii="Noto Sans" w:eastAsia="Gill Sans" w:hAnsi="Noto Sans" w:cs="Noto Sans"/>
            <w:sz w:val="20"/>
            <w:szCs w:val="20"/>
            <w:lang w:val="fr-FR"/>
          </w:rPr>
          <w:t>www.domino-printing.com</w:t>
        </w:r>
      </w:hyperlink>
      <w:r w:rsidRPr="00E06028">
        <w:rPr>
          <w:rFonts w:ascii="Noto Sans" w:eastAsia="Gill Sans" w:hAnsi="Noto Sans" w:cs="Noto Sans"/>
          <w:sz w:val="20"/>
          <w:szCs w:val="20"/>
          <w:lang w:val="fr-FR"/>
        </w:rPr>
        <w:t xml:space="preserve">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r>
      <w:r w:rsidRPr="00E06028">
        <w:rPr>
          <w:rFonts w:ascii="Noto Sans" w:eastAsia="Gill Sans" w:hAnsi="Noto Sans" w:cs="Noto Sans"/>
          <w:b/>
          <w:bCs/>
          <w:sz w:val="20"/>
          <w:szCs w:val="20"/>
          <w:lang w:val="fr-FR"/>
        </w:rPr>
        <w:t>Pour de plus amples renseignements, veuillez contacter :</w:t>
      </w:r>
      <w:r w:rsidRPr="00E06028">
        <w:rPr>
          <w:rFonts w:ascii="Noto Sans" w:eastAsia="Gill Sans" w:hAnsi="Noto Sans" w:cs="Noto Sans"/>
          <w:b/>
          <w:sz w:val="20"/>
          <w:szCs w:val="20"/>
          <w:lang w:val="fr-FR"/>
        </w:rPr>
        <w:br/>
      </w:r>
      <w:r w:rsidRPr="00E06028">
        <w:rPr>
          <w:rFonts w:ascii="Noto Sans" w:eastAsia="Gill Sans" w:hAnsi="Noto Sans" w:cs="Noto Sans"/>
          <w:b/>
          <w:sz w:val="20"/>
          <w:szCs w:val="20"/>
          <w:lang w:val="fr-FR"/>
        </w:rPr>
        <w:br/>
      </w:r>
      <w:r w:rsidRPr="00F4774E">
        <w:rPr>
          <w:rFonts w:ascii="Noto Sans" w:hAnsi="Noto Sans" w:cs="Noto Sans"/>
          <w:sz w:val="20"/>
          <w:szCs w:val="20"/>
          <w:lang w:val="nl"/>
        </w:rPr>
        <w:t>Jade Taylor-Salazar</w:t>
      </w:r>
      <w:r w:rsidRPr="00E06028">
        <w:rPr>
          <w:rFonts w:ascii="Noto Sans" w:hAnsi="Noto Sans" w:cs="Noto Sans"/>
          <w:sz w:val="20"/>
          <w:szCs w:val="20"/>
          <w:lang w:val="fr-FR"/>
        </w:rPr>
        <w:br/>
        <w:t xml:space="preserve">Spécialiste en contenu rédactionnel </w:t>
      </w:r>
      <w:r w:rsidRPr="00E06028">
        <w:rPr>
          <w:rFonts w:ascii="Noto Sans" w:hAnsi="Noto Sans" w:cs="Noto Sans"/>
          <w:sz w:val="20"/>
          <w:szCs w:val="20"/>
          <w:lang w:val="fr-FR"/>
        </w:rPr>
        <w:br/>
        <w:t xml:space="preserve">Domino Printing Sciences </w:t>
      </w:r>
      <w:r w:rsidRPr="00E06028">
        <w:rPr>
          <w:rFonts w:ascii="Noto Sans" w:hAnsi="Noto Sans" w:cs="Noto Sans"/>
          <w:sz w:val="20"/>
          <w:szCs w:val="20"/>
          <w:lang w:val="fr-FR"/>
        </w:rPr>
        <w:br/>
        <w:t>Tél. : +44 (0) 1954 778780</w:t>
      </w:r>
      <w:r w:rsidRPr="00E06028">
        <w:rPr>
          <w:rFonts w:ascii="Noto Sans" w:hAnsi="Noto Sans" w:cs="Noto Sans"/>
          <w:sz w:val="20"/>
          <w:szCs w:val="20"/>
          <w:lang w:val="fr-FR"/>
        </w:rPr>
        <w:br/>
      </w:r>
      <w:hyperlink r:id="rId12" w:history="1">
        <w:r w:rsidRPr="00F623A5">
          <w:rPr>
            <w:rStyle w:val="Hyperlink"/>
            <w:rFonts w:ascii="Noto Sans" w:hAnsi="Noto Sans" w:cs="Noto Sans"/>
            <w:sz w:val="20"/>
            <w:szCs w:val="20"/>
            <w:lang w:val="fr-FR"/>
          </w:rPr>
          <w:t>Jade.Taylor-Salazar@domino-uk.com</w:t>
        </w:r>
      </w:hyperlink>
      <w:r w:rsidRPr="00E06028">
        <w:rPr>
          <w:rFonts w:ascii="Noto Sans" w:eastAsia="Verdana" w:hAnsi="Noto Sans" w:cs="Noto Sans"/>
          <w:sz w:val="20"/>
          <w:szCs w:val="20"/>
          <w:lang w:val="fr-FR"/>
        </w:rPr>
        <w:br/>
      </w:r>
      <w:r w:rsidRPr="00E06028">
        <w:rPr>
          <w:rFonts w:ascii="Noto Sans" w:eastAsia="Verdana" w:hAnsi="Noto Sans" w:cs="Noto Sans"/>
          <w:sz w:val="20"/>
          <w:szCs w:val="20"/>
          <w:lang w:val="fr-FR"/>
        </w:rPr>
        <w:br/>
      </w:r>
      <w:bookmarkEnd w:id="0"/>
      <w:bookmarkEnd w:id="1"/>
      <w:r w:rsidRPr="00E06028">
        <w:rPr>
          <w:rFonts w:ascii="Noto Sans" w:hAnsi="Noto Sans" w:cs="Noto Sans"/>
          <w:sz w:val="20"/>
          <w:szCs w:val="20"/>
          <w:lang w:val="fr-FR"/>
        </w:rPr>
        <w:t>Delphine Baudesson</w:t>
      </w:r>
      <w:r w:rsidRPr="00E06028">
        <w:rPr>
          <w:rFonts w:ascii="Noto Sans" w:hAnsi="Noto Sans" w:cs="Noto Sans"/>
          <w:sz w:val="20"/>
          <w:szCs w:val="20"/>
          <w:lang w:val="fr-FR"/>
        </w:rPr>
        <w:br/>
        <w:t xml:space="preserve">Responsable du marketing </w:t>
      </w:r>
      <w:r w:rsidRPr="00E06028">
        <w:rPr>
          <w:rFonts w:ascii="Noto Sans" w:hAnsi="Noto Sans" w:cs="Noto Sans"/>
          <w:sz w:val="20"/>
          <w:szCs w:val="20"/>
          <w:lang w:val="fr-FR"/>
        </w:rPr>
        <w:br/>
        <w:t>Domino Printing Sciences France</w:t>
      </w:r>
      <w:r w:rsidRPr="00E06028">
        <w:rPr>
          <w:rFonts w:ascii="Noto Sans" w:hAnsi="Noto Sans" w:cs="Noto Sans"/>
          <w:sz w:val="20"/>
          <w:szCs w:val="20"/>
          <w:lang w:val="fr-FR"/>
        </w:rPr>
        <w:br/>
        <w:t>Tél. : +33 6 78 58 81 59</w:t>
      </w:r>
      <w:r w:rsidRPr="00E06028">
        <w:rPr>
          <w:rFonts w:ascii="Noto Sans" w:hAnsi="Noto Sans" w:cs="Noto Sans"/>
          <w:sz w:val="20"/>
          <w:szCs w:val="20"/>
          <w:lang w:val="fr-FR"/>
        </w:rPr>
        <w:br/>
      </w:r>
      <w:hyperlink r:id="rId13" w:history="1">
        <w:r w:rsidRPr="00E06028">
          <w:rPr>
            <w:rStyle w:val="Hyperlink"/>
            <w:rFonts w:ascii="Noto Sans" w:hAnsi="Noto Sans" w:cs="Noto Sans"/>
            <w:sz w:val="20"/>
            <w:szCs w:val="20"/>
            <w:lang w:val="fr-FR"/>
          </w:rPr>
          <w:t>delphine.baudesson@domino-marquage.com</w:t>
        </w:r>
      </w:hyperlink>
      <w:r w:rsidRPr="00E06028">
        <w:rPr>
          <w:rStyle w:val="Hyperlink"/>
          <w:rFonts w:ascii="Noto Sans" w:hAnsi="Noto Sans" w:cs="Noto Sans"/>
          <w:sz w:val="20"/>
          <w:szCs w:val="20"/>
          <w:lang w:val="fr-FR"/>
        </w:rPr>
        <w:br/>
      </w:r>
      <w:r w:rsidRPr="00E06028">
        <w:rPr>
          <w:rFonts w:ascii="Noto Sans" w:hAnsi="Noto Sans" w:cs="Noto Sans"/>
          <w:sz w:val="20"/>
          <w:szCs w:val="20"/>
          <w:lang w:val="fr-FR"/>
        </w:rPr>
        <w:br/>
      </w:r>
    </w:p>
    <w:p w14:paraId="1C78676C" w14:textId="2051338F" w:rsidR="008639DE" w:rsidRDefault="008639DE">
      <w:pPr>
        <w:spacing w:before="120" w:after="120"/>
        <w:rPr>
          <w:rFonts w:ascii="Noto Sans" w:hAnsi="Noto Sans" w:cs="Noto Sans"/>
          <w:sz w:val="20"/>
          <w:szCs w:val="20"/>
        </w:rPr>
      </w:pPr>
    </w:p>
    <w:p w14:paraId="5373A725" w14:textId="5650F53B" w:rsidR="0076778E" w:rsidRPr="00A70298" w:rsidRDefault="0076778E" w:rsidP="005B5A25">
      <w:pPr>
        <w:spacing w:before="120" w:after="120"/>
        <w:jc w:val="center"/>
        <w:rPr>
          <w:rFonts w:ascii="Noto Sans" w:hAnsi="Noto Sans" w:cs="Noto Sans"/>
          <w:sz w:val="20"/>
          <w:szCs w:val="20"/>
        </w:rPr>
      </w:pPr>
    </w:p>
    <w:sectPr w:rsidR="0076778E" w:rsidRPr="00A70298">
      <w:headerReference w:type="default" r:id="rId14"/>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0D193" w14:textId="77777777" w:rsidR="00D40CFD" w:rsidRDefault="00D40CFD" w:rsidP="00F21451">
      <w:r>
        <w:separator/>
      </w:r>
    </w:p>
  </w:endnote>
  <w:endnote w:type="continuationSeparator" w:id="0">
    <w:p w14:paraId="0625F36B" w14:textId="77777777" w:rsidR="00D40CFD" w:rsidRDefault="00D40CFD" w:rsidP="00F21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Gill Sans">
    <w:altName w:val="Arial"/>
    <w:panose1 w:val="00000000000000000000"/>
    <w:charset w:val="00"/>
    <w:family w:val="swiss"/>
    <w:notTrueType/>
    <w:pitch w:val="variable"/>
    <w:sig w:usb0="A00000AF" w:usb1="5000205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320AE" w14:textId="25B2E412" w:rsidR="00775D70" w:rsidRDefault="00775D70">
    <w:pPr>
      <w:pStyle w:val="Footer"/>
    </w:pPr>
    <w:r>
      <w:rPr>
        <w:noProof/>
      </w:rPr>
      <w:drawing>
        <wp:anchor distT="0" distB="0" distL="114300" distR="114300" simplePos="0" relativeHeight="251657728" behindDoc="1" locked="0" layoutInCell="1" allowOverlap="1" wp14:anchorId="235621EF" wp14:editId="4196B062">
          <wp:simplePos x="0" y="0"/>
          <wp:positionH relativeFrom="margin">
            <wp:posOffset>4724400</wp:posOffset>
          </wp:positionH>
          <wp:positionV relativeFrom="page">
            <wp:posOffset>9054465</wp:posOffset>
          </wp:positionV>
          <wp:extent cx="5026025" cy="849630"/>
          <wp:effectExtent l="0" t="0" r="3175"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026025" cy="8496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376" behindDoc="0" locked="0" layoutInCell="1" allowOverlap="1" wp14:anchorId="262757CC" wp14:editId="5AE4554A">
          <wp:simplePos x="0" y="0"/>
          <wp:positionH relativeFrom="column">
            <wp:posOffset>4810125</wp:posOffset>
          </wp:positionH>
          <wp:positionV relativeFrom="paragraph">
            <wp:posOffset>255270</wp:posOffset>
          </wp:positionV>
          <wp:extent cx="1466850" cy="1390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466850" cy="1390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FBAD0" w14:textId="77777777" w:rsidR="00D40CFD" w:rsidRDefault="00D40CFD" w:rsidP="00F21451">
      <w:r>
        <w:separator/>
      </w:r>
    </w:p>
  </w:footnote>
  <w:footnote w:type="continuationSeparator" w:id="0">
    <w:p w14:paraId="10ED7BB6" w14:textId="77777777" w:rsidR="00D40CFD" w:rsidRDefault="00D40CFD" w:rsidP="00F21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D4B8" w14:textId="1AA934D0" w:rsidR="00F21451" w:rsidRDefault="00F21451">
    <w:pPr>
      <w:pStyle w:val="Header"/>
    </w:pPr>
    <w:r>
      <w:rPr>
        <w:noProof/>
      </w:rPr>
      <w:drawing>
        <wp:anchor distT="0" distB="0" distL="114300" distR="114300" simplePos="0" relativeHeight="251630080" behindDoc="0" locked="0" layoutInCell="1" allowOverlap="1" wp14:anchorId="685BD71E" wp14:editId="26053A94">
          <wp:simplePos x="0" y="0"/>
          <wp:positionH relativeFrom="page">
            <wp:align>left</wp:align>
          </wp:positionH>
          <wp:positionV relativeFrom="paragraph">
            <wp:posOffset>-457200</wp:posOffset>
          </wp:positionV>
          <wp:extent cx="2152650" cy="848360"/>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166251" cy="8541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DE"/>
    <w:rsid w:val="0001021E"/>
    <w:rsid w:val="000255BA"/>
    <w:rsid w:val="000761AA"/>
    <w:rsid w:val="000B265E"/>
    <w:rsid w:val="00105A26"/>
    <w:rsid w:val="001373DB"/>
    <w:rsid w:val="00137442"/>
    <w:rsid w:val="001770AE"/>
    <w:rsid w:val="001F42DF"/>
    <w:rsid w:val="0023099F"/>
    <w:rsid w:val="00232F4C"/>
    <w:rsid w:val="002C02EE"/>
    <w:rsid w:val="002D25EF"/>
    <w:rsid w:val="002F53B8"/>
    <w:rsid w:val="0030125A"/>
    <w:rsid w:val="0033687E"/>
    <w:rsid w:val="00340239"/>
    <w:rsid w:val="003B1C95"/>
    <w:rsid w:val="003C4989"/>
    <w:rsid w:val="004008E3"/>
    <w:rsid w:val="00406737"/>
    <w:rsid w:val="004336FF"/>
    <w:rsid w:val="004511C2"/>
    <w:rsid w:val="004F50B1"/>
    <w:rsid w:val="005B5A25"/>
    <w:rsid w:val="005B7BBB"/>
    <w:rsid w:val="005D3C87"/>
    <w:rsid w:val="005E7BD2"/>
    <w:rsid w:val="006029F9"/>
    <w:rsid w:val="006127B6"/>
    <w:rsid w:val="00653C32"/>
    <w:rsid w:val="006758D7"/>
    <w:rsid w:val="00681C24"/>
    <w:rsid w:val="0069212A"/>
    <w:rsid w:val="006A3DD2"/>
    <w:rsid w:val="006C5600"/>
    <w:rsid w:val="006C6B02"/>
    <w:rsid w:val="007118A7"/>
    <w:rsid w:val="0076778E"/>
    <w:rsid w:val="00775D70"/>
    <w:rsid w:val="00777F0E"/>
    <w:rsid w:val="008160FC"/>
    <w:rsid w:val="00824676"/>
    <w:rsid w:val="00832217"/>
    <w:rsid w:val="00843C98"/>
    <w:rsid w:val="00857EDB"/>
    <w:rsid w:val="008639DE"/>
    <w:rsid w:val="0088634A"/>
    <w:rsid w:val="008A4305"/>
    <w:rsid w:val="008B25DE"/>
    <w:rsid w:val="008B42C0"/>
    <w:rsid w:val="008D2C46"/>
    <w:rsid w:val="008E7ADF"/>
    <w:rsid w:val="00910240"/>
    <w:rsid w:val="00932172"/>
    <w:rsid w:val="0096181F"/>
    <w:rsid w:val="009B6459"/>
    <w:rsid w:val="009F2DDC"/>
    <w:rsid w:val="00A70298"/>
    <w:rsid w:val="00A855AD"/>
    <w:rsid w:val="00AD145B"/>
    <w:rsid w:val="00B00BAE"/>
    <w:rsid w:val="00B014D0"/>
    <w:rsid w:val="00B119FA"/>
    <w:rsid w:val="00B53097"/>
    <w:rsid w:val="00B771F5"/>
    <w:rsid w:val="00BA75D8"/>
    <w:rsid w:val="00C377FC"/>
    <w:rsid w:val="00C37B43"/>
    <w:rsid w:val="00C5444D"/>
    <w:rsid w:val="00C94008"/>
    <w:rsid w:val="00CC365A"/>
    <w:rsid w:val="00CF5C02"/>
    <w:rsid w:val="00D03142"/>
    <w:rsid w:val="00D40CFD"/>
    <w:rsid w:val="00D535EA"/>
    <w:rsid w:val="00D621AB"/>
    <w:rsid w:val="00D65C71"/>
    <w:rsid w:val="00DE4034"/>
    <w:rsid w:val="00E046E0"/>
    <w:rsid w:val="00E468F2"/>
    <w:rsid w:val="00E46E84"/>
    <w:rsid w:val="00E64B9F"/>
    <w:rsid w:val="00EB4102"/>
    <w:rsid w:val="00EB6558"/>
    <w:rsid w:val="00F21451"/>
    <w:rsid w:val="00F258E8"/>
    <w:rsid w:val="00F72C49"/>
    <w:rsid w:val="00F80E87"/>
    <w:rsid w:val="00F8618D"/>
    <w:rsid w:val="00FE2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960CC"/>
  <w15:docId w15:val="{8E79F82E-D80C-45F4-815D-78CD79A7C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semiHidden/>
    <w:unhideWhenUsed/>
    <w:rsid w:val="00D621AB"/>
    <w:rPr>
      <w:sz w:val="16"/>
      <w:szCs w:val="16"/>
    </w:rPr>
  </w:style>
  <w:style w:type="paragraph" w:styleId="CommentText">
    <w:name w:val="annotation text"/>
    <w:basedOn w:val="Normal"/>
    <w:link w:val="CommentTextChar"/>
    <w:uiPriority w:val="99"/>
    <w:unhideWhenUsed/>
    <w:rsid w:val="00D621AB"/>
    <w:rPr>
      <w:sz w:val="20"/>
      <w:szCs w:val="20"/>
    </w:rPr>
  </w:style>
  <w:style w:type="character" w:customStyle="1" w:styleId="CommentTextChar">
    <w:name w:val="Comment Text Char"/>
    <w:basedOn w:val="DefaultParagraphFont"/>
    <w:link w:val="CommentText"/>
    <w:uiPriority w:val="99"/>
    <w:rsid w:val="00D621AB"/>
  </w:style>
  <w:style w:type="paragraph" w:styleId="CommentSubject">
    <w:name w:val="annotation subject"/>
    <w:basedOn w:val="CommentText"/>
    <w:next w:val="CommentText"/>
    <w:link w:val="CommentSubjectChar"/>
    <w:uiPriority w:val="99"/>
    <w:semiHidden/>
    <w:unhideWhenUsed/>
    <w:rsid w:val="00D621AB"/>
    <w:rPr>
      <w:b/>
      <w:bCs/>
    </w:rPr>
  </w:style>
  <w:style w:type="character" w:customStyle="1" w:styleId="CommentSubjectChar">
    <w:name w:val="Comment Subject Char"/>
    <w:basedOn w:val="CommentTextChar"/>
    <w:link w:val="CommentSubject"/>
    <w:uiPriority w:val="99"/>
    <w:semiHidden/>
    <w:rsid w:val="00D621AB"/>
    <w:rPr>
      <w:b/>
      <w:bCs/>
    </w:rPr>
  </w:style>
  <w:style w:type="character" w:styleId="Hyperlink">
    <w:name w:val="Hyperlink"/>
    <w:basedOn w:val="DefaultParagraphFont"/>
    <w:uiPriority w:val="99"/>
    <w:unhideWhenUsed/>
    <w:rsid w:val="00D621AB"/>
    <w:rPr>
      <w:color w:val="0000FF" w:themeColor="hyperlink"/>
      <w:u w:val="single"/>
    </w:rPr>
  </w:style>
  <w:style w:type="character" w:styleId="UnresolvedMention">
    <w:name w:val="Unresolved Mention"/>
    <w:basedOn w:val="DefaultParagraphFont"/>
    <w:uiPriority w:val="99"/>
    <w:semiHidden/>
    <w:unhideWhenUsed/>
    <w:rsid w:val="00D621AB"/>
    <w:rPr>
      <w:color w:val="605E5C"/>
      <w:shd w:val="clear" w:color="auto" w:fill="E1DFDD"/>
    </w:rPr>
  </w:style>
  <w:style w:type="paragraph" w:styleId="Revision">
    <w:name w:val="Revision"/>
    <w:hidden/>
    <w:uiPriority w:val="99"/>
    <w:semiHidden/>
    <w:rsid w:val="00105A26"/>
    <w:rPr>
      <w:sz w:val="24"/>
      <w:szCs w:val="24"/>
    </w:rPr>
  </w:style>
  <w:style w:type="paragraph" w:styleId="Header">
    <w:name w:val="header"/>
    <w:basedOn w:val="Normal"/>
    <w:link w:val="HeaderChar"/>
    <w:uiPriority w:val="99"/>
    <w:unhideWhenUsed/>
    <w:rsid w:val="00F21451"/>
    <w:pPr>
      <w:tabs>
        <w:tab w:val="center" w:pos="4513"/>
        <w:tab w:val="right" w:pos="9026"/>
      </w:tabs>
    </w:pPr>
  </w:style>
  <w:style w:type="character" w:customStyle="1" w:styleId="HeaderChar">
    <w:name w:val="Header Char"/>
    <w:basedOn w:val="DefaultParagraphFont"/>
    <w:link w:val="Header"/>
    <w:uiPriority w:val="99"/>
    <w:rsid w:val="00F21451"/>
    <w:rPr>
      <w:sz w:val="24"/>
      <w:szCs w:val="24"/>
    </w:rPr>
  </w:style>
  <w:style w:type="paragraph" w:styleId="Footer">
    <w:name w:val="footer"/>
    <w:basedOn w:val="Normal"/>
    <w:link w:val="FooterChar"/>
    <w:uiPriority w:val="99"/>
    <w:unhideWhenUsed/>
    <w:rsid w:val="00F21451"/>
    <w:pPr>
      <w:tabs>
        <w:tab w:val="center" w:pos="4513"/>
        <w:tab w:val="right" w:pos="9026"/>
      </w:tabs>
    </w:pPr>
  </w:style>
  <w:style w:type="character" w:customStyle="1" w:styleId="FooterChar">
    <w:name w:val="Footer Char"/>
    <w:basedOn w:val="DefaultParagraphFont"/>
    <w:link w:val="Footer"/>
    <w:uiPriority w:val="99"/>
    <w:rsid w:val="00F214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hrainspectorate.blog.gov.uk/2025/11/18/the-importance-of-accurate-gtin-and-2d-barcode-data-in-the-modern-healthcare-environment/" TargetMode="External"/><Relationship Id="rId13" Type="http://schemas.openxmlformats.org/officeDocument/2006/relationships/hyperlink" Target="mailto:delphine.baudesson@domino-marquage.com" TargetMode="External"/><Relationship Id="rId3" Type="http://schemas.openxmlformats.org/officeDocument/2006/relationships/webSettings" Target="webSettings.xml"/><Relationship Id="rId7" Type="http://schemas.openxmlformats.org/officeDocument/2006/relationships/hyperlink" Target="https://cpe.org.uk/our-news/medicines-packs-with-poor-barcodes-nhs-england-survey-pharmacy-input-needed/" TargetMode="External"/><Relationship Id="rId12" Type="http://schemas.openxmlformats.org/officeDocument/2006/relationships/hyperlink" Target="mailto:Jade.Taylor-Salazar@domino-uk.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accenture.com/content/dam/accenture/final/accenture-com/document-3/Accenture-TL-Autonomous-SC-Design-Report.pdf" TargetMode="External"/><Relationship Id="rId11" Type="http://schemas.openxmlformats.org/officeDocument/2006/relationships/hyperlink" Target="http://www.domino-printing.com?utm_medium=press_release&amp;utm_source=onlinepublication&amp;utm_content=data-quality-sb-fr&amp;utm_campaign=2026-fr-fr-2026-int-fr-global-pr-cm-fy26-q2"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domino-printing.com/fr-fr/products/r-series?utm_medium=press_release&amp;utm_source=onlinepublication&amp;utm_content=data-quality-sb-fr&amp;utm_campaign=2026-fr-fr-2026-int-fr-global-pr-cm-fy26-q2" TargetMode="External"/><Relationship Id="rId4" Type="http://schemas.openxmlformats.org/officeDocument/2006/relationships/footnotes" Target="footnotes.xml"/><Relationship Id="rId9" Type="http://schemas.openxmlformats.org/officeDocument/2006/relationships/hyperlink" Target="https://www.packagingnews.co.uk/news/markets/pharmaceutical-medical/domino-printing-sciences-highlights-risk-of-human-error-on-pharma-packaging-07-03-2025"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1808</Words>
  <Characters>10310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Data Integrity beyond the ERP</vt:lpstr>
    </vt:vector>
  </TitlesOfParts>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Integrity beyond the ERP</dc:title>
  <dc:creator>Jade Taylor-Salazar</dc:creator>
  <cp:lastModifiedBy>Alex Byard</cp:lastModifiedBy>
  <cp:revision>2</cp:revision>
  <dcterms:created xsi:type="dcterms:W3CDTF">2026-10-29T16:11:00Z</dcterms:created>
  <dcterms:modified xsi:type="dcterms:W3CDTF">2026-10-29T16:11:00Z</dcterms:modified>
</cp:coreProperties>
</file>