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spacing w:lineRule="auto" w:line="320"/>
        <w:contextualSpacing w:val="0"/>
        <w:jc w:val="left"/>
        <w:rPr/>
      </w:pPr>
      <w:r w:rsidR="00000000" w:rsidRPr="00000000" w:rsidDel="00000000">
        <w:drawing>
          <wp:inline distR="101600" distT="101600" distB="101600" distL="101600">
            <wp:extent cx="368300" cy="330200"/>
            <wp:effectExtent t="0" b="0" r="0" l="0"/>
            <wp:docPr id="6" name="media/image6.jpg"/>
            <a:graphic>
              <a:graphicData uri="http://schemas.openxmlformats.org/drawingml/2006/picture">
                <pic:pic>
                  <pic:nvPicPr>
                    <pic:cNvPr id="6" name="media/image6.jpg"/>
                    <pic:cNvPicPr/>
                  </pic:nvPicPr>
                  <pic:blipFill>
                    <a:blip r:embed="rId6"/>
                    <a:srcRect/>
                    <a:stretch>
                      <a:fillRect/>
                    </a:stretch>
                  </pic:blipFill>
                  <pic:spPr>
                    <a:xfrm>
                      <a:ext cx="368300" cy="3302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rPr>
          <w:color w:val="7A8086"/>
          <w:sz w:val="16"/>
          <w:rtl w:val="0"/>
        </w:rPr>
      </w:pPr>
      <w:r w:rsidR="00000000" w:rsidRPr="00000000" w:rsidDel="00000000">
        <w:rPr>
          <w:color w:val="7A8086"/>
          <w:sz w:val="16"/>
          <w:rtl w:val="0"/>
        </w:rPr>
        <w:t xml:space="preserve">Medicover w Polsce – Biuro Prasowe</w:t>
      </w:r>
    </w:p>
    <w:p w:rsidP="00000000" w:rsidRDefault="00000000" w:rsidR="00000000" w:rsidRPr="00000000" w:rsidDel="00000000">
      <w:pPr>
        <w:contextualSpacing w:val="0"/>
      </w:pPr>
      <w:r w:rsidR="00000000" w:rsidRPr="00000000" w:rsidDel="00000000">
        <w:rPr>
          <w:rtl w:val="0"/>
        </w:rPr>
        <w:t xml:space="preserve"/>
      </w:r>
      <w:hyperlink r:id="rId7">
        <w:r w:rsidR="00000000" w:rsidRPr="00000000" w:rsidDel="00000000">
          <w:rPr>
            <w:color w:val="1155cc"/>
            <w:u w:val="single"/>
            <w:rtl w:val="0"/>
          </w:rPr>
          <w:t xml:space="preserve">biuroprasowe.medicover.pl</w:t>
        </w:r>
      </w:hyperlink>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spacing w:lineRule="auto" w:line="320"/>
        <w:contextualSpacing w:val="0"/>
        <w:jc w:val="left"/>
        <w:rPr/>
      </w:pPr>
      <w:r w:rsidR="00000000" w:rsidRPr="00000000" w:rsidDel="00000000">
        <w:drawing>
          <wp:inline distR="101600" distT="101600" distB="101600" distL="101600">
            <wp:extent cx="6858000" cy="3429000"/>
            <wp:effectExtent t="0" b="0" r="0" l="0"/>
            <wp:docPr id="8" name="media/image8.jpg"/>
            <a:graphic>
              <a:graphicData uri="http://schemas.openxmlformats.org/drawingml/2006/picture">
                <pic:pic>
                  <pic:nvPicPr>
                    <pic:cNvPr id="8" name="media/image8.jpg"/>
                    <pic:cNvPicPr/>
                  </pic:nvPicPr>
                  <pic:blipFill>
                    <a:blip r:embed="rId8"/>
                    <a:srcRect/>
                    <a:stretch>
                      <a:fillRect/>
                    </a:stretch>
                  </pic:blipFill>
                  <pic:spPr>
                    <a:xfrm>
                      <a:ext cx="6858000" cy="34290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rPr>
          <w:sz w:val="48"/>
          <w:b w:val="1"/>
          <w:rtl w:val="0"/>
        </w:rPr>
      </w:pPr>
      <w:r w:rsidR="00000000" w:rsidRPr="00000000" w:rsidDel="00000000">
        <w:rPr>
          <w:sz w:val="48"/>
          <w:b w:val="1"/>
          <w:rtl w:val="0"/>
        </w:rPr>
        <w:t xml:space="preserve">Od nowych kompetencji do nowych rozwiązań. Jak pielęgniarki zmieniają ochronę zdrowia</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34"/>
          <w:rtl w:val="0"/>
        </w:rPr>
      </w:pPr>
      <w:r w:rsidR="00000000" w:rsidRPr="00000000" w:rsidDel="00000000">
        <w:rPr>
          <w:sz w:val="34"/>
          <w:rtl w:val="0"/>
        </w:rPr>
        <w:t xml:space="preserve">Pielęgniarka, która wystawia recepty, kieruje pacjenta na badania diagnostyczne, samodzielnie prowadzi porady i podejmuje decyzje dotyczące procesu opieki? To nie wizja przyszłości, lecz codzienność współczesnej ochrony zdrowia. W ostatnich latach kompetencje pielęgniareki pielęgniarzy znacząco się rozszerzyły. Coraz częściej pojawia się więc inne pytanie: czy system ochrony zdrowia nadąża za tą zmianą?</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Przez lata debata o pielęgniarstwie koncentrowała się głównie na brakach kadrowych. Tymczasem równie istotne jest to, w jaki sposób wykorzystujemy wiedzę, doświadczenie i potencjał jednejz najważniejszych grup zawodowych w ochronie zdrowia.</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To szczególnie ważne w czasie, gdy rosną potrzeby zdrowotne społeczeństwa. Według danych środowiska pielęgniarskiego do 2030 roku nawet 65 proc. obecnie zatrudnionych pielęgniarek osiągnie wiek emerytalny. Jednocześnie współczesne pielęgniarstwo coraz częściej wykracza poza tradycyjnie rozumianą opiekę, obejmując koordynację leczenia, edukację zdrowotną, profilaktykę oraz wdrażanie rozwiązań poprawiających doświadczenia pacjentów i efektywność pracy zespołów medycznych.</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4"/>
          <w:b w:val="1"/>
          <w:rtl w:val="0"/>
        </w:rPr>
      </w:pPr>
      <w:r w:rsidR="00000000" w:rsidRPr="00000000" w:rsidDel="00000000">
        <w:rPr>
          <w:sz w:val="24"/>
          <w:b w:val="1"/>
          <w:rtl w:val="0"/>
        </w:rPr>
        <w:t xml:space="preserve">Od kompetencji do wpływu</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Dziś pielęgniarki nie tylko realizują świadczenia medyczne, ale również aktywnie uczestniczą w projektowaniu i doskonaleniu ścieżek opieki, koordynacji procesu terapeutycznego oraz wdrażaniu rozwiązań poprawiających doświadczenia pacjentów. To kierunek zgodny z globalnymi zmianami zachodzącymi w systemach ochrony zdrowia, gdzie rola pielęgniarek wykracza daleko poza tradycyjnie rozumianą opiekę.</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38"/>
          <w:rtl w:val="0"/>
        </w:rPr>
      </w:pPr>
      <w:r w:rsidR="00000000" w:rsidRPr="00000000" w:rsidDel="00000000">
        <w:rPr>
          <w:sz w:val="38"/>
          <w:rtl w:val="0"/>
        </w:rPr>
        <w:t xml:space="preserve">W ochronie zdrowia coraz mniej mówi się o tym, co pielęgniarka może zrobić, a coraz częściej o tym, jaki wpływ może mieć na efekty leczenia, bezpieczeństwo pacjentów czy organizację opieki. Widzimy to każdego dnia. Pielęgniarki i pielęgniarze są dziś liderami zmian, inicjatorami nowych rozwiązań i partnerami w budowaniu nowoczesnego systemu ochrony zdrowia. Chcemy pokazywać i wspierać osoby, które wykorzystują swoje kompetencje do realnego wpływania na doświadczenia pacjentów i funkcjonowanie całych zespołów medycznych
</w:t>
      </w:r>
    </w:p>
    <w:p w:rsidP="00000000" w:rsidRDefault="00000000" w:rsidR="00000000" w:rsidRPr="00000000" w:rsidDel="00000000">
      <w:pPr>
        <w:contextualSpacing w:val="0"/>
        <w:jc w:val="left"/>
        <w:rPr>
          <w:sz w:val="20"/>
          <w:rtl w:val="0"/>
        </w:rPr>
      </w:pPr>
      <w:r w:rsidR="00000000" w:rsidRPr="00000000" w:rsidDel="00000000">
        <w:rPr>
          <w:sz w:val="20"/>
          <w:rtl w:val="0"/>
        </w:rPr>
        <w:t xml:space="preserve">– mówi Karolina Prasek, Dyrektor Działu Rozwoju Pielęgniarstwa i Położnictwa Medicover.
</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4"/>
          <w:b w:val="1"/>
          <w:rtl w:val="0"/>
        </w:rPr>
      </w:pPr>
      <w:r w:rsidR="00000000" w:rsidRPr="00000000" w:rsidDel="00000000">
        <w:rPr>
          <w:sz w:val="24"/>
          <w:b w:val="1"/>
          <w:rtl w:val="0"/>
        </w:rPr>
        <w:t xml:space="preserve">Nursing Impact Award. Nagroda dla tych, którzy zmieniają ochronę zdrowia</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W odpowiedzi na te wyzwania Fundacja Medicover uruchamia Nursing Impact Award – nową inicjatywę wspierającą rozwój innowacji pielęgniarskich i promującą rozwiązania tworzone przez środowisko pielęgniarskie.</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Projekt jest naturalną kontynuacją realizowanej przez ostatnią dekadę nagrody Queen Silvia Nursing Award, jednak w nowej formule otwiera się na wszystkie obszary opieki zdrowotnej. Do konkursu można zgłaszać zarówno pomysły, które dopiero czekają na wdrożenie, jak i rozwiązania już funkcjonujące w praktyce klinicznej.</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Poszukiwane są projekty odpowiadające na realne potrzeby pacjentów i personelu medycznego: usprawniające organizację opieki, poprawiające bezpieczeństwo leczenia, wspierające komunikację czy zwiększające dostępność świadczeń.</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38"/>
          <w:rtl w:val="0"/>
        </w:rPr>
      </w:pPr>
      <w:r w:rsidR="00000000" w:rsidRPr="00000000" w:rsidDel="00000000">
        <w:rPr>
          <w:sz w:val="38"/>
          <w:rtl w:val="0"/>
        </w:rPr>
        <w:t xml:space="preserve">Wraz z rozwojem kompetencji pielęgniarki i pielęgniarze coraz częściej stają się inicjatorami zmian w ochronie zdrowia. Mają własne pomysły na usprawnienie opieki nad pacjentem, poprawę komunikacji czy współpracy między zawodami medycznymi. Wiele takich rozwiązań z powodzeniem funkcjonuje już na konkretnych oddziałach czy w placówkach medycznych, ale nie zawsze wychodzi poza ich mury. A przecież warto, żeby inni również mogli z nich korzystać. Nursing Impact Award to szansa, by pokazać te pomysły szerzej, docenić ich autorów i zainspirować kolejne osoby do wprowadzania zmian
</w:t>
      </w:r>
    </w:p>
    <w:p w:rsidP="00000000" w:rsidRDefault="00000000" w:rsidR="00000000" w:rsidRPr="00000000" w:rsidDel="00000000">
      <w:pPr>
        <w:contextualSpacing w:val="0"/>
        <w:jc w:val="left"/>
        <w:rPr>
          <w:sz w:val="20"/>
          <w:rtl w:val="0"/>
        </w:rPr>
      </w:pPr>
      <w:r w:rsidR="00000000" w:rsidRPr="00000000" w:rsidDel="00000000">
        <w:rPr>
          <w:sz w:val="20"/>
          <w:rtl w:val="0"/>
        </w:rPr>
        <w:t xml:space="preserve">– podkreśla Mariola Łodzińska, Prezes Naczelnej Rady Pielęgniarek i Położnych.
</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4"/>
          <w:b w:val="1"/>
          <w:rtl w:val="0"/>
        </w:rPr>
      </w:pPr>
      <w:r w:rsidR="00000000" w:rsidRPr="00000000" w:rsidDel="00000000">
        <w:rPr>
          <w:sz w:val="24"/>
          <w:b w:val="1"/>
          <w:rtl w:val="0"/>
        </w:rPr>
        <w:t xml:space="preserve">Inwestycja w rozwój pielęgniarstwa</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Nursing Impact Award ma być czymś więcej niż konkursem. To platforma wspierająca rozwój zawodowy i przywódczy pielęgniarek oraz pielęgniarzy.</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Laureat otrzyma 20 tys. zł oraz indywidualny pakiet rozwojowy obejmujący mentoring, warsztaty i wizyty studyjne. Dodatkowo 100 najwyżej ocenionych uczestników uzyska dostęp do programu szkoleń prowadzonych przez ekspertów z zakresu komunikacji, zarządzania stresem, przywództwa i budowania marki osobistej.</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Jednym z laureatów wcześniejszej edycji konkursu był Adrian Nowakowski, który połączył wiedzę medyczną z nowymi technologiami, tworząc projekt „Stefania” wykorzystujący sztuczną inteligencję do nauki komunikacji z pacjentami dla studentów pielęgniarstwa. Kolejna laureatna Anna Hepa-Banasik postawiła na edukacyjną rolę pielęgniarki i zaproponowała realizację szkoleń prehabilotacyjnych dla pacjentów z przewlekłą niewydolnością żylną. Spotkania mają na celu zmniejszenie ryzyka wystąpienia ran.</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4"/>
          <w:b w:val="1"/>
          <w:rtl w:val="0"/>
        </w:rPr>
      </w:pPr>
      <w:r w:rsidR="00000000" w:rsidRPr="00000000" w:rsidDel="00000000">
        <w:rPr>
          <w:sz w:val="24"/>
          <w:b w:val="1"/>
          <w:rtl w:val="0"/>
        </w:rPr>
        <w:t xml:space="preserve">Wspólny głos środowiska</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Ranga inicjatywy została potwierdzona patronatami honorowymi Ministra Zdrowia, Naczelnej Rady Pielęgniarek i Położnych oraz najważniejszych uczelni medycznych w Polsce. Przedstawiciele tych instytucji zasiadają również w Jury, współtworząc przestrzeń do rozmowy o przyszłości zawodu i kierunkach rozwoju pielęgniarstwa.</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Nabór zgłoszeń do Nursing Impact Award trwa do 30 listopada 2026 r. Szczegóły dostępne są na stronie: www.nursingimpactaward.pl.</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pBdr>
          <w:top w:color="7b858f" w:sz="1" w:val="single" w:space="1"/>
        </w:pBdr>
      </w:pPr>
    </w:p>
    <w:p w:rsidP="00000000" w:rsidRDefault="00000000" w:rsidR="00000000" w:rsidRPr="00000000" w:rsidDel="00000000">
      <w:pPr>
        <w:contextualSpacing w:val="0"/>
      </w:pPr>
      <w:r w:rsidR="00000000" w:rsidRPr="00000000" w:rsidDel="00000000">
        <w:rPr>
          <w:rtl w:val="0"/>
        </w:rPr>
        <w:t xml:space="preserve"/>
      </w:r>
    </w:p>
    <w:sectPr>
      <w:pgSz w:w="12240" w:h="15840" w:orient="portrait"/>
      <w:pgMar w:top="720" w:bottom="720" w:left="720" w:right="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center"/>
    </w:pPr>
    <w:r w:rsidR="00000000" w:rsidRPr="00000000" w:rsidDel="00000000">
      <w:rPr/>
      <w:fldChar w:fldCharType="begin"/>
      <w:instrText xml:space="preserve">PAGE</w:instrText>
      <w:fldChar w:fldCharType="end"/>
    </w:r>
    <w:r w:rsidR="00000000" w:rsidRPr="00000000" w:rsidDel="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Arial" w:hAnsi="Arial" w:eastAsia="Arial" w:ascii="Arial"/>
        <w:b w:val="0"/>
        <w:i w:val="0"/>
        <w:caps w:val="0"/>
        <w:smallCaps w:val="0"/>
        <w:strike w:val="0"/>
        <w:color w:val="333333"/>
        <w:sz w:val="20"/>
        <w:u w:val="none"/>
        <w:vertAlign w:val="baseline"/>
      </w:rPr>
    </w:rPrDefault>
    <w:pPrDefault>
      <w:pPr>
        <w:keepNext w:val="0"/>
        <w:keepLines w:val="0"/>
        <w:widowControl w:val="1"/>
        <w:spacing w:lineRule="auto" w:before="0" w:after="0" w:line="320"/>
        <w:ind w:left="0" w:right="0" w:firstLine="0"/>
        <w:jc w:val="left"/>
      </w:pPr>
    </w:pPrDefault>
  </w:docDefaults>
  <w:style w:styleId="Normal" w:type="paragraph" w:default="1">
    <w:name w:val="normal"/>
  </w:style>
  <w:style w:styleId="TableNormal" w:type="table" w:default="1">
    <w:name w:val="Table Normal"/>
    <w:pPr>
      <w:spacing w:lineRule="auto" w:line="459.99999999999994"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numbering.xml" Type="http://schemas.openxmlformats.org/officeDocument/2006/relationships/numbering" Id="rId3"/><Relationship Target="settings.xml" Type="http://schemas.openxmlformats.org/officeDocument/2006/relationships/settings" Id="rId4"/><Relationship Target="styles.xml" Type="http://schemas.openxmlformats.org/officeDocument/2006/relationships/styles" Id="rId5"/><Relationship Target="media/image6.jpg" Type="http://schemas.openxmlformats.org/officeDocument/2006/relationships/image" Id="rId6"/><Relationship Target="http://biuroprasowe.medicover.pl" Type="http://schemas.openxmlformats.org/officeDocument/2006/relationships/hyperlink" Id="rId7" TargetMode="External"/><Relationship Target="media/image8.jpg" Type="http://schemas.openxmlformats.org/officeDocument/2006/relationships/image"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599671cc11c896049e3eb96e7386d31db4bab26376a44c804883793c959a1645od-nowych-kompetencji-do-nowych-r20261029-8-89t83g.docx</dc:title>
</cp:coreProperties>
</file>

<file path=docProps/custom.xml><?xml version="1.0" encoding="utf-8"?>
<Properties xmlns="http://schemas.openxmlformats.org/officeDocument/2006/custom-properties" xmlns:vt="http://schemas.openxmlformats.org/officeDocument/2006/docPropsVTypes"/>
</file>