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76740" w14:textId="77777777" w:rsidR="0053644A" w:rsidRDefault="0053644A" w:rsidP="0098494D">
      <w:pPr>
        <w:jc w:val="both"/>
        <w:rPr>
          <w:rFonts w:ascii="Calibri" w:hAnsi="Calibri" w:cs="Calibri"/>
          <w:sz w:val="22"/>
          <w:szCs w:val="22"/>
        </w:rPr>
      </w:pPr>
    </w:p>
    <w:p w14:paraId="19EADB52" w14:textId="01CABD93" w:rsidR="0098494D" w:rsidRPr="00877A48" w:rsidRDefault="0098494D" w:rsidP="0098494D">
      <w:pPr>
        <w:jc w:val="both"/>
        <w:rPr>
          <w:rFonts w:ascii="Calibri" w:hAnsi="Calibri" w:cs="Calibri"/>
          <w:sz w:val="22"/>
          <w:szCs w:val="22"/>
        </w:rPr>
      </w:pPr>
      <w:r w:rsidRPr="00877A48">
        <w:rPr>
          <w:rFonts w:ascii="Calibri" w:hAnsi="Calibri" w:cs="Calibri"/>
          <w:sz w:val="22"/>
          <w:szCs w:val="22"/>
        </w:rPr>
        <w:t>KOMUNIKAT PRASOWY</w:t>
      </w:r>
    </w:p>
    <w:p w14:paraId="13BC6207" w14:textId="6C41E671" w:rsidR="0098494D" w:rsidRPr="00877A48" w:rsidRDefault="0098494D" w:rsidP="00B831C8">
      <w:pPr>
        <w:jc w:val="right"/>
        <w:rPr>
          <w:rFonts w:ascii="Calibri" w:hAnsi="Calibri" w:cs="Calibri"/>
          <w:sz w:val="22"/>
          <w:szCs w:val="22"/>
        </w:rPr>
      </w:pPr>
      <w:r w:rsidRPr="00877A48">
        <w:rPr>
          <w:rFonts w:ascii="Calibri" w:hAnsi="Calibri" w:cs="Calibri"/>
          <w:sz w:val="22"/>
          <w:szCs w:val="22"/>
        </w:rPr>
        <w:t xml:space="preserve">Warszawa, </w:t>
      </w:r>
      <w:r w:rsidR="00F6347D" w:rsidRPr="00F6347D">
        <w:rPr>
          <w:rFonts w:ascii="Calibri" w:hAnsi="Calibri" w:cs="Calibri"/>
          <w:sz w:val="22"/>
          <w:szCs w:val="22"/>
        </w:rPr>
        <w:t>29</w:t>
      </w:r>
      <w:r w:rsidRPr="00F6347D">
        <w:rPr>
          <w:rFonts w:ascii="Calibri" w:hAnsi="Calibri" w:cs="Calibri"/>
          <w:sz w:val="22"/>
          <w:szCs w:val="22"/>
        </w:rPr>
        <w:t>.</w:t>
      </w:r>
      <w:r w:rsidR="00F6347D" w:rsidRPr="00F6347D">
        <w:rPr>
          <w:rFonts w:ascii="Calibri" w:hAnsi="Calibri" w:cs="Calibri"/>
          <w:sz w:val="22"/>
          <w:szCs w:val="22"/>
        </w:rPr>
        <w:t>10</w:t>
      </w:r>
      <w:r w:rsidR="00920CEA" w:rsidRPr="00F6347D">
        <w:rPr>
          <w:rFonts w:ascii="Calibri" w:hAnsi="Calibri" w:cs="Calibri"/>
          <w:sz w:val="22"/>
          <w:szCs w:val="22"/>
        </w:rPr>
        <w:t>.</w:t>
      </w:r>
      <w:r w:rsidRPr="00F6347D">
        <w:rPr>
          <w:rFonts w:ascii="Calibri" w:hAnsi="Calibri" w:cs="Calibri"/>
          <w:sz w:val="22"/>
          <w:szCs w:val="22"/>
        </w:rPr>
        <w:t>202</w:t>
      </w:r>
      <w:r w:rsidR="00036309" w:rsidRPr="00F6347D">
        <w:rPr>
          <w:rFonts w:ascii="Calibri" w:hAnsi="Calibri" w:cs="Calibri"/>
          <w:sz w:val="22"/>
          <w:szCs w:val="22"/>
        </w:rPr>
        <w:t>6</w:t>
      </w:r>
      <w:r w:rsidRPr="00877A48">
        <w:rPr>
          <w:rFonts w:ascii="Calibri" w:hAnsi="Calibri" w:cs="Calibri"/>
          <w:sz w:val="22"/>
          <w:szCs w:val="22"/>
        </w:rPr>
        <w:t xml:space="preserve"> r.</w:t>
      </w:r>
    </w:p>
    <w:p w14:paraId="6E1FACE3" w14:textId="1744F075" w:rsidR="00C24CD3" w:rsidRDefault="00C24CD3" w:rsidP="00C24CD3">
      <w:pPr>
        <w:jc w:val="center"/>
        <w:rPr>
          <w:rFonts w:ascii="Calibri" w:hAnsi="Calibri" w:cs="Calibri"/>
          <w:b/>
          <w:bCs/>
        </w:rPr>
      </w:pPr>
      <w:r w:rsidRPr="00C24CD3">
        <w:rPr>
          <w:rFonts w:ascii="Calibri" w:hAnsi="Calibri" w:cs="Calibri"/>
          <w:b/>
          <w:bCs/>
        </w:rPr>
        <w:t xml:space="preserve">Przychody firm wyraźnie w górę. </w:t>
      </w:r>
      <w:r w:rsidR="007B459E" w:rsidRPr="007B459E">
        <w:rPr>
          <w:rFonts w:ascii="Calibri" w:hAnsi="Calibri" w:cs="Calibri"/>
          <w:b/>
          <w:bCs/>
        </w:rPr>
        <w:t>W I połowie 2026 r. wzrosły o 6,6</w:t>
      </w:r>
      <w:r w:rsidR="00791D77">
        <w:rPr>
          <w:rFonts w:ascii="Calibri" w:hAnsi="Calibri" w:cs="Calibri"/>
          <w:b/>
          <w:bCs/>
        </w:rPr>
        <w:t xml:space="preserve"> proc.</w:t>
      </w:r>
      <w:r w:rsidR="007B459E" w:rsidRPr="007B459E">
        <w:rPr>
          <w:rFonts w:ascii="Calibri" w:hAnsi="Calibri" w:cs="Calibri"/>
          <w:b/>
          <w:bCs/>
        </w:rPr>
        <w:t xml:space="preserve"> </w:t>
      </w:r>
      <w:r w:rsidR="00791D77">
        <w:rPr>
          <w:rFonts w:ascii="Calibri" w:hAnsi="Calibri" w:cs="Calibri"/>
          <w:b/>
          <w:bCs/>
        </w:rPr>
        <w:t>rok do roku</w:t>
      </w:r>
      <w:r w:rsidR="007B459E" w:rsidRPr="007B459E">
        <w:rPr>
          <w:rFonts w:ascii="Calibri" w:hAnsi="Calibri" w:cs="Calibri"/>
          <w:b/>
          <w:bCs/>
        </w:rPr>
        <w:t xml:space="preserve">, </w:t>
      </w:r>
      <w:r w:rsidR="007B459E">
        <w:rPr>
          <w:rFonts w:ascii="Calibri" w:hAnsi="Calibri" w:cs="Calibri"/>
          <w:b/>
          <w:bCs/>
        </w:rPr>
        <w:t xml:space="preserve">czyli </w:t>
      </w:r>
      <w:r w:rsidR="007B459E" w:rsidRPr="007B459E">
        <w:rPr>
          <w:rFonts w:ascii="Calibri" w:hAnsi="Calibri" w:cs="Calibri"/>
          <w:b/>
          <w:bCs/>
        </w:rPr>
        <w:t>ponad dwukrotnie szybciej niż średnia inflacja CPI</w:t>
      </w:r>
    </w:p>
    <w:p w14:paraId="1423FC0A" w14:textId="77C4EAAC" w:rsidR="00657C90" w:rsidRDefault="00657C90" w:rsidP="0081374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57C90">
        <w:rPr>
          <w:rFonts w:ascii="Calibri" w:hAnsi="Calibri" w:cs="Calibri"/>
          <w:b/>
          <w:bCs/>
          <w:sz w:val="22"/>
          <w:szCs w:val="22"/>
        </w:rPr>
        <w:t>W pierwszej połowie 2026 roku sprzedaż polskich przedsiębiorstw rosła szybciej niż inflacja (CPI wyniosła 2,7</w:t>
      </w:r>
      <w:r w:rsidR="00791D77">
        <w:rPr>
          <w:rFonts w:ascii="Calibri" w:hAnsi="Calibri" w:cs="Calibri"/>
          <w:b/>
          <w:bCs/>
          <w:sz w:val="22"/>
          <w:szCs w:val="22"/>
        </w:rPr>
        <w:t xml:space="preserve"> proc. rok do roku</w:t>
      </w:r>
      <w:r w:rsidRPr="00657C90">
        <w:rPr>
          <w:rFonts w:ascii="Calibri" w:hAnsi="Calibri" w:cs="Calibri"/>
          <w:b/>
          <w:bCs/>
          <w:sz w:val="22"/>
          <w:szCs w:val="22"/>
        </w:rPr>
        <w:t xml:space="preserve">), ale korzyści z tego wzrostu nie rozłożyły się po równo. Najsilniejszym motorem gospodarki były duże firmy, podczas gdy mniejsze podmioty rosły wolniej i mocniej odczuwały wzrost kosztów. Dodatkowo, mimo ogólnie stabilnej płynności, w sektorze zauważalnie wydłużył się cykl kapitału obrotowego, co oznacza, że przedsiębiorstwa dłużej czekały na pieniądze od kontrahentów i wolniej regulowały własne zobowiązania.   </w:t>
      </w:r>
    </w:p>
    <w:p w14:paraId="4B307508" w14:textId="3A742108" w:rsidR="00F43837" w:rsidRDefault="000B5117" w:rsidP="00813741">
      <w:pPr>
        <w:jc w:val="both"/>
        <w:rPr>
          <w:rFonts w:ascii="Calibri" w:hAnsi="Calibri" w:cs="Calibri"/>
          <w:sz w:val="22"/>
          <w:szCs w:val="22"/>
        </w:rPr>
      </w:pPr>
      <w:r w:rsidRPr="000B5117">
        <w:rPr>
          <w:rFonts w:ascii="Calibri" w:hAnsi="Calibri" w:cs="Calibri"/>
          <w:sz w:val="22"/>
          <w:szCs w:val="22"/>
        </w:rPr>
        <w:t xml:space="preserve">W swoim najnowszym raporcie </w:t>
      </w:r>
      <w:r w:rsidR="00615E41" w:rsidRPr="00615E41">
        <w:rPr>
          <w:rFonts w:ascii="Calibri" w:hAnsi="Calibri" w:cs="Calibri"/>
          <w:sz w:val="22"/>
          <w:szCs w:val="22"/>
        </w:rPr>
        <w:t>„Monitor Sektorowy”</w:t>
      </w:r>
      <w:r w:rsidR="00615E41">
        <w:rPr>
          <w:rFonts w:ascii="Calibri" w:hAnsi="Calibri" w:cs="Calibri"/>
          <w:sz w:val="22"/>
          <w:szCs w:val="22"/>
        </w:rPr>
        <w:t xml:space="preserve"> </w:t>
      </w:r>
      <w:r w:rsidRPr="000B5117">
        <w:rPr>
          <w:rFonts w:ascii="Calibri" w:hAnsi="Calibri" w:cs="Calibri"/>
          <w:sz w:val="22"/>
          <w:szCs w:val="22"/>
        </w:rPr>
        <w:t xml:space="preserve">analitycy Alior Banku </w:t>
      </w:r>
      <w:r w:rsidR="00615E41" w:rsidRPr="00615E41">
        <w:rPr>
          <w:rFonts w:ascii="Calibri" w:hAnsi="Calibri" w:cs="Calibri"/>
          <w:sz w:val="22"/>
          <w:szCs w:val="22"/>
        </w:rPr>
        <w:t>przedstawia</w:t>
      </w:r>
      <w:r w:rsidR="00615E41">
        <w:rPr>
          <w:rFonts w:ascii="Calibri" w:hAnsi="Calibri" w:cs="Calibri"/>
          <w:sz w:val="22"/>
          <w:szCs w:val="22"/>
        </w:rPr>
        <w:t>ją</w:t>
      </w:r>
      <w:r w:rsidR="00615E41" w:rsidRPr="00615E41">
        <w:rPr>
          <w:rFonts w:ascii="Calibri" w:hAnsi="Calibri" w:cs="Calibri"/>
          <w:sz w:val="22"/>
          <w:szCs w:val="22"/>
        </w:rPr>
        <w:t xml:space="preserve"> szczegółową analizę wyników finansowych podmiotów zatrudniających powyżej 9 osób. Eksper</w:t>
      </w:r>
      <w:r w:rsidR="00615E41">
        <w:rPr>
          <w:rFonts w:ascii="Calibri" w:hAnsi="Calibri" w:cs="Calibri"/>
          <w:sz w:val="22"/>
          <w:szCs w:val="22"/>
        </w:rPr>
        <w:t>ci</w:t>
      </w:r>
      <w:r w:rsidR="00615E41" w:rsidRPr="00615E41">
        <w:rPr>
          <w:rFonts w:ascii="Calibri" w:hAnsi="Calibri" w:cs="Calibri"/>
          <w:sz w:val="22"/>
          <w:szCs w:val="22"/>
        </w:rPr>
        <w:t xml:space="preserve"> przygląda</w:t>
      </w:r>
      <w:r w:rsidR="00615E41">
        <w:rPr>
          <w:rFonts w:ascii="Calibri" w:hAnsi="Calibri" w:cs="Calibri"/>
          <w:sz w:val="22"/>
          <w:szCs w:val="22"/>
        </w:rPr>
        <w:t>ją</w:t>
      </w:r>
      <w:r w:rsidR="00615E41" w:rsidRPr="00615E41">
        <w:rPr>
          <w:rFonts w:ascii="Calibri" w:hAnsi="Calibri" w:cs="Calibri"/>
          <w:sz w:val="22"/>
          <w:szCs w:val="22"/>
        </w:rPr>
        <w:t xml:space="preserve"> się zmianom przychodów i kondycji finansowej firm za pierwsze półrocze 2026 roku na tle długoterminowych trendów gospodarczych.</w:t>
      </w:r>
    </w:p>
    <w:p w14:paraId="688D4E4A" w14:textId="2021E96B" w:rsidR="00603446" w:rsidRDefault="00603446" w:rsidP="00603446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03446">
        <w:rPr>
          <w:rFonts w:ascii="Calibri" w:hAnsi="Calibri" w:cs="Calibri"/>
          <w:b/>
          <w:bCs/>
          <w:sz w:val="22"/>
          <w:szCs w:val="22"/>
        </w:rPr>
        <w:t>Struktura sektora przedsiębiorstw</w:t>
      </w:r>
    </w:p>
    <w:p w14:paraId="26EECF93" w14:textId="6719547C" w:rsidR="00C8043F" w:rsidRDefault="00C8043F" w:rsidP="008C10EB">
      <w:pPr>
        <w:jc w:val="both"/>
        <w:rPr>
          <w:rFonts w:ascii="Calibri" w:hAnsi="Calibri" w:cs="Calibri"/>
          <w:sz w:val="22"/>
          <w:szCs w:val="22"/>
        </w:rPr>
      </w:pPr>
      <w:r w:rsidRPr="00C8043F">
        <w:rPr>
          <w:rFonts w:ascii="Calibri" w:hAnsi="Calibri" w:cs="Calibri"/>
          <w:sz w:val="22"/>
          <w:szCs w:val="22"/>
        </w:rPr>
        <w:t>W pierwszej połowie 2026 roku liczba podmiotów</w:t>
      </w:r>
      <w:r w:rsidR="00503B49">
        <w:rPr>
          <w:rFonts w:ascii="Calibri" w:hAnsi="Calibri" w:cs="Calibri"/>
          <w:sz w:val="22"/>
          <w:szCs w:val="22"/>
        </w:rPr>
        <w:t xml:space="preserve"> 9+</w:t>
      </w:r>
      <w:r w:rsidRPr="00C8043F">
        <w:rPr>
          <w:rFonts w:ascii="Calibri" w:hAnsi="Calibri" w:cs="Calibri"/>
          <w:sz w:val="22"/>
          <w:szCs w:val="22"/>
        </w:rPr>
        <w:t xml:space="preserve"> wyniosła 47 331, co oznacza spadek o 1,8</w:t>
      </w:r>
      <w:r w:rsidR="00791D77">
        <w:rPr>
          <w:rFonts w:ascii="Calibri" w:hAnsi="Calibri" w:cs="Calibri"/>
          <w:sz w:val="22"/>
          <w:szCs w:val="22"/>
        </w:rPr>
        <w:t xml:space="preserve"> proc.</w:t>
      </w:r>
      <w:r w:rsidRPr="00C8043F">
        <w:rPr>
          <w:rFonts w:ascii="Calibri" w:hAnsi="Calibri" w:cs="Calibri"/>
          <w:sz w:val="22"/>
          <w:szCs w:val="22"/>
        </w:rPr>
        <w:t xml:space="preserve"> w porównaniu z analogicznym okresem roku ubiegłego. Mimo to przedsiębiorstwa wygenerowały w pierwszym półroczu łączny przychód sięgający 3 098 mld zł, czyli o 6,6</w:t>
      </w:r>
      <w:r w:rsidR="00791D77">
        <w:rPr>
          <w:rFonts w:ascii="Calibri" w:hAnsi="Calibri" w:cs="Calibri"/>
          <w:sz w:val="22"/>
          <w:szCs w:val="22"/>
        </w:rPr>
        <w:t xml:space="preserve"> proc.</w:t>
      </w:r>
      <w:r w:rsidRPr="00C8043F">
        <w:rPr>
          <w:rFonts w:ascii="Calibri" w:hAnsi="Calibri" w:cs="Calibri"/>
          <w:sz w:val="22"/>
          <w:szCs w:val="22"/>
        </w:rPr>
        <w:t xml:space="preserve"> więcej niż rok wcześniej. </w:t>
      </w:r>
      <w:r w:rsidR="004B7024">
        <w:rPr>
          <w:rFonts w:ascii="Calibri" w:hAnsi="Calibri" w:cs="Calibri"/>
          <w:sz w:val="22"/>
          <w:szCs w:val="22"/>
        </w:rPr>
        <w:t>W efekcie ś</w:t>
      </w:r>
      <w:r w:rsidRPr="00C8043F">
        <w:rPr>
          <w:rFonts w:ascii="Calibri" w:hAnsi="Calibri" w:cs="Calibri"/>
          <w:sz w:val="22"/>
          <w:szCs w:val="22"/>
        </w:rPr>
        <w:t>redni przychód przypadający na jedną firmę sięgnął 65 mln zł, wykazując wzrost o 8,6</w:t>
      </w:r>
      <w:r w:rsidR="00791D77">
        <w:rPr>
          <w:rFonts w:ascii="Calibri" w:hAnsi="Calibri" w:cs="Calibri"/>
          <w:sz w:val="22"/>
          <w:szCs w:val="22"/>
        </w:rPr>
        <w:t xml:space="preserve"> proc.</w:t>
      </w:r>
      <w:r w:rsidRPr="00C8043F">
        <w:rPr>
          <w:rFonts w:ascii="Calibri" w:hAnsi="Calibri" w:cs="Calibri"/>
          <w:sz w:val="22"/>
          <w:szCs w:val="22"/>
        </w:rPr>
        <w:t xml:space="preserve"> rok do roku (wobec 60 mln zł w 1H 2025 r.).</w:t>
      </w:r>
    </w:p>
    <w:p w14:paraId="667A4EC7" w14:textId="2ABDE7E8" w:rsidR="00503B49" w:rsidRDefault="00304090" w:rsidP="008C10EB">
      <w:pPr>
        <w:jc w:val="both"/>
        <w:rPr>
          <w:rFonts w:ascii="Calibri" w:hAnsi="Calibri" w:cs="Calibri"/>
          <w:noProof/>
          <w:sz w:val="22"/>
          <w:szCs w:val="22"/>
        </w:rPr>
      </w:pPr>
      <w:r w:rsidRPr="00304090">
        <w:rPr>
          <w:rFonts w:ascii="Calibri" w:hAnsi="Calibri" w:cs="Calibri"/>
          <w:noProof/>
          <w:sz w:val="22"/>
          <w:szCs w:val="22"/>
        </w:rPr>
        <w:t xml:space="preserve">W strukturze przychodów całej </w:t>
      </w:r>
      <w:r w:rsidR="00503B49">
        <w:rPr>
          <w:rFonts w:ascii="Calibri" w:hAnsi="Calibri" w:cs="Calibri"/>
          <w:noProof/>
          <w:sz w:val="22"/>
          <w:szCs w:val="22"/>
        </w:rPr>
        <w:t>populacji przedsiębiorstw 9+</w:t>
      </w:r>
      <w:r w:rsidRPr="00304090">
        <w:rPr>
          <w:rFonts w:ascii="Calibri" w:hAnsi="Calibri" w:cs="Calibri"/>
          <w:noProof/>
          <w:sz w:val="22"/>
          <w:szCs w:val="22"/>
        </w:rPr>
        <w:t xml:space="preserve"> dominowały duże przedsiębiorstwa, odpowiadające za 62,8</w:t>
      </w:r>
      <w:r w:rsidR="00791D77">
        <w:rPr>
          <w:rFonts w:ascii="Calibri" w:hAnsi="Calibri" w:cs="Calibri"/>
          <w:noProof/>
          <w:sz w:val="22"/>
          <w:szCs w:val="22"/>
        </w:rPr>
        <w:t xml:space="preserve"> proc.</w:t>
      </w:r>
      <w:r w:rsidRPr="00304090">
        <w:rPr>
          <w:rFonts w:ascii="Calibri" w:hAnsi="Calibri" w:cs="Calibri"/>
          <w:noProof/>
          <w:sz w:val="22"/>
          <w:szCs w:val="22"/>
        </w:rPr>
        <w:t xml:space="preserve"> ich wartości (1 945 mld zł). </w:t>
      </w:r>
      <w:r w:rsidR="00046ABD">
        <w:rPr>
          <w:rFonts w:ascii="Calibri" w:hAnsi="Calibri" w:cs="Calibri"/>
          <w:noProof/>
          <w:sz w:val="22"/>
          <w:szCs w:val="22"/>
        </w:rPr>
        <w:t>O</w:t>
      </w:r>
      <w:r w:rsidRPr="00304090">
        <w:rPr>
          <w:rFonts w:ascii="Calibri" w:hAnsi="Calibri" w:cs="Calibri"/>
          <w:noProof/>
          <w:sz w:val="22"/>
          <w:szCs w:val="22"/>
        </w:rPr>
        <w:t>znacza</w:t>
      </w:r>
      <w:r w:rsidR="00046ABD">
        <w:rPr>
          <w:rFonts w:ascii="Calibri" w:hAnsi="Calibri" w:cs="Calibri"/>
          <w:noProof/>
          <w:sz w:val="22"/>
          <w:szCs w:val="22"/>
        </w:rPr>
        <w:t xml:space="preserve"> to</w:t>
      </w:r>
      <w:r w:rsidRPr="00304090">
        <w:rPr>
          <w:rFonts w:ascii="Calibri" w:hAnsi="Calibri" w:cs="Calibri"/>
          <w:noProof/>
          <w:sz w:val="22"/>
          <w:szCs w:val="22"/>
        </w:rPr>
        <w:t xml:space="preserve">, że sytuacja </w:t>
      </w:r>
      <w:r w:rsidR="00B16DEF">
        <w:rPr>
          <w:rFonts w:ascii="Calibri" w:hAnsi="Calibri" w:cs="Calibri"/>
          <w:noProof/>
          <w:sz w:val="22"/>
          <w:szCs w:val="22"/>
        </w:rPr>
        <w:t xml:space="preserve">tych podmiotów </w:t>
      </w:r>
      <w:r w:rsidRPr="00304090">
        <w:rPr>
          <w:rFonts w:ascii="Calibri" w:hAnsi="Calibri" w:cs="Calibri"/>
          <w:noProof/>
          <w:sz w:val="22"/>
          <w:szCs w:val="22"/>
        </w:rPr>
        <w:t xml:space="preserve">w największym stopniu kształtuje wyniki całego sektora. </w:t>
      </w:r>
    </w:p>
    <w:p w14:paraId="10ECC7CC" w14:textId="7132B1FF" w:rsidR="007F14A1" w:rsidRDefault="00304090" w:rsidP="008C10EB">
      <w:pPr>
        <w:jc w:val="both"/>
        <w:rPr>
          <w:rFonts w:ascii="Calibri" w:hAnsi="Calibri" w:cs="Calibri"/>
          <w:noProof/>
          <w:sz w:val="22"/>
          <w:szCs w:val="22"/>
        </w:rPr>
      </w:pPr>
      <w:r w:rsidRPr="00304090">
        <w:rPr>
          <w:rFonts w:ascii="Calibri" w:hAnsi="Calibri" w:cs="Calibri"/>
          <w:noProof/>
          <w:sz w:val="22"/>
          <w:szCs w:val="22"/>
        </w:rPr>
        <w:t>Jak zauważają eksperci</w:t>
      </w:r>
      <w:r w:rsidR="00503B49">
        <w:rPr>
          <w:rFonts w:ascii="Calibri" w:hAnsi="Calibri" w:cs="Calibri"/>
          <w:noProof/>
          <w:sz w:val="22"/>
          <w:szCs w:val="22"/>
        </w:rPr>
        <w:t xml:space="preserve"> Alior Banku</w:t>
      </w:r>
      <w:r w:rsidRPr="00304090">
        <w:rPr>
          <w:rFonts w:ascii="Calibri" w:hAnsi="Calibri" w:cs="Calibri"/>
          <w:noProof/>
          <w:sz w:val="22"/>
          <w:szCs w:val="22"/>
        </w:rPr>
        <w:t xml:space="preserve">, wraz ze wzrostem skali działalności maleje znaczenie handlu (odpowiada za </w:t>
      </w:r>
      <w:r w:rsidR="00D94C03">
        <w:rPr>
          <w:rFonts w:ascii="Calibri" w:hAnsi="Calibri" w:cs="Calibri"/>
          <w:noProof/>
          <w:sz w:val="22"/>
          <w:szCs w:val="22"/>
        </w:rPr>
        <w:t>blisko połowę</w:t>
      </w:r>
      <w:r w:rsidRPr="00304090">
        <w:rPr>
          <w:rFonts w:ascii="Calibri" w:hAnsi="Calibri" w:cs="Calibri"/>
          <w:noProof/>
          <w:sz w:val="22"/>
          <w:szCs w:val="22"/>
        </w:rPr>
        <w:t xml:space="preserve"> przychodów w małych firmach, wobec 27</w:t>
      </w:r>
      <w:r w:rsidR="00F6347D">
        <w:rPr>
          <w:rFonts w:ascii="Calibri" w:hAnsi="Calibri" w:cs="Calibri"/>
          <w:noProof/>
          <w:sz w:val="22"/>
          <w:szCs w:val="22"/>
        </w:rPr>
        <w:t xml:space="preserve"> </w:t>
      </w:r>
      <w:r w:rsidR="00791D77">
        <w:rPr>
          <w:rFonts w:ascii="Calibri" w:hAnsi="Calibri" w:cs="Calibri"/>
          <w:noProof/>
          <w:sz w:val="22"/>
          <w:szCs w:val="22"/>
        </w:rPr>
        <w:t>proc.</w:t>
      </w:r>
      <w:r w:rsidRPr="00304090">
        <w:rPr>
          <w:rFonts w:ascii="Calibri" w:hAnsi="Calibri" w:cs="Calibri"/>
          <w:noProof/>
          <w:sz w:val="22"/>
          <w:szCs w:val="22"/>
        </w:rPr>
        <w:t xml:space="preserve"> w dużych), a rośnie rola przemysłu (41</w:t>
      </w:r>
      <w:r w:rsidR="00791D77">
        <w:rPr>
          <w:rFonts w:ascii="Calibri" w:hAnsi="Calibri" w:cs="Calibri"/>
          <w:noProof/>
          <w:sz w:val="22"/>
          <w:szCs w:val="22"/>
        </w:rPr>
        <w:t xml:space="preserve"> proc.</w:t>
      </w:r>
      <w:r w:rsidRPr="00304090">
        <w:rPr>
          <w:rFonts w:ascii="Calibri" w:hAnsi="Calibri" w:cs="Calibri"/>
          <w:noProof/>
          <w:sz w:val="22"/>
          <w:szCs w:val="22"/>
        </w:rPr>
        <w:t xml:space="preserve"> w dużych firmach) oraz branż kapitałochłonnych. </w:t>
      </w:r>
    </w:p>
    <w:p w14:paraId="799EA8A2" w14:textId="4BDB2BCE" w:rsidR="007F14A1" w:rsidRDefault="00A22DCE" w:rsidP="00F6347D">
      <w:pPr>
        <w:jc w:val="center"/>
        <w:rPr>
          <w:rFonts w:ascii="Calibri" w:hAnsi="Calibri" w:cs="Calibri"/>
          <w:noProof/>
          <w:sz w:val="22"/>
          <w:szCs w:val="22"/>
        </w:rPr>
      </w:pPr>
      <w:r w:rsidRPr="00A22DCE"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55ED73A2" wp14:editId="0BFDC6CC">
            <wp:extent cx="6071417" cy="1352550"/>
            <wp:effectExtent l="0" t="0" r="5715" b="0"/>
            <wp:docPr id="81650028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50028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72663" cy="1352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8925D" w14:textId="51F0D467" w:rsidR="00304090" w:rsidRPr="00304090" w:rsidRDefault="00304090" w:rsidP="008C10EB">
      <w:pPr>
        <w:jc w:val="both"/>
        <w:rPr>
          <w:rFonts w:ascii="Calibri" w:hAnsi="Calibri" w:cs="Calibri"/>
          <w:noProof/>
          <w:sz w:val="22"/>
          <w:szCs w:val="22"/>
        </w:rPr>
      </w:pPr>
      <w:r w:rsidRPr="00304090">
        <w:rPr>
          <w:rFonts w:ascii="Calibri" w:hAnsi="Calibri" w:cs="Calibri"/>
          <w:noProof/>
          <w:sz w:val="22"/>
          <w:szCs w:val="22"/>
        </w:rPr>
        <w:lastRenderedPageBreak/>
        <w:t>Duże podmioty osiągają najwyższą marżę EBITDA (9,1</w:t>
      </w:r>
      <w:r w:rsidR="00791D77">
        <w:rPr>
          <w:rFonts w:ascii="Calibri" w:hAnsi="Calibri" w:cs="Calibri"/>
          <w:noProof/>
          <w:sz w:val="22"/>
          <w:szCs w:val="22"/>
        </w:rPr>
        <w:t xml:space="preserve"> proc.</w:t>
      </w:r>
      <w:r w:rsidRPr="00304090">
        <w:rPr>
          <w:rFonts w:ascii="Calibri" w:hAnsi="Calibri" w:cs="Calibri"/>
          <w:noProof/>
          <w:sz w:val="22"/>
          <w:szCs w:val="22"/>
        </w:rPr>
        <w:t>) i charakteryzują się najniższym zadłużeniem (42,1</w:t>
      </w:r>
      <w:r w:rsidR="00791D77">
        <w:rPr>
          <w:rFonts w:ascii="Calibri" w:hAnsi="Calibri" w:cs="Calibri"/>
          <w:noProof/>
          <w:sz w:val="22"/>
          <w:szCs w:val="22"/>
        </w:rPr>
        <w:t xml:space="preserve"> proc.</w:t>
      </w:r>
      <w:r w:rsidRPr="00304090">
        <w:rPr>
          <w:rFonts w:ascii="Calibri" w:hAnsi="Calibri" w:cs="Calibri"/>
          <w:noProof/>
          <w:sz w:val="22"/>
          <w:szCs w:val="22"/>
        </w:rPr>
        <w:t>) dzięki efektowi skali. Z kolei małe firmy stawiają na bezpieczeństwo i utrzymują największe bufory gotówkowe (wskaźnik płynności bieżącej 1,83), a średnie podmioty wyróżniają się najwyższym zadłużeniem (46,7</w:t>
      </w:r>
      <w:r w:rsidR="00791D77">
        <w:rPr>
          <w:rFonts w:ascii="Calibri" w:hAnsi="Calibri" w:cs="Calibri"/>
          <w:noProof/>
          <w:sz w:val="22"/>
          <w:szCs w:val="22"/>
        </w:rPr>
        <w:t xml:space="preserve"> proc.</w:t>
      </w:r>
      <w:r w:rsidRPr="00304090">
        <w:rPr>
          <w:rFonts w:ascii="Calibri" w:hAnsi="Calibri" w:cs="Calibri"/>
          <w:noProof/>
          <w:sz w:val="22"/>
          <w:szCs w:val="22"/>
        </w:rPr>
        <w:t>) wynikającym z finansowania bieżącego rozwoju i nakładów inwestycyjnych (</w:t>
      </w:r>
      <w:r w:rsidR="00503B49">
        <w:rPr>
          <w:rFonts w:ascii="Calibri" w:hAnsi="Calibri" w:cs="Calibri"/>
          <w:noProof/>
          <w:sz w:val="22"/>
          <w:szCs w:val="22"/>
        </w:rPr>
        <w:t>średnia stopa wzrostu</w:t>
      </w:r>
      <w:r w:rsidRPr="00304090">
        <w:rPr>
          <w:rFonts w:ascii="Calibri" w:hAnsi="Calibri" w:cs="Calibri"/>
          <w:noProof/>
          <w:sz w:val="22"/>
          <w:szCs w:val="22"/>
        </w:rPr>
        <w:t xml:space="preserve"> CAPEX na poziomie 10,4</w:t>
      </w:r>
      <w:r w:rsidR="00791D77">
        <w:rPr>
          <w:rFonts w:ascii="Calibri" w:hAnsi="Calibri" w:cs="Calibri"/>
          <w:noProof/>
          <w:sz w:val="22"/>
          <w:szCs w:val="22"/>
        </w:rPr>
        <w:t xml:space="preserve"> proc.</w:t>
      </w:r>
      <w:r w:rsidRPr="00304090">
        <w:rPr>
          <w:rFonts w:ascii="Calibri" w:hAnsi="Calibri" w:cs="Calibri"/>
          <w:noProof/>
          <w:sz w:val="22"/>
          <w:szCs w:val="22"/>
        </w:rPr>
        <w:t xml:space="preserve">).   </w:t>
      </w:r>
    </w:p>
    <w:p w14:paraId="3CE9B2A9" w14:textId="7561DA64" w:rsidR="00801B39" w:rsidRPr="00252861" w:rsidRDefault="002619F4" w:rsidP="008C10E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– </w:t>
      </w:r>
      <w:r w:rsidR="00304090" w:rsidRPr="00304090">
        <w:rPr>
          <w:rFonts w:ascii="Calibri" w:hAnsi="Calibri" w:cs="Calibri"/>
          <w:i/>
          <w:iCs/>
          <w:sz w:val="22"/>
          <w:szCs w:val="22"/>
        </w:rPr>
        <w:t xml:space="preserve">W minionym półroczu wystąpiła wyraźna przewaga dużych podmiotów. Ich sprzedaż rosła najszybciej, co było szczególnie widoczne w handlu hurtowym, gdzie </w:t>
      </w:r>
      <w:r w:rsidR="00431E3D">
        <w:rPr>
          <w:rFonts w:ascii="Calibri" w:hAnsi="Calibri" w:cs="Calibri"/>
          <w:i/>
          <w:iCs/>
          <w:sz w:val="22"/>
          <w:szCs w:val="22"/>
        </w:rPr>
        <w:t>tego typu</w:t>
      </w:r>
      <w:r w:rsidR="00304090" w:rsidRPr="00304090">
        <w:rPr>
          <w:rFonts w:ascii="Calibri" w:hAnsi="Calibri" w:cs="Calibri"/>
          <w:i/>
          <w:iCs/>
          <w:sz w:val="22"/>
          <w:szCs w:val="22"/>
        </w:rPr>
        <w:t xml:space="preserve"> firmy zanotowały wzrost na poziomie 10,4</w:t>
      </w:r>
      <w:r w:rsidR="00791D77">
        <w:rPr>
          <w:rFonts w:ascii="Calibri" w:hAnsi="Calibri" w:cs="Calibri"/>
          <w:i/>
          <w:iCs/>
          <w:sz w:val="22"/>
          <w:szCs w:val="22"/>
        </w:rPr>
        <w:t xml:space="preserve"> proc.</w:t>
      </w:r>
      <w:r w:rsidR="00304090" w:rsidRPr="00304090">
        <w:rPr>
          <w:rFonts w:ascii="Calibri" w:hAnsi="Calibri" w:cs="Calibri"/>
          <w:i/>
          <w:iCs/>
          <w:sz w:val="22"/>
          <w:szCs w:val="22"/>
        </w:rPr>
        <w:t xml:space="preserve"> rok do roku, wobec 4</w:t>
      </w:r>
      <w:r w:rsidR="00791D77">
        <w:rPr>
          <w:rFonts w:ascii="Calibri" w:hAnsi="Calibri" w:cs="Calibri"/>
          <w:i/>
          <w:iCs/>
          <w:sz w:val="22"/>
          <w:szCs w:val="22"/>
        </w:rPr>
        <w:t xml:space="preserve"> proc.</w:t>
      </w:r>
      <w:r w:rsidR="00304090" w:rsidRPr="00304090">
        <w:rPr>
          <w:rFonts w:ascii="Calibri" w:hAnsi="Calibri" w:cs="Calibri"/>
          <w:i/>
          <w:iCs/>
          <w:sz w:val="22"/>
          <w:szCs w:val="22"/>
        </w:rPr>
        <w:t xml:space="preserve"> w małych i 3,5</w:t>
      </w:r>
      <w:r w:rsidR="00791D77">
        <w:rPr>
          <w:rFonts w:ascii="Calibri" w:hAnsi="Calibri" w:cs="Calibri"/>
          <w:i/>
          <w:iCs/>
          <w:sz w:val="22"/>
          <w:szCs w:val="22"/>
        </w:rPr>
        <w:t xml:space="preserve"> proc.</w:t>
      </w:r>
      <w:r w:rsidR="00304090" w:rsidRPr="00304090">
        <w:rPr>
          <w:rFonts w:ascii="Calibri" w:hAnsi="Calibri" w:cs="Calibri"/>
          <w:i/>
          <w:iCs/>
          <w:sz w:val="22"/>
          <w:szCs w:val="22"/>
        </w:rPr>
        <w:t xml:space="preserve"> w średnich podmiotach. Duże przedsiębiorstwa sprawniej wykorzystują efekt skali, osiągając</w:t>
      </w:r>
      <w:r w:rsidR="00064FD2">
        <w:rPr>
          <w:rFonts w:ascii="Calibri" w:hAnsi="Calibri" w:cs="Calibri"/>
          <w:i/>
          <w:iCs/>
          <w:sz w:val="22"/>
          <w:szCs w:val="22"/>
        </w:rPr>
        <w:t xml:space="preserve"> również</w:t>
      </w:r>
      <w:r w:rsidR="00304090" w:rsidRPr="00304090">
        <w:rPr>
          <w:rFonts w:ascii="Calibri" w:hAnsi="Calibri" w:cs="Calibri"/>
          <w:i/>
          <w:iCs/>
          <w:sz w:val="22"/>
          <w:szCs w:val="22"/>
        </w:rPr>
        <w:t xml:space="preserve"> najwyższe marże i utrzymując najniższe zadłużenie</w:t>
      </w:r>
      <w:r w:rsidR="00304090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DF08C7">
        <w:rPr>
          <w:rFonts w:ascii="Calibri" w:hAnsi="Calibri" w:cs="Calibri"/>
          <w:sz w:val="22"/>
          <w:szCs w:val="22"/>
        </w:rPr>
        <w:t xml:space="preserve">– </w:t>
      </w:r>
      <w:r w:rsidR="00DF08C7" w:rsidRPr="00DF08C7">
        <w:rPr>
          <w:rFonts w:ascii="Calibri" w:hAnsi="Calibri" w:cs="Calibri"/>
          <w:sz w:val="22"/>
          <w:szCs w:val="22"/>
        </w:rPr>
        <w:t xml:space="preserve">wskazuje </w:t>
      </w:r>
      <w:r w:rsidR="00DF08C7" w:rsidRPr="00252861">
        <w:rPr>
          <w:rFonts w:ascii="Calibri" w:hAnsi="Calibri" w:cs="Calibri"/>
          <w:b/>
          <w:bCs/>
          <w:sz w:val="22"/>
          <w:szCs w:val="22"/>
        </w:rPr>
        <w:t>Bartosz Bartoszuk</w:t>
      </w:r>
      <w:r w:rsidR="00DF08C7" w:rsidRPr="00DF08C7">
        <w:rPr>
          <w:rFonts w:ascii="Calibri" w:hAnsi="Calibri" w:cs="Calibri"/>
          <w:sz w:val="22"/>
          <w:szCs w:val="22"/>
        </w:rPr>
        <w:t>, ekspert ds. analiz sektorowych w Alior Banku</w:t>
      </w:r>
      <w:r w:rsidR="00252861">
        <w:rPr>
          <w:rFonts w:ascii="Calibri" w:hAnsi="Calibri" w:cs="Calibri"/>
          <w:sz w:val="22"/>
          <w:szCs w:val="22"/>
        </w:rPr>
        <w:t>.</w:t>
      </w:r>
    </w:p>
    <w:p w14:paraId="481B6B24" w14:textId="58FEAAC2" w:rsidR="00BF663E" w:rsidRDefault="007D3B98" w:rsidP="008C10EB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Przychody</w:t>
      </w:r>
    </w:p>
    <w:p w14:paraId="135271A8" w14:textId="673F5E16" w:rsidR="00E526FB" w:rsidRDefault="008F50BB" w:rsidP="00403413">
      <w:pPr>
        <w:jc w:val="both"/>
        <w:rPr>
          <w:rFonts w:ascii="Calibri" w:hAnsi="Calibri" w:cs="Calibri"/>
          <w:sz w:val="22"/>
          <w:szCs w:val="22"/>
        </w:rPr>
      </w:pPr>
      <w:r w:rsidRPr="00064FD2">
        <w:rPr>
          <w:rFonts w:ascii="Calibri" w:hAnsi="Calibri" w:cs="Calibri"/>
          <w:sz w:val="22"/>
          <w:szCs w:val="22"/>
        </w:rPr>
        <w:t xml:space="preserve">W większości analizowanych </w:t>
      </w:r>
      <w:r w:rsidR="00503B49" w:rsidRPr="00064FD2">
        <w:rPr>
          <w:rFonts w:ascii="Calibri" w:hAnsi="Calibri" w:cs="Calibri"/>
          <w:sz w:val="22"/>
          <w:szCs w:val="22"/>
        </w:rPr>
        <w:t>sektorów</w:t>
      </w:r>
      <w:r w:rsidRPr="00064FD2">
        <w:rPr>
          <w:rFonts w:ascii="Calibri" w:hAnsi="Calibri" w:cs="Calibri"/>
          <w:sz w:val="22"/>
          <w:szCs w:val="22"/>
        </w:rPr>
        <w:t xml:space="preserve"> przychody w I półroczu 2026 r. rosły nominalnie szybciej niż inflacja CPI</w:t>
      </w:r>
      <w:r w:rsidR="00E526FB" w:rsidRPr="00064FD2">
        <w:rPr>
          <w:rFonts w:ascii="Calibri" w:hAnsi="Calibri" w:cs="Calibri"/>
          <w:sz w:val="22"/>
          <w:szCs w:val="22"/>
        </w:rPr>
        <w:t xml:space="preserve">. </w:t>
      </w:r>
      <w:r w:rsidRPr="00064FD2">
        <w:rPr>
          <w:rFonts w:ascii="Calibri" w:hAnsi="Calibri" w:cs="Calibri"/>
          <w:sz w:val="22"/>
          <w:szCs w:val="22"/>
        </w:rPr>
        <w:t>Wysoką dynamiką wyróżniało się m.in. górnictwo (+22,7 proc. r/r), na którego wyniki oddziaływała sytuacja na rynku metali, w tym miedzi i srebra</w:t>
      </w:r>
      <w:r w:rsidR="00E526FB" w:rsidRPr="00064FD2">
        <w:rPr>
          <w:rFonts w:ascii="Calibri" w:hAnsi="Calibri" w:cs="Calibri"/>
          <w:sz w:val="22"/>
          <w:szCs w:val="22"/>
        </w:rPr>
        <w:t>, a także</w:t>
      </w:r>
      <w:r w:rsidR="00503B49" w:rsidRPr="00064FD2">
        <w:rPr>
          <w:rFonts w:ascii="Calibri" w:hAnsi="Calibri" w:cs="Calibri"/>
          <w:sz w:val="22"/>
          <w:szCs w:val="22"/>
        </w:rPr>
        <w:t xml:space="preserve"> sekcje</w:t>
      </w:r>
      <w:r w:rsidR="00E526FB" w:rsidRPr="00064FD2">
        <w:rPr>
          <w:rFonts w:ascii="Calibri" w:hAnsi="Calibri" w:cs="Calibri"/>
          <w:sz w:val="22"/>
          <w:szCs w:val="22"/>
        </w:rPr>
        <w:t xml:space="preserve"> </w:t>
      </w:r>
      <w:r w:rsidR="00503B49" w:rsidRPr="00064FD2">
        <w:rPr>
          <w:rFonts w:ascii="Calibri" w:hAnsi="Calibri" w:cs="Calibri"/>
          <w:sz w:val="22"/>
          <w:szCs w:val="22"/>
        </w:rPr>
        <w:t>„</w:t>
      </w:r>
      <w:r w:rsidR="00E526FB" w:rsidRPr="00064FD2">
        <w:rPr>
          <w:rFonts w:ascii="Calibri" w:hAnsi="Calibri" w:cs="Calibri"/>
          <w:sz w:val="22"/>
          <w:szCs w:val="22"/>
        </w:rPr>
        <w:t>pozostałe usługi</w:t>
      </w:r>
      <w:r w:rsidR="00503B49" w:rsidRPr="00064FD2">
        <w:rPr>
          <w:rFonts w:ascii="Calibri" w:hAnsi="Calibri" w:cs="Calibri"/>
          <w:sz w:val="22"/>
          <w:szCs w:val="22"/>
        </w:rPr>
        <w:t>”</w:t>
      </w:r>
      <w:r w:rsidR="00E526FB" w:rsidRPr="00064FD2">
        <w:rPr>
          <w:rFonts w:ascii="Calibri" w:hAnsi="Calibri" w:cs="Calibri"/>
          <w:sz w:val="22"/>
          <w:szCs w:val="22"/>
        </w:rPr>
        <w:t xml:space="preserve"> (+17</w:t>
      </w:r>
      <w:r w:rsidR="00791D77" w:rsidRPr="00064FD2">
        <w:rPr>
          <w:rFonts w:ascii="Calibri" w:hAnsi="Calibri" w:cs="Calibri"/>
          <w:sz w:val="22"/>
          <w:szCs w:val="22"/>
        </w:rPr>
        <w:t xml:space="preserve"> proc. rok do roku</w:t>
      </w:r>
      <w:r w:rsidR="00E526FB" w:rsidRPr="00064FD2">
        <w:rPr>
          <w:rFonts w:ascii="Calibri" w:hAnsi="Calibri" w:cs="Calibri"/>
          <w:sz w:val="22"/>
          <w:szCs w:val="22"/>
        </w:rPr>
        <w:t xml:space="preserve">), </w:t>
      </w:r>
      <w:r w:rsidR="00503B49" w:rsidRPr="00064FD2">
        <w:rPr>
          <w:rFonts w:ascii="Calibri" w:hAnsi="Calibri" w:cs="Calibri"/>
          <w:sz w:val="22"/>
          <w:szCs w:val="22"/>
        </w:rPr>
        <w:t>„</w:t>
      </w:r>
      <w:r w:rsidR="00E526FB" w:rsidRPr="00064FD2">
        <w:rPr>
          <w:rFonts w:ascii="Calibri" w:hAnsi="Calibri" w:cs="Calibri"/>
          <w:sz w:val="22"/>
          <w:szCs w:val="22"/>
        </w:rPr>
        <w:t>gospodarka wodna</w:t>
      </w:r>
      <w:r w:rsidR="00503B49" w:rsidRPr="00064FD2">
        <w:rPr>
          <w:rFonts w:ascii="Calibri" w:hAnsi="Calibri" w:cs="Calibri"/>
          <w:sz w:val="22"/>
          <w:szCs w:val="22"/>
        </w:rPr>
        <w:t>”</w:t>
      </w:r>
      <w:r w:rsidR="00E526FB" w:rsidRPr="00064FD2">
        <w:rPr>
          <w:rFonts w:ascii="Calibri" w:hAnsi="Calibri" w:cs="Calibri"/>
          <w:sz w:val="22"/>
          <w:szCs w:val="22"/>
        </w:rPr>
        <w:t xml:space="preserve"> (+12</w:t>
      </w:r>
      <w:r w:rsidR="00791D77" w:rsidRPr="00064FD2">
        <w:rPr>
          <w:rFonts w:ascii="Calibri" w:hAnsi="Calibri" w:cs="Calibri"/>
          <w:sz w:val="22"/>
          <w:szCs w:val="22"/>
        </w:rPr>
        <w:t xml:space="preserve"> proc.</w:t>
      </w:r>
      <w:r w:rsidR="00E526FB" w:rsidRPr="00064FD2">
        <w:rPr>
          <w:rFonts w:ascii="Calibri" w:hAnsi="Calibri" w:cs="Calibri"/>
          <w:sz w:val="22"/>
          <w:szCs w:val="22"/>
        </w:rPr>
        <w:t xml:space="preserve"> </w:t>
      </w:r>
      <w:r w:rsidR="00791D77" w:rsidRPr="00064FD2">
        <w:rPr>
          <w:rFonts w:ascii="Calibri" w:hAnsi="Calibri" w:cs="Calibri"/>
          <w:sz w:val="22"/>
          <w:szCs w:val="22"/>
        </w:rPr>
        <w:t>rok do roku</w:t>
      </w:r>
      <w:r w:rsidR="00E526FB" w:rsidRPr="00064FD2">
        <w:rPr>
          <w:rFonts w:ascii="Calibri" w:hAnsi="Calibri" w:cs="Calibri"/>
          <w:sz w:val="22"/>
          <w:szCs w:val="22"/>
        </w:rPr>
        <w:t>) oraz opieka zdrowotna (+10,7</w:t>
      </w:r>
      <w:r w:rsidR="00791D77" w:rsidRPr="00064FD2">
        <w:rPr>
          <w:rFonts w:ascii="Calibri" w:hAnsi="Calibri" w:cs="Calibri"/>
          <w:sz w:val="22"/>
          <w:szCs w:val="22"/>
        </w:rPr>
        <w:t xml:space="preserve"> proc. rok do roku</w:t>
      </w:r>
      <w:r w:rsidR="00E526FB" w:rsidRPr="00064FD2">
        <w:rPr>
          <w:rFonts w:ascii="Calibri" w:hAnsi="Calibri" w:cs="Calibri"/>
          <w:sz w:val="22"/>
          <w:szCs w:val="22"/>
        </w:rPr>
        <w:t xml:space="preserve">). </w:t>
      </w:r>
      <w:r w:rsidR="009966DB" w:rsidRPr="00064FD2">
        <w:rPr>
          <w:rFonts w:ascii="Calibri" w:hAnsi="Calibri" w:cs="Calibri"/>
          <w:sz w:val="22"/>
          <w:szCs w:val="22"/>
        </w:rPr>
        <w:t>Eksperci Alior Banku zauważają, że o</w:t>
      </w:r>
      <w:r w:rsidR="00E526FB" w:rsidRPr="00064FD2">
        <w:rPr>
          <w:rFonts w:ascii="Calibri" w:hAnsi="Calibri" w:cs="Calibri"/>
          <w:sz w:val="22"/>
          <w:szCs w:val="22"/>
        </w:rPr>
        <w:t xml:space="preserve">dmienna sytuacja wystąpiła </w:t>
      </w:r>
      <w:r w:rsidRPr="00064FD2">
        <w:rPr>
          <w:rFonts w:ascii="Calibri" w:hAnsi="Calibri" w:cs="Calibri"/>
          <w:sz w:val="22"/>
          <w:szCs w:val="22"/>
        </w:rPr>
        <w:t>w rolnictwie (-8,8 proc. r/r), gdzie spadkowi przychodów towarzyszyły niższe ceny części produktów rolnych przy wysokiej podaży i silnej konkurencji na rynku europejskim</w:t>
      </w:r>
      <w:r w:rsidR="00E526FB" w:rsidRPr="00064FD2">
        <w:rPr>
          <w:rFonts w:ascii="Calibri" w:hAnsi="Calibri" w:cs="Calibri"/>
          <w:sz w:val="22"/>
          <w:szCs w:val="22"/>
        </w:rPr>
        <w:t>.</w:t>
      </w:r>
      <w:r w:rsidR="00E526FB" w:rsidRPr="00E526FB">
        <w:rPr>
          <w:rFonts w:ascii="Calibri" w:hAnsi="Calibri" w:cs="Calibri"/>
          <w:sz w:val="22"/>
          <w:szCs w:val="22"/>
        </w:rPr>
        <w:t xml:space="preserve">   </w:t>
      </w:r>
    </w:p>
    <w:p w14:paraId="6FA71343" w14:textId="09D728A1" w:rsidR="007725D4" w:rsidRDefault="004076A6" w:rsidP="004076A6">
      <w:pPr>
        <w:jc w:val="center"/>
        <w:rPr>
          <w:rFonts w:ascii="Calibri" w:hAnsi="Calibri" w:cs="Calibri"/>
          <w:sz w:val="22"/>
          <w:szCs w:val="22"/>
        </w:rPr>
      </w:pPr>
      <w:r w:rsidRPr="004076A6"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E3E6927" wp14:editId="1A886D54">
            <wp:extent cx="3221649" cy="3067050"/>
            <wp:effectExtent l="0" t="0" r="0" b="0"/>
            <wp:docPr id="89063646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63646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23476" cy="3068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ADE84" w14:textId="7C7E7E63" w:rsidR="00E526FB" w:rsidRDefault="00E526FB" w:rsidP="00403413">
      <w:pPr>
        <w:jc w:val="both"/>
        <w:rPr>
          <w:rFonts w:ascii="Calibri" w:hAnsi="Calibri" w:cs="Calibri"/>
          <w:sz w:val="22"/>
          <w:szCs w:val="22"/>
        </w:rPr>
      </w:pPr>
      <w:r w:rsidRPr="00E526FB">
        <w:rPr>
          <w:rFonts w:ascii="Calibri" w:hAnsi="Calibri" w:cs="Calibri"/>
          <w:sz w:val="22"/>
          <w:szCs w:val="22"/>
        </w:rPr>
        <w:t>Wzrost sprzedaży koncentrował się w dużych firmach, które zwiększyły przychody o 8,3</w:t>
      </w:r>
      <w:r w:rsidR="00791D77">
        <w:rPr>
          <w:rFonts w:ascii="Calibri" w:hAnsi="Calibri" w:cs="Calibri"/>
          <w:sz w:val="22"/>
          <w:szCs w:val="22"/>
        </w:rPr>
        <w:t xml:space="preserve"> proc. rok do roku</w:t>
      </w:r>
      <w:r w:rsidRPr="00E526FB">
        <w:rPr>
          <w:rFonts w:ascii="Calibri" w:hAnsi="Calibri" w:cs="Calibri"/>
          <w:sz w:val="22"/>
          <w:szCs w:val="22"/>
        </w:rPr>
        <w:t>, wobec 4,5</w:t>
      </w:r>
      <w:r w:rsidR="00791D77">
        <w:rPr>
          <w:rFonts w:ascii="Calibri" w:hAnsi="Calibri" w:cs="Calibri"/>
          <w:sz w:val="22"/>
          <w:szCs w:val="22"/>
        </w:rPr>
        <w:t xml:space="preserve"> proc.</w:t>
      </w:r>
      <w:r w:rsidRPr="00E526FB">
        <w:rPr>
          <w:rFonts w:ascii="Calibri" w:hAnsi="Calibri" w:cs="Calibri"/>
          <w:sz w:val="22"/>
          <w:szCs w:val="22"/>
        </w:rPr>
        <w:t xml:space="preserve"> w średnich i tylko 2,8</w:t>
      </w:r>
      <w:r w:rsidR="00791D77">
        <w:rPr>
          <w:rFonts w:ascii="Calibri" w:hAnsi="Calibri" w:cs="Calibri"/>
          <w:sz w:val="22"/>
          <w:szCs w:val="22"/>
        </w:rPr>
        <w:t xml:space="preserve"> proc.</w:t>
      </w:r>
      <w:r w:rsidRPr="00E526FB">
        <w:rPr>
          <w:rFonts w:ascii="Calibri" w:hAnsi="Calibri" w:cs="Calibri"/>
          <w:sz w:val="22"/>
          <w:szCs w:val="22"/>
        </w:rPr>
        <w:t xml:space="preserve"> w małych podmiotach. W handlu detalicznym wysokie tempo wzrostu odnotowano we wszystkich grupach wielkości (duże +10,6</w:t>
      </w:r>
      <w:r w:rsidR="00791D77">
        <w:rPr>
          <w:rFonts w:ascii="Calibri" w:hAnsi="Calibri" w:cs="Calibri"/>
          <w:sz w:val="22"/>
          <w:szCs w:val="22"/>
        </w:rPr>
        <w:t xml:space="preserve"> proc.</w:t>
      </w:r>
      <w:r w:rsidRPr="00E526FB">
        <w:rPr>
          <w:rFonts w:ascii="Calibri" w:hAnsi="Calibri" w:cs="Calibri"/>
          <w:sz w:val="22"/>
          <w:szCs w:val="22"/>
        </w:rPr>
        <w:t>, małe +9,4</w:t>
      </w:r>
      <w:r w:rsidR="00791D77">
        <w:rPr>
          <w:rFonts w:ascii="Calibri" w:hAnsi="Calibri" w:cs="Calibri"/>
          <w:sz w:val="22"/>
          <w:szCs w:val="22"/>
        </w:rPr>
        <w:t xml:space="preserve"> proc.</w:t>
      </w:r>
      <w:r w:rsidRPr="00E526FB">
        <w:rPr>
          <w:rFonts w:ascii="Calibri" w:hAnsi="Calibri" w:cs="Calibri"/>
          <w:sz w:val="22"/>
          <w:szCs w:val="22"/>
        </w:rPr>
        <w:t>, średnie +5,4</w:t>
      </w:r>
      <w:r w:rsidR="00791D77">
        <w:rPr>
          <w:rFonts w:ascii="Calibri" w:hAnsi="Calibri" w:cs="Calibri"/>
          <w:sz w:val="22"/>
          <w:szCs w:val="22"/>
        </w:rPr>
        <w:t xml:space="preserve"> proc.</w:t>
      </w:r>
      <w:r w:rsidRPr="00E526FB">
        <w:rPr>
          <w:rFonts w:ascii="Calibri" w:hAnsi="Calibri" w:cs="Calibri"/>
          <w:sz w:val="22"/>
          <w:szCs w:val="22"/>
        </w:rPr>
        <w:t xml:space="preserve"> </w:t>
      </w:r>
      <w:r w:rsidR="00791D77">
        <w:rPr>
          <w:rFonts w:ascii="Calibri" w:hAnsi="Calibri" w:cs="Calibri"/>
          <w:sz w:val="22"/>
          <w:szCs w:val="22"/>
        </w:rPr>
        <w:t>rok do roku</w:t>
      </w:r>
      <w:r w:rsidRPr="00E526FB">
        <w:rPr>
          <w:rFonts w:ascii="Calibri" w:hAnsi="Calibri" w:cs="Calibri"/>
          <w:sz w:val="22"/>
          <w:szCs w:val="22"/>
        </w:rPr>
        <w:t xml:space="preserve">), na co wpłynęła rosnąca siła nabywcza konsumentów napędzana wzrostem płac.   </w:t>
      </w:r>
    </w:p>
    <w:p w14:paraId="36BE8815" w14:textId="60A90461" w:rsidR="00AB6685" w:rsidRPr="00AB6685" w:rsidRDefault="007D3B98" w:rsidP="00403413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lastRenderedPageBreak/>
        <w:t>Koszty</w:t>
      </w:r>
      <w:r w:rsidR="00E526FB">
        <w:rPr>
          <w:rFonts w:ascii="Calibri" w:hAnsi="Calibri" w:cs="Calibri"/>
          <w:b/>
          <w:bCs/>
          <w:sz w:val="22"/>
          <w:szCs w:val="22"/>
        </w:rPr>
        <w:t xml:space="preserve">, </w:t>
      </w:r>
      <w:r w:rsidR="00BF0607">
        <w:rPr>
          <w:rFonts w:ascii="Calibri" w:hAnsi="Calibri" w:cs="Calibri"/>
          <w:b/>
          <w:bCs/>
          <w:sz w:val="22"/>
          <w:szCs w:val="22"/>
        </w:rPr>
        <w:t>rentowność</w:t>
      </w:r>
      <w:r w:rsidR="00E526FB">
        <w:rPr>
          <w:rFonts w:ascii="Calibri" w:hAnsi="Calibri" w:cs="Calibri"/>
          <w:b/>
          <w:bCs/>
          <w:sz w:val="22"/>
          <w:szCs w:val="22"/>
        </w:rPr>
        <w:t xml:space="preserve"> i zatrudnienie</w:t>
      </w:r>
    </w:p>
    <w:p w14:paraId="24C76D0C" w14:textId="0788D800" w:rsidR="00E526FB" w:rsidRDefault="00E526FB" w:rsidP="00BF0607">
      <w:pPr>
        <w:jc w:val="both"/>
        <w:rPr>
          <w:rFonts w:ascii="Calibri" w:hAnsi="Calibri" w:cs="Calibri"/>
          <w:sz w:val="22"/>
          <w:szCs w:val="22"/>
        </w:rPr>
      </w:pPr>
      <w:r w:rsidRPr="00E526FB">
        <w:rPr>
          <w:rFonts w:ascii="Calibri" w:hAnsi="Calibri" w:cs="Calibri"/>
          <w:sz w:val="22"/>
          <w:szCs w:val="22"/>
        </w:rPr>
        <w:t>Dynamicznemu wzrostowi sprzedaży towarzyszyła kontynuacja presji kosztowej (koszty operacyjne ogółem wzrosły o 5,9</w:t>
      </w:r>
      <w:r w:rsidR="00791D77">
        <w:rPr>
          <w:rFonts w:ascii="Calibri" w:hAnsi="Calibri" w:cs="Calibri"/>
          <w:sz w:val="22"/>
          <w:szCs w:val="22"/>
        </w:rPr>
        <w:t xml:space="preserve"> proc. rok do roku</w:t>
      </w:r>
      <w:r w:rsidRPr="00E526FB">
        <w:rPr>
          <w:rFonts w:ascii="Calibri" w:hAnsi="Calibri" w:cs="Calibri"/>
          <w:sz w:val="22"/>
          <w:szCs w:val="22"/>
        </w:rPr>
        <w:t>), wywołana wyższymi cenami usług obcych (+7,5</w:t>
      </w:r>
      <w:r w:rsidR="00791D77">
        <w:rPr>
          <w:rFonts w:ascii="Calibri" w:hAnsi="Calibri" w:cs="Calibri"/>
          <w:sz w:val="22"/>
          <w:szCs w:val="22"/>
        </w:rPr>
        <w:t xml:space="preserve"> proc. rok do roku</w:t>
      </w:r>
      <w:r w:rsidRPr="00E526FB">
        <w:rPr>
          <w:rFonts w:ascii="Calibri" w:hAnsi="Calibri" w:cs="Calibri"/>
          <w:sz w:val="22"/>
          <w:szCs w:val="22"/>
        </w:rPr>
        <w:t>) oraz towarów (+7,4</w:t>
      </w:r>
      <w:r w:rsidR="00791D77">
        <w:rPr>
          <w:rFonts w:ascii="Calibri" w:hAnsi="Calibri" w:cs="Calibri"/>
          <w:sz w:val="22"/>
          <w:szCs w:val="22"/>
        </w:rPr>
        <w:t xml:space="preserve"> proc. rok do roku</w:t>
      </w:r>
      <w:r w:rsidRPr="00E526FB">
        <w:rPr>
          <w:rFonts w:ascii="Calibri" w:hAnsi="Calibri" w:cs="Calibri"/>
          <w:sz w:val="22"/>
          <w:szCs w:val="22"/>
        </w:rPr>
        <w:t>). Jednak dynamika kosztów wynagrodzeń wyraźnie wyhamowała z 9,2</w:t>
      </w:r>
      <w:r w:rsidR="00791D77">
        <w:rPr>
          <w:rFonts w:ascii="Calibri" w:hAnsi="Calibri" w:cs="Calibri"/>
          <w:sz w:val="22"/>
          <w:szCs w:val="22"/>
        </w:rPr>
        <w:t xml:space="preserve"> proc.</w:t>
      </w:r>
      <w:r w:rsidRPr="00E526FB">
        <w:rPr>
          <w:rFonts w:ascii="Calibri" w:hAnsi="Calibri" w:cs="Calibri"/>
          <w:sz w:val="22"/>
          <w:szCs w:val="22"/>
        </w:rPr>
        <w:t xml:space="preserve"> do 5,8</w:t>
      </w:r>
      <w:r w:rsidR="00791D77">
        <w:rPr>
          <w:rFonts w:ascii="Calibri" w:hAnsi="Calibri" w:cs="Calibri"/>
          <w:sz w:val="22"/>
          <w:szCs w:val="22"/>
        </w:rPr>
        <w:t xml:space="preserve"> proc.</w:t>
      </w:r>
      <w:r w:rsidRPr="00E526FB">
        <w:rPr>
          <w:rFonts w:ascii="Calibri" w:hAnsi="Calibri" w:cs="Calibri"/>
          <w:sz w:val="22"/>
          <w:szCs w:val="22"/>
        </w:rPr>
        <w:t xml:space="preserve"> r</w:t>
      </w:r>
      <w:r w:rsidR="00791D77">
        <w:rPr>
          <w:rFonts w:ascii="Calibri" w:hAnsi="Calibri" w:cs="Calibri"/>
          <w:sz w:val="22"/>
          <w:szCs w:val="22"/>
        </w:rPr>
        <w:t>ok do roku</w:t>
      </w:r>
      <w:r w:rsidRPr="00E526FB">
        <w:rPr>
          <w:rFonts w:ascii="Calibri" w:hAnsi="Calibri" w:cs="Calibri"/>
          <w:sz w:val="22"/>
          <w:szCs w:val="22"/>
        </w:rPr>
        <w:t xml:space="preserve">, co złagodziło bieżącą presję płacową. </w:t>
      </w:r>
      <w:r w:rsidR="00503B49" w:rsidRPr="00503B49">
        <w:rPr>
          <w:rFonts w:ascii="Calibri" w:hAnsi="Calibri" w:cs="Calibri"/>
          <w:sz w:val="22"/>
          <w:szCs w:val="22"/>
        </w:rPr>
        <w:t>Presja kosztowa była bardziej widoczna w wynikach mniejszych podmiotów, podczas gdy duże firmy osiągnęły wyższą rentowność</w:t>
      </w:r>
      <w:r w:rsidR="00503B49">
        <w:rPr>
          <w:rFonts w:ascii="Calibri" w:hAnsi="Calibri" w:cs="Calibri"/>
          <w:sz w:val="22"/>
          <w:szCs w:val="22"/>
        </w:rPr>
        <w:t>.</w:t>
      </w:r>
    </w:p>
    <w:p w14:paraId="638BE431" w14:textId="67C0F98E" w:rsidR="00503B49" w:rsidRDefault="001E1235" w:rsidP="00746639">
      <w:pPr>
        <w:jc w:val="both"/>
        <w:rPr>
          <w:rFonts w:ascii="Calibri" w:hAnsi="Calibri" w:cs="Calibri"/>
          <w:sz w:val="22"/>
          <w:szCs w:val="22"/>
        </w:rPr>
      </w:pPr>
      <w:r w:rsidRPr="001E1235">
        <w:rPr>
          <w:rFonts w:ascii="Calibri" w:hAnsi="Calibri" w:cs="Calibri"/>
          <w:sz w:val="22"/>
          <w:szCs w:val="22"/>
        </w:rPr>
        <w:t>Mimo to marża EBITDA w sektorze</w:t>
      </w:r>
      <w:r w:rsidR="00503B49">
        <w:rPr>
          <w:rFonts w:ascii="Calibri" w:hAnsi="Calibri" w:cs="Calibri"/>
          <w:sz w:val="22"/>
          <w:szCs w:val="22"/>
        </w:rPr>
        <w:t xml:space="preserve"> przedsiębiorstw 9+</w:t>
      </w:r>
      <w:r w:rsidRPr="001E1235">
        <w:rPr>
          <w:rFonts w:ascii="Calibri" w:hAnsi="Calibri" w:cs="Calibri"/>
          <w:sz w:val="22"/>
          <w:szCs w:val="22"/>
        </w:rPr>
        <w:t xml:space="preserve"> wzrosła z 8,2</w:t>
      </w:r>
      <w:r w:rsidR="00791D77">
        <w:rPr>
          <w:rFonts w:ascii="Calibri" w:hAnsi="Calibri" w:cs="Calibri"/>
          <w:sz w:val="22"/>
          <w:szCs w:val="22"/>
        </w:rPr>
        <w:t xml:space="preserve"> proc.</w:t>
      </w:r>
      <w:r w:rsidRPr="001E1235">
        <w:rPr>
          <w:rFonts w:ascii="Calibri" w:hAnsi="Calibri" w:cs="Calibri"/>
          <w:sz w:val="22"/>
          <w:szCs w:val="22"/>
        </w:rPr>
        <w:t xml:space="preserve"> do 8,8</w:t>
      </w:r>
      <w:r w:rsidR="00791D77">
        <w:rPr>
          <w:rFonts w:ascii="Calibri" w:hAnsi="Calibri" w:cs="Calibri"/>
          <w:sz w:val="22"/>
          <w:szCs w:val="22"/>
        </w:rPr>
        <w:t xml:space="preserve"> proc.</w:t>
      </w:r>
      <w:r w:rsidRPr="001E1235">
        <w:rPr>
          <w:rFonts w:ascii="Calibri" w:hAnsi="Calibri" w:cs="Calibri"/>
          <w:sz w:val="22"/>
          <w:szCs w:val="22"/>
        </w:rPr>
        <w:t xml:space="preserve"> (+0,6 </w:t>
      </w:r>
      <w:proofErr w:type="spellStart"/>
      <w:r w:rsidRPr="001E1235">
        <w:rPr>
          <w:rFonts w:ascii="Calibri" w:hAnsi="Calibri" w:cs="Calibri"/>
          <w:sz w:val="22"/>
          <w:szCs w:val="22"/>
        </w:rPr>
        <w:t>p.p</w:t>
      </w:r>
      <w:proofErr w:type="spellEnd"/>
      <w:r w:rsidRPr="001E1235">
        <w:rPr>
          <w:rFonts w:ascii="Calibri" w:hAnsi="Calibri" w:cs="Calibri"/>
          <w:sz w:val="22"/>
          <w:szCs w:val="22"/>
        </w:rPr>
        <w:t>. r</w:t>
      </w:r>
      <w:r w:rsidR="00791D77">
        <w:rPr>
          <w:rFonts w:ascii="Calibri" w:hAnsi="Calibri" w:cs="Calibri"/>
          <w:sz w:val="22"/>
          <w:szCs w:val="22"/>
        </w:rPr>
        <w:t>ok do roku</w:t>
      </w:r>
      <w:r w:rsidRPr="001E1235">
        <w:rPr>
          <w:rFonts w:ascii="Calibri" w:hAnsi="Calibri" w:cs="Calibri"/>
          <w:sz w:val="22"/>
          <w:szCs w:val="22"/>
        </w:rPr>
        <w:t>), a udział firm rentownych zwiększył się z 69</w:t>
      </w:r>
      <w:r w:rsidR="00791D77">
        <w:rPr>
          <w:rFonts w:ascii="Calibri" w:hAnsi="Calibri" w:cs="Calibri"/>
          <w:sz w:val="22"/>
          <w:szCs w:val="22"/>
        </w:rPr>
        <w:t xml:space="preserve"> proc.</w:t>
      </w:r>
      <w:r w:rsidRPr="001E1235">
        <w:rPr>
          <w:rFonts w:ascii="Calibri" w:hAnsi="Calibri" w:cs="Calibri"/>
          <w:sz w:val="22"/>
          <w:szCs w:val="22"/>
        </w:rPr>
        <w:t xml:space="preserve"> do 70,2</w:t>
      </w:r>
      <w:r w:rsidR="00791D77">
        <w:rPr>
          <w:rFonts w:ascii="Calibri" w:hAnsi="Calibri" w:cs="Calibri"/>
          <w:sz w:val="22"/>
          <w:szCs w:val="22"/>
        </w:rPr>
        <w:t xml:space="preserve"> proc</w:t>
      </w:r>
      <w:r w:rsidRPr="001E1235">
        <w:rPr>
          <w:rFonts w:ascii="Calibri" w:hAnsi="Calibri" w:cs="Calibri"/>
          <w:sz w:val="22"/>
          <w:szCs w:val="22"/>
        </w:rPr>
        <w:t>. Wyniki były jednak mocno zróżnicowane. Najwyższe marże wypracowały finanse i ubezpieczenia (28,9</w:t>
      </w:r>
      <w:r w:rsidR="00791D77">
        <w:rPr>
          <w:rFonts w:ascii="Calibri" w:hAnsi="Calibri" w:cs="Calibri"/>
          <w:sz w:val="22"/>
          <w:szCs w:val="22"/>
        </w:rPr>
        <w:t xml:space="preserve"> proc.</w:t>
      </w:r>
      <w:r w:rsidRPr="001E1235">
        <w:rPr>
          <w:rFonts w:ascii="Calibri" w:hAnsi="Calibri" w:cs="Calibri"/>
          <w:sz w:val="22"/>
          <w:szCs w:val="22"/>
        </w:rPr>
        <w:t>), informacja i komunikacja (18,2</w:t>
      </w:r>
      <w:r w:rsidR="00791D77">
        <w:rPr>
          <w:rFonts w:ascii="Calibri" w:hAnsi="Calibri" w:cs="Calibri"/>
          <w:sz w:val="22"/>
          <w:szCs w:val="22"/>
        </w:rPr>
        <w:t xml:space="preserve"> proc.</w:t>
      </w:r>
      <w:r w:rsidRPr="001E1235">
        <w:rPr>
          <w:rFonts w:ascii="Calibri" w:hAnsi="Calibri" w:cs="Calibri"/>
          <w:sz w:val="22"/>
          <w:szCs w:val="22"/>
        </w:rPr>
        <w:t>) oraz górnictwo (17,2</w:t>
      </w:r>
      <w:r w:rsidR="00791D77">
        <w:rPr>
          <w:rFonts w:ascii="Calibri" w:hAnsi="Calibri" w:cs="Calibri"/>
          <w:sz w:val="22"/>
          <w:szCs w:val="22"/>
        </w:rPr>
        <w:t xml:space="preserve"> proc.</w:t>
      </w:r>
      <w:r w:rsidRPr="001E1235">
        <w:rPr>
          <w:rFonts w:ascii="Calibri" w:hAnsi="Calibri" w:cs="Calibri"/>
          <w:sz w:val="22"/>
          <w:szCs w:val="22"/>
        </w:rPr>
        <w:t xml:space="preserve">). </w:t>
      </w:r>
    </w:p>
    <w:p w14:paraId="71991AEC" w14:textId="68EFE144" w:rsidR="001E1235" w:rsidRDefault="008F50BB" w:rsidP="00746639">
      <w:pPr>
        <w:jc w:val="both"/>
        <w:rPr>
          <w:rFonts w:ascii="Calibri" w:hAnsi="Calibri" w:cs="Calibri"/>
          <w:sz w:val="22"/>
          <w:szCs w:val="22"/>
        </w:rPr>
      </w:pPr>
      <w:r w:rsidRPr="00064FD2">
        <w:rPr>
          <w:rFonts w:ascii="Calibri" w:hAnsi="Calibri" w:cs="Calibri"/>
          <w:sz w:val="22"/>
          <w:szCs w:val="22"/>
        </w:rPr>
        <w:t xml:space="preserve">Największe spadki marży odnotowano natomiast w rolnictwie (-1,5 </w:t>
      </w:r>
      <w:proofErr w:type="spellStart"/>
      <w:r w:rsidRPr="00064FD2">
        <w:rPr>
          <w:rFonts w:ascii="Calibri" w:hAnsi="Calibri" w:cs="Calibri"/>
          <w:sz w:val="22"/>
          <w:szCs w:val="22"/>
        </w:rPr>
        <w:t>p.p</w:t>
      </w:r>
      <w:proofErr w:type="spellEnd"/>
      <w:r w:rsidRPr="00064FD2">
        <w:rPr>
          <w:rFonts w:ascii="Calibri" w:hAnsi="Calibri" w:cs="Calibri"/>
          <w:sz w:val="22"/>
          <w:szCs w:val="22"/>
        </w:rPr>
        <w:t xml:space="preserve">. do 11,6 proc.) oraz energetyce (-1,2 </w:t>
      </w:r>
      <w:proofErr w:type="spellStart"/>
      <w:r w:rsidRPr="00064FD2">
        <w:rPr>
          <w:rFonts w:ascii="Calibri" w:hAnsi="Calibri" w:cs="Calibri"/>
          <w:sz w:val="22"/>
          <w:szCs w:val="22"/>
        </w:rPr>
        <w:t>p.p</w:t>
      </w:r>
      <w:proofErr w:type="spellEnd"/>
      <w:r w:rsidRPr="00064FD2">
        <w:rPr>
          <w:rFonts w:ascii="Calibri" w:hAnsi="Calibri" w:cs="Calibri"/>
          <w:sz w:val="22"/>
          <w:szCs w:val="22"/>
        </w:rPr>
        <w:t xml:space="preserve">. do 12,4 proc.). </w:t>
      </w:r>
      <w:r w:rsidR="001E1235" w:rsidRPr="00064FD2">
        <w:rPr>
          <w:rFonts w:ascii="Calibri" w:hAnsi="Calibri" w:cs="Calibri"/>
          <w:sz w:val="22"/>
          <w:szCs w:val="22"/>
        </w:rPr>
        <w:t>W górnictwie</w:t>
      </w:r>
      <w:r w:rsidR="001E1235" w:rsidRPr="001E1235">
        <w:rPr>
          <w:rFonts w:ascii="Calibri" w:hAnsi="Calibri" w:cs="Calibri"/>
          <w:sz w:val="22"/>
          <w:szCs w:val="22"/>
        </w:rPr>
        <w:t xml:space="preserve">, mimo wysokiej marży zagregowanej, udział firm rentownych spadł aż o 8,7 </w:t>
      </w:r>
      <w:proofErr w:type="spellStart"/>
      <w:r w:rsidR="001E1235" w:rsidRPr="001E1235">
        <w:rPr>
          <w:rFonts w:ascii="Calibri" w:hAnsi="Calibri" w:cs="Calibri"/>
          <w:sz w:val="22"/>
          <w:szCs w:val="22"/>
        </w:rPr>
        <w:t>p.p</w:t>
      </w:r>
      <w:proofErr w:type="spellEnd"/>
      <w:r w:rsidR="001E1235" w:rsidRPr="001E1235">
        <w:rPr>
          <w:rFonts w:ascii="Calibri" w:hAnsi="Calibri" w:cs="Calibri"/>
          <w:sz w:val="22"/>
          <w:szCs w:val="22"/>
        </w:rPr>
        <w:t>. (do 63,6</w:t>
      </w:r>
      <w:r w:rsidR="00791D77">
        <w:rPr>
          <w:rFonts w:ascii="Calibri" w:hAnsi="Calibri" w:cs="Calibri"/>
          <w:sz w:val="22"/>
          <w:szCs w:val="22"/>
        </w:rPr>
        <w:t xml:space="preserve"> proc.</w:t>
      </w:r>
      <w:r w:rsidR="001E1235" w:rsidRPr="001E1235">
        <w:rPr>
          <w:rFonts w:ascii="Calibri" w:hAnsi="Calibri" w:cs="Calibri"/>
          <w:sz w:val="22"/>
          <w:szCs w:val="22"/>
        </w:rPr>
        <w:t xml:space="preserve">), co </w:t>
      </w:r>
      <w:r w:rsidR="00503B49">
        <w:rPr>
          <w:rFonts w:ascii="Calibri" w:hAnsi="Calibri" w:cs="Calibri"/>
          <w:sz w:val="22"/>
          <w:szCs w:val="22"/>
        </w:rPr>
        <w:t>sugeruje</w:t>
      </w:r>
      <w:r w:rsidR="001E1235" w:rsidRPr="001E1235">
        <w:rPr>
          <w:rFonts w:ascii="Calibri" w:hAnsi="Calibri" w:cs="Calibri"/>
          <w:sz w:val="22"/>
          <w:szCs w:val="22"/>
        </w:rPr>
        <w:t xml:space="preserve"> koncentracj</w:t>
      </w:r>
      <w:r w:rsidR="00503B49">
        <w:rPr>
          <w:rFonts w:ascii="Calibri" w:hAnsi="Calibri" w:cs="Calibri"/>
          <w:sz w:val="22"/>
          <w:szCs w:val="22"/>
        </w:rPr>
        <w:t>ę</w:t>
      </w:r>
      <w:r w:rsidR="001E1235" w:rsidRPr="001E1235">
        <w:rPr>
          <w:rFonts w:ascii="Calibri" w:hAnsi="Calibri" w:cs="Calibri"/>
          <w:sz w:val="22"/>
          <w:szCs w:val="22"/>
        </w:rPr>
        <w:t xml:space="preserve"> zysków u największych producentów rud metali. Zatrudnienie w całym sektorze</w:t>
      </w:r>
      <w:r w:rsidR="00503B49">
        <w:rPr>
          <w:rFonts w:ascii="Calibri" w:hAnsi="Calibri" w:cs="Calibri"/>
          <w:sz w:val="22"/>
          <w:szCs w:val="22"/>
        </w:rPr>
        <w:t xml:space="preserve"> przedsiębiorstw 9+</w:t>
      </w:r>
      <w:r w:rsidR="001E1235" w:rsidRPr="001E1235">
        <w:rPr>
          <w:rFonts w:ascii="Calibri" w:hAnsi="Calibri" w:cs="Calibri"/>
          <w:sz w:val="22"/>
          <w:szCs w:val="22"/>
        </w:rPr>
        <w:t xml:space="preserve"> wyniosło 5,58 mln osób (-0,2</w:t>
      </w:r>
      <w:r w:rsidR="00791D77">
        <w:rPr>
          <w:rFonts w:ascii="Calibri" w:hAnsi="Calibri" w:cs="Calibri"/>
          <w:sz w:val="22"/>
          <w:szCs w:val="22"/>
        </w:rPr>
        <w:t xml:space="preserve"> proc. rok do roku</w:t>
      </w:r>
      <w:r w:rsidR="001E1235" w:rsidRPr="001E1235">
        <w:rPr>
          <w:rFonts w:ascii="Calibri" w:hAnsi="Calibri" w:cs="Calibri"/>
          <w:sz w:val="22"/>
          <w:szCs w:val="22"/>
        </w:rPr>
        <w:t>),</w:t>
      </w:r>
      <w:r w:rsidR="001E1235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="001E1235" w:rsidRPr="001E1235">
        <w:rPr>
          <w:rFonts w:ascii="Calibri" w:hAnsi="Calibri" w:cs="Calibri"/>
          <w:sz w:val="22"/>
          <w:szCs w:val="22"/>
        </w:rPr>
        <w:t>ze</w:t>
      </w:r>
      <w:proofErr w:type="gramEnd"/>
      <w:r w:rsidR="001E1235" w:rsidRPr="001E1235">
        <w:rPr>
          <w:rFonts w:ascii="Calibri" w:hAnsi="Calibri" w:cs="Calibri"/>
          <w:sz w:val="22"/>
          <w:szCs w:val="22"/>
        </w:rPr>
        <w:t xml:space="preserve"> znacznym spadkiem w górnictwie (-7</w:t>
      </w:r>
      <w:r w:rsidR="00791D77">
        <w:rPr>
          <w:rFonts w:ascii="Calibri" w:hAnsi="Calibri" w:cs="Calibri"/>
          <w:sz w:val="22"/>
          <w:szCs w:val="22"/>
        </w:rPr>
        <w:t xml:space="preserve"> proc. rok do roku</w:t>
      </w:r>
      <w:r w:rsidR="001E1235" w:rsidRPr="001E1235">
        <w:rPr>
          <w:rFonts w:ascii="Calibri" w:hAnsi="Calibri" w:cs="Calibri"/>
          <w:sz w:val="22"/>
          <w:szCs w:val="22"/>
        </w:rPr>
        <w:t>) i wzrostem w finansach (+11</w:t>
      </w:r>
      <w:r w:rsidR="00791D77">
        <w:rPr>
          <w:rFonts w:ascii="Calibri" w:hAnsi="Calibri" w:cs="Calibri"/>
          <w:sz w:val="22"/>
          <w:szCs w:val="22"/>
        </w:rPr>
        <w:t xml:space="preserve"> proc. rok do roku</w:t>
      </w:r>
      <w:r w:rsidR="001E1235" w:rsidRPr="001E1235">
        <w:rPr>
          <w:rFonts w:ascii="Calibri" w:hAnsi="Calibri" w:cs="Calibri"/>
          <w:sz w:val="22"/>
          <w:szCs w:val="22"/>
        </w:rPr>
        <w:t xml:space="preserve">).   </w:t>
      </w:r>
    </w:p>
    <w:p w14:paraId="2B06EC1A" w14:textId="044A2F19" w:rsidR="00626903" w:rsidRDefault="00626903" w:rsidP="00626903">
      <w:pPr>
        <w:jc w:val="center"/>
        <w:rPr>
          <w:rFonts w:ascii="Calibri" w:hAnsi="Calibri" w:cs="Calibri"/>
          <w:sz w:val="22"/>
          <w:szCs w:val="22"/>
        </w:rPr>
      </w:pPr>
      <w:r w:rsidRPr="00626903"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CFD8EED" wp14:editId="19BD64C6">
            <wp:extent cx="3249277" cy="3238500"/>
            <wp:effectExtent l="0" t="0" r="8890" b="0"/>
            <wp:docPr id="204574965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74965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52862" cy="3242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A0BB9" w14:textId="474A8416" w:rsidR="001E1235" w:rsidRDefault="001E1235" w:rsidP="00746639">
      <w:pPr>
        <w:jc w:val="both"/>
        <w:rPr>
          <w:rFonts w:ascii="Calibri" w:hAnsi="Calibri" w:cs="Calibri"/>
          <w:sz w:val="22"/>
          <w:szCs w:val="22"/>
        </w:rPr>
      </w:pPr>
      <w:r w:rsidRPr="001E1235">
        <w:rPr>
          <w:rFonts w:ascii="Calibri" w:hAnsi="Calibri" w:cs="Calibri"/>
          <w:sz w:val="22"/>
          <w:szCs w:val="22"/>
        </w:rPr>
        <w:t xml:space="preserve">– </w:t>
      </w:r>
      <w:r w:rsidRPr="001E1235">
        <w:rPr>
          <w:rFonts w:ascii="Calibri" w:hAnsi="Calibri" w:cs="Calibri"/>
          <w:i/>
          <w:iCs/>
          <w:sz w:val="22"/>
          <w:szCs w:val="22"/>
        </w:rPr>
        <w:t>Mimo że średnia marża EBITDA sektora</w:t>
      </w:r>
      <w:r w:rsidR="00503B49">
        <w:rPr>
          <w:rFonts w:ascii="Calibri" w:hAnsi="Calibri" w:cs="Calibri"/>
          <w:i/>
          <w:iCs/>
          <w:sz w:val="22"/>
          <w:szCs w:val="22"/>
        </w:rPr>
        <w:t xml:space="preserve"> przedsiębiorstw</w:t>
      </w:r>
      <w:r w:rsidRPr="001E1235">
        <w:rPr>
          <w:rFonts w:ascii="Calibri" w:hAnsi="Calibri" w:cs="Calibri"/>
          <w:i/>
          <w:iCs/>
          <w:sz w:val="22"/>
          <w:szCs w:val="22"/>
        </w:rPr>
        <w:t xml:space="preserve"> poprawiła się do 8,8</w:t>
      </w:r>
      <w:r w:rsidR="00791D77">
        <w:rPr>
          <w:rFonts w:ascii="Calibri" w:hAnsi="Calibri" w:cs="Calibri"/>
          <w:i/>
          <w:iCs/>
          <w:sz w:val="22"/>
          <w:szCs w:val="22"/>
        </w:rPr>
        <w:t xml:space="preserve"> proc.</w:t>
      </w:r>
      <w:r w:rsidRPr="001E1235">
        <w:rPr>
          <w:rFonts w:ascii="Calibri" w:hAnsi="Calibri" w:cs="Calibri"/>
          <w:i/>
          <w:iCs/>
          <w:sz w:val="22"/>
          <w:szCs w:val="22"/>
        </w:rPr>
        <w:t>, widzimy wyraźne pęknięcie między branżami. W rolnictwie spadek cen produktów nastąpił szybciej niż możliwoś</w:t>
      </w:r>
      <w:r w:rsidR="0056692B">
        <w:rPr>
          <w:rFonts w:ascii="Calibri" w:hAnsi="Calibri" w:cs="Calibri"/>
          <w:i/>
          <w:iCs/>
          <w:sz w:val="22"/>
          <w:szCs w:val="22"/>
        </w:rPr>
        <w:t>ć</w:t>
      </w:r>
      <w:r w:rsidRPr="001E1235">
        <w:rPr>
          <w:rFonts w:ascii="Calibri" w:hAnsi="Calibri" w:cs="Calibri"/>
          <w:i/>
          <w:iCs/>
          <w:sz w:val="22"/>
          <w:szCs w:val="22"/>
        </w:rPr>
        <w:t xml:space="preserve"> redukcji kosztów stałych, a w górnictwie dobre wyniki kilku gigantów przysłaniają narastające problemy mniejszych </w:t>
      </w:r>
      <w:r w:rsidR="00503B49">
        <w:rPr>
          <w:rFonts w:ascii="Calibri" w:hAnsi="Calibri" w:cs="Calibri"/>
          <w:i/>
          <w:iCs/>
          <w:sz w:val="22"/>
          <w:szCs w:val="22"/>
        </w:rPr>
        <w:t>firm</w:t>
      </w:r>
      <w:r>
        <w:rPr>
          <w:rFonts w:ascii="Calibri" w:hAnsi="Calibri" w:cs="Calibri"/>
          <w:sz w:val="22"/>
          <w:szCs w:val="22"/>
        </w:rPr>
        <w:t xml:space="preserve"> </w:t>
      </w:r>
      <w:r w:rsidRPr="001E1235">
        <w:rPr>
          <w:rFonts w:ascii="Calibri" w:hAnsi="Calibri" w:cs="Calibri"/>
          <w:sz w:val="22"/>
          <w:szCs w:val="22"/>
        </w:rPr>
        <w:t xml:space="preserve">– </w:t>
      </w:r>
      <w:r>
        <w:rPr>
          <w:rFonts w:ascii="Calibri" w:hAnsi="Calibri" w:cs="Calibri"/>
          <w:sz w:val="22"/>
          <w:szCs w:val="22"/>
        </w:rPr>
        <w:t>zauważa</w:t>
      </w:r>
      <w:r w:rsidRPr="001E1235">
        <w:rPr>
          <w:rFonts w:ascii="Calibri" w:hAnsi="Calibri" w:cs="Calibri"/>
          <w:sz w:val="22"/>
          <w:szCs w:val="22"/>
        </w:rPr>
        <w:t xml:space="preserve"> </w:t>
      </w:r>
      <w:r w:rsidRPr="001E1235">
        <w:rPr>
          <w:rFonts w:ascii="Calibri" w:hAnsi="Calibri" w:cs="Calibri"/>
          <w:b/>
          <w:bCs/>
          <w:sz w:val="22"/>
          <w:szCs w:val="22"/>
        </w:rPr>
        <w:t>Bartosz Bartoszuk</w:t>
      </w:r>
      <w:r w:rsidRPr="001E1235">
        <w:rPr>
          <w:rFonts w:ascii="Calibri" w:hAnsi="Calibri" w:cs="Calibri"/>
          <w:sz w:val="22"/>
          <w:szCs w:val="22"/>
        </w:rPr>
        <w:t>.</w:t>
      </w:r>
    </w:p>
    <w:p w14:paraId="771E1770" w14:textId="77777777" w:rsidR="00E97BF9" w:rsidRDefault="00E97BF9" w:rsidP="00BF0607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E97BF9">
        <w:rPr>
          <w:rFonts w:ascii="Calibri" w:hAnsi="Calibri" w:cs="Calibri"/>
          <w:b/>
          <w:bCs/>
          <w:sz w:val="22"/>
          <w:szCs w:val="22"/>
        </w:rPr>
        <w:lastRenderedPageBreak/>
        <w:t>Inwestycje, zadłużenie i płynność</w:t>
      </w:r>
    </w:p>
    <w:p w14:paraId="342B9DA2" w14:textId="45EBD911" w:rsidR="00E97BF9" w:rsidRDefault="00F0235C" w:rsidP="00BF0607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 minionym półroczu n</w:t>
      </w:r>
      <w:r w:rsidR="00E97BF9" w:rsidRPr="00E97BF9">
        <w:rPr>
          <w:rFonts w:ascii="Calibri" w:hAnsi="Calibri" w:cs="Calibri"/>
          <w:sz w:val="22"/>
          <w:szCs w:val="22"/>
        </w:rPr>
        <w:t>astąpiło silne odbicie inwestycyjne</w:t>
      </w:r>
      <w:r>
        <w:rPr>
          <w:rFonts w:ascii="Calibri" w:hAnsi="Calibri" w:cs="Calibri"/>
          <w:sz w:val="22"/>
          <w:szCs w:val="22"/>
        </w:rPr>
        <w:t>.</w:t>
      </w:r>
      <w:r w:rsidR="00E97BF9" w:rsidRPr="00E97BF9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</w:t>
      </w:r>
      <w:r w:rsidR="00E97BF9" w:rsidRPr="00E97BF9">
        <w:rPr>
          <w:rFonts w:ascii="Calibri" w:hAnsi="Calibri" w:cs="Calibri"/>
          <w:sz w:val="22"/>
          <w:szCs w:val="22"/>
        </w:rPr>
        <w:t>akłady CAPEX wzrosły o 12,4</w:t>
      </w:r>
      <w:r w:rsidR="00791D77">
        <w:rPr>
          <w:rFonts w:ascii="Calibri" w:hAnsi="Calibri" w:cs="Calibri"/>
          <w:sz w:val="22"/>
          <w:szCs w:val="22"/>
        </w:rPr>
        <w:t xml:space="preserve"> proc.</w:t>
      </w:r>
      <w:r w:rsidR="00E97BF9" w:rsidRPr="00E97BF9">
        <w:rPr>
          <w:rFonts w:ascii="Calibri" w:hAnsi="Calibri" w:cs="Calibri"/>
          <w:sz w:val="22"/>
          <w:szCs w:val="22"/>
        </w:rPr>
        <w:t xml:space="preserve"> r</w:t>
      </w:r>
      <w:r w:rsidR="00791D77">
        <w:rPr>
          <w:rFonts w:ascii="Calibri" w:hAnsi="Calibri" w:cs="Calibri"/>
          <w:sz w:val="22"/>
          <w:szCs w:val="22"/>
        </w:rPr>
        <w:t>ok do roku</w:t>
      </w:r>
      <w:r w:rsidR="00E97BF9" w:rsidRPr="00E97BF9">
        <w:rPr>
          <w:rFonts w:ascii="Calibri" w:hAnsi="Calibri" w:cs="Calibri"/>
          <w:sz w:val="22"/>
          <w:szCs w:val="22"/>
        </w:rPr>
        <w:t xml:space="preserve"> do 118,3 mld zł, a relacja CAPEX do amortyzacji skoczyła z 1,21 do 1,31. Liderem wzrostu nakładów był transport (+55</w:t>
      </w:r>
      <w:r w:rsidR="00791D77">
        <w:rPr>
          <w:rFonts w:ascii="Calibri" w:hAnsi="Calibri" w:cs="Calibri"/>
          <w:sz w:val="22"/>
          <w:szCs w:val="22"/>
        </w:rPr>
        <w:t xml:space="preserve"> proc. rok do roku</w:t>
      </w:r>
      <w:r w:rsidR="00E97BF9" w:rsidRPr="00E97BF9">
        <w:rPr>
          <w:rFonts w:ascii="Calibri" w:hAnsi="Calibri" w:cs="Calibri"/>
          <w:sz w:val="22"/>
          <w:szCs w:val="22"/>
        </w:rPr>
        <w:t>, do 17,2 mld zł) oraz opieka zdrowotna, napędzana</w:t>
      </w:r>
      <w:r w:rsidR="008F50BB">
        <w:rPr>
          <w:rFonts w:ascii="Calibri" w:hAnsi="Calibri" w:cs="Calibri"/>
          <w:sz w:val="22"/>
          <w:szCs w:val="22"/>
        </w:rPr>
        <w:t xml:space="preserve"> m.in.</w:t>
      </w:r>
      <w:r w:rsidR="00E97BF9" w:rsidRPr="00E97BF9">
        <w:rPr>
          <w:rFonts w:ascii="Calibri" w:hAnsi="Calibri" w:cs="Calibri"/>
          <w:sz w:val="22"/>
          <w:szCs w:val="22"/>
        </w:rPr>
        <w:t xml:space="preserve"> projektami KPO. Wskaźnik zadłużenia ogólnego</w:t>
      </w:r>
      <w:r w:rsidR="00064FD2">
        <w:rPr>
          <w:rFonts w:ascii="Calibri" w:hAnsi="Calibri" w:cs="Calibri"/>
          <w:sz w:val="22"/>
          <w:szCs w:val="22"/>
        </w:rPr>
        <w:t xml:space="preserve"> dla sektora przedsiębiorstw 9+</w:t>
      </w:r>
      <w:r w:rsidR="00E97BF9" w:rsidRPr="00E97BF9">
        <w:rPr>
          <w:rFonts w:ascii="Calibri" w:hAnsi="Calibri" w:cs="Calibri"/>
          <w:sz w:val="22"/>
          <w:szCs w:val="22"/>
        </w:rPr>
        <w:t xml:space="preserve"> obniżył się o 0,5 </w:t>
      </w:r>
      <w:proofErr w:type="spellStart"/>
      <w:r w:rsidR="00E97BF9" w:rsidRPr="00E97BF9">
        <w:rPr>
          <w:rFonts w:ascii="Calibri" w:hAnsi="Calibri" w:cs="Calibri"/>
          <w:sz w:val="22"/>
          <w:szCs w:val="22"/>
        </w:rPr>
        <w:t>p.p</w:t>
      </w:r>
      <w:proofErr w:type="spellEnd"/>
      <w:r w:rsidR="00E97BF9" w:rsidRPr="00E97BF9">
        <w:rPr>
          <w:rFonts w:ascii="Calibri" w:hAnsi="Calibri" w:cs="Calibri"/>
          <w:sz w:val="22"/>
          <w:szCs w:val="22"/>
        </w:rPr>
        <w:t>. do 43,8</w:t>
      </w:r>
      <w:r w:rsidR="00791D77">
        <w:rPr>
          <w:rFonts w:ascii="Calibri" w:hAnsi="Calibri" w:cs="Calibri"/>
          <w:sz w:val="22"/>
          <w:szCs w:val="22"/>
        </w:rPr>
        <w:t xml:space="preserve"> proc.</w:t>
      </w:r>
      <w:r w:rsidR="00E97BF9" w:rsidRPr="00E97BF9">
        <w:rPr>
          <w:rFonts w:ascii="Calibri" w:hAnsi="Calibri" w:cs="Calibri"/>
          <w:sz w:val="22"/>
          <w:szCs w:val="22"/>
        </w:rPr>
        <w:t>, mimo że popyt na kredyty ze strony przedsiębiorstw wzrósł o 11,3</w:t>
      </w:r>
      <w:r w:rsidR="00791D77">
        <w:rPr>
          <w:rFonts w:ascii="Calibri" w:hAnsi="Calibri" w:cs="Calibri"/>
          <w:sz w:val="22"/>
          <w:szCs w:val="22"/>
        </w:rPr>
        <w:t xml:space="preserve"> proc. rok do roku</w:t>
      </w:r>
      <w:r w:rsidR="00E97BF9" w:rsidRPr="00E97BF9">
        <w:rPr>
          <w:rFonts w:ascii="Calibri" w:hAnsi="Calibri" w:cs="Calibri"/>
          <w:sz w:val="22"/>
          <w:szCs w:val="22"/>
        </w:rPr>
        <w:t xml:space="preserve">. </w:t>
      </w:r>
      <w:r w:rsidR="00456AA9">
        <w:rPr>
          <w:rFonts w:ascii="Calibri" w:hAnsi="Calibri" w:cs="Calibri"/>
          <w:sz w:val="22"/>
          <w:szCs w:val="22"/>
        </w:rPr>
        <w:t>Jak obserwują eksperci Alior Banku</w:t>
      </w:r>
      <w:r w:rsidR="004932E1">
        <w:rPr>
          <w:rFonts w:ascii="Calibri" w:hAnsi="Calibri" w:cs="Calibri"/>
          <w:sz w:val="22"/>
          <w:szCs w:val="22"/>
        </w:rPr>
        <w:t>,</w:t>
      </w:r>
      <w:r w:rsidR="00456AA9">
        <w:rPr>
          <w:rFonts w:ascii="Calibri" w:hAnsi="Calibri" w:cs="Calibri"/>
          <w:sz w:val="22"/>
          <w:szCs w:val="22"/>
        </w:rPr>
        <w:t xml:space="preserve"> p</w:t>
      </w:r>
      <w:r w:rsidR="00E97BF9" w:rsidRPr="00E97BF9">
        <w:rPr>
          <w:rFonts w:ascii="Calibri" w:hAnsi="Calibri" w:cs="Calibri"/>
          <w:sz w:val="22"/>
          <w:szCs w:val="22"/>
        </w:rPr>
        <w:t>oziom zadłużenia wciąż zależy od potrzeb w zakresie kapitału obrotowego</w:t>
      </w:r>
      <w:r w:rsidR="00456AA9">
        <w:rPr>
          <w:rFonts w:ascii="Calibri" w:hAnsi="Calibri" w:cs="Calibri"/>
          <w:sz w:val="22"/>
          <w:szCs w:val="22"/>
        </w:rPr>
        <w:t>. Ś</w:t>
      </w:r>
      <w:r w:rsidR="00E97BF9" w:rsidRPr="00E97BF9">
        <w:rPr>
          <w:rFonts w:ascii="Calibri" w:hAnsi="Calibri" w:cs="Calibri"/>
          <w:sz w:val="22"/>
          <w:szCs w:val="22"/>
        </w:rPr>
        <w:t>rednie firmy pozostają najbardziej zadłużone (46,7</w:t>
      </w:r>
      <w:r w:rsidR="00791D77">
        <w:rPr>
          <w:rFonts w:ascii="Calibri" w:hAnsi="Calibri" w:cs="Calibri"/>
          <w:sz w:val="22"/>
          <w:szCs w:val="22"/>
        </w:rPr>
        <w:t xml:space="preserve"> proc.</w:t>
      </w:r>
      <w:r w:rsidR="00E97BF9" w:rsidRPr="00E97BF9">
        <w:rPr>
          <w:rFonts w:ascii="Calibri" w:hAnsi="Calibri" w:cs="Calibri"/>
          <w:sz w:val="22"/>
          <w:szCs w:val="22"/>
        </w:rPr>
        <w:t xml:space="preserve">), finansując swój rozwój, z kolei małe podmioty konsekwentnie budują poduszkę finansową.   </w:t>
      </w:r>
    </w:p>
    <w:p w14:paraId="7DE0AEA7" w14:textId="326259CF" w:rsidR="00BF0607" w:rsidRPr="00252861" w:rsidRDefault="005213A4" w:rsidP="00BF0607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– </w:t>
      </w:r>
      <w:r w:rsidR="00E97BF9" w:rsidRPr="00E97BF9">
        <w:rPr>
          <w:rFonts w:ascii="Calibri" w:hAnsi="Calibri" w:cs="Calibri"/>
          <w:i/>
          <w:iCs/>
          <w:sz w:val="22"/>
          <w:szCs w:val="22"/>
        </w:rPr>
        <w:t>Mimo stabilnej płynności finansowej w całym sektorze</w:t>
      </w:r>
      <w:r w:rsidR="00064FD2">
        <w:rPr>
          <w:rFonts w:ascii="Calibri" w:hAnsi="Calibri" w:cs="Calibri"/>
          <w:i/>
          <w:iCs/>
          <w:sz w:val="22"/>
          <w:szCs w:val="22"/>
        </w:rPr>
        <w:t xml:space="preserve"> przedsiębiorstw</w:t>
      </w:r>
      <w:r w:rsidR="00E97BF9" w:rsidRPr="00E97BF9">
        <w:rPr>
          <w:rFonts w:ascii="Calibri" w:hAnsi="Calibri" w:cs="Calibri"/>
          <w:i/>
          <w:iCs/>
          <w:sz w:val="22"/>
          <w:szCs w:val="22"/>
        </w:rPr>
        <w:t xml:space="preserve"> (wskaźnik 1,54) </w:t>
      </w:r>
      <w:r w:rsidR="00E97BF9" w:rsidRPr="00064FD2">
        <w:rPr>
          <w:rFonts w:ascii="Calibri" w:hAnsi="Calibri" w:cs="Calibri"/>
          <w:i/>
          <w:iCs/>
          <w:sz w:val="22"/>
          <w:szCs w:val="22"/>
        </w:rPr>
        <w:t>oraz sp</w:t>
      </w:r>
      <w:r w:rsidR="008F50BB" w:rsidRPr="00064FD2">
        <w:rPr>
          <w:rFonts w:ascii="Calibri" w:hAnsi="Calibri" w:cs="Calibri"/>
          <w:i/>
          <w:iCs/>
          <w:sz w:val="22"/>
          <w:szCs w:val="22"/>
        </w:rPr>
        <w:t>adk</w:t>
      </w:r>
      <w:r w:rsidR="00E97BF9" w:rsidRPr="00064FD2">
        <w:rPr>
          <w:rFonts w:ascii="Calibri" w:hAnsi="Calibri" w:cs="Calibri"/>
          <w:i/>
          <w:iCs/>
          <w:sz w:val="22"/>
          <w:szCs w:val="22"/>
        </w:rPr>
        <w:t>u</w:t>
      </w:r>
      <w:r w:rsidR="00E97BF9" w:rsidRPr="00E97BF9">
        <w:rPr>
          <w:rFonts w:ascii="Calibri" w:hAnsi="Calibri" w:cs="Calibri"/>
          <w:i/>
          <w:iCs/>
          <w:sz w:val="22"/>
          <w:szCs w:val="22"/>
        </w:rPr>
        <w:t xml:space="preserve"> wskaźników zadłużenia, obserwujemy niepokojący sygnał w postaci wydłużenia cyklu kapitału obrotowego. Przedsiębiorstwa wolniej upłynniają zapasy (czas rotacji wzrósł do 37,7 dnia) i dłużej czekają na spłatę należności przez kontrahentów (do 45 dni), co z kolei zmusza je do wolniejszego regulowania własnych rachunków i wydłuża rotację zobowiązań do 44 dni</w:t>
      </w:r>
      <w:r w:rsidR="00E97BF9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BF0607">
        <w:rPr>
          <w:rFonts w:ascii="Calibri" w:hAnsi="Calibri" w:cs="Calibri"/>
          <w:sz w:val="22"/>
          <w:szCs w:val="22"/>
        </w:rPr>
        <w:t xml:space="preserve">– </w:t>
      </w:r>
      <w:r w:rsidR="002F71FB">
        <w:rPr>
          <w:rFonts w:ascii="Calibri" w:hAnsi="Calibri" w:cs="Calibri"/>
          <w:sz w:val="22"/>
          <w:szCs w:val="22"/>
        </w:rPr>
        <w:t>podsumowuje</w:t>
      </w:r>
      <w:r w:rsidR="00BF0607" w:rsidRPr="00DF08C7">
        <w:rPr>
          <w:rFonts w:ascii="Calibri" w:hAnsi="Calibri" w:cs="Calibri"/>
          <w:sz w:val="22"/>
          <w:szCs w:val="22"/>
        </w:rPr>
        <w:t xml:space="preserve"> </w:t>
      </w:r>
      <w:r w:rsidR="00BF0607" w:rsidRPr="00252861">
        <w:rPr>
          <w:rFonts w:ascii="Calibri" w:hAnsi="Calibri" w:cs="Calibri"/>
          <w:b/>
          <w:bCs/>
          <w:sz w:val="22"/>
          <w:szCs w:val="22"/>
        </w:rPr>
        <w:t>Bartosz Bartoszuk</w:t>
      </w:r>
      <w:r w:rsidR="002F71FB">
        <w:rPr>
          <w:rFonts w:ascii="Calibri" w:hAnsi="Calibri" w:cs="Calibri"/>
          <w:sz w:val="22"/>
          <w:szCs w:val="22"/>
        </w:rPr>
        <w:t>.</w:t>
      </w:r>
    </w:p>
    <w:p w14:paraId="1142BD48" w14:textId="50180627" w:rsidR="00357497" w:rsidRPr="00357497" w:rsidRDefault="00357497" w:rsidP="00357497">
      <w:pPr>
        <w:rPr>
          <w:rFonts w:ascii="Calibri" w:hAnsi="Calibri" w:cs="Calibri"/>
          <w:sz w:val="22"/>
          <w:szCs w:val="22"/>
        </w:rPr>
      </w:pPr>
      <w:r w:rsidRPr="00357497">
        <w:rPr>
          <w:rFonts w:ascii="Calibri" w:hAnsi="Calibri" w:cs="Calibri"/>
          <w:sz w:val="22"/>
          <w:szCs w:val="22"/>
        </w:rPr>
        <w:t xml:space="preserve">Całość raportu dostępna jest pod </w:t>
      </w:r>
      <w:hyperlink r:id="rId13" w:history="1">
        <w:r w:rsidRPr="00357497">
          <w:rPr>
            <w:rStyle w:val="Hipercze"/>
            <w:rFonts w:ascii="Calibri" w:hAnsi="Calibri" w:cs="Calibri"/>
            <w:sz w:val="22"/>
            <w:szCs w:val="22"/>
          </w:rPr>
          <w:t>linkiem</w:t>
        </w:r>
      </w:hyperlink>
      <w:r w:rsidRPr="00357497">
        <w:rPr>
          <w:rFonts w:ascii="Calibri" w:hAnsi="Calibri" w:cs="Calibri"/>
          <w:sz w:val="22"/>
          <w:szCs w:val="22"/>
        </w:rPr>
        <w:t xml:space="preserve">. </w:t>
      </w:r>
    </w:p>
    <w:p w14:paraId="7BB8DC19" w14:textId="48642DFA" w:rsidR="00BF0607" w:rsidRPr="00BF0607" w:rsidRDefault="00BF0607" w:rsidP="00BF0607">
      <w:pPr>
        <w:rPr>
          <w:rFonts w:ascii="Calibri" w:hAnsi="Calibri" w:cs="Calibri"/>
          <w:sz w:val="22"/>
          <w:szCs w:val="22"/>
        </w:rPr>
      </w:pPr>
    </w:p>
    <w:sectPr w:rsidR="00BF0607" w:rsidRPr="00BF0607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5AB4F" w14:textId="77777777" w:rsidR="00F15950" w:rsidRDefault="00F15950" w:rsidP="0098494D">
      <w:pPr>
        <w:spacing w:after="0" w:line="240" w:lineRule="auto"/>
      </w:pPr>
      <w:r>
        <w:separator/>
      </w:r>
    </w:p>
  </w:endnote>
  <w:endnote w:type="continuationSeparator" w:id="0">
    <w:p w14:paraId="28705E3E" w14:textId="77777777" w:rsidR="00F15950" w:rsidRDefault="00F15950" w:rsidP="00984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6F17D" w14:textId="2F1D5596" w:rsidR="001171C1" w:rsidRPr="00694781" w:rsidRDefault="001171C1" w:rsidP="00BC3787">
    <w:pPr>
      <w:rPr>
        <w:color w:val="7F7F7F" w:themeColor="text1" w:themeTint="80"/>
        <w:sz w:val="16"/>
        <w:szCs w:val="16"/>
      </w:rPr>
    </w:pPr>
    <w:r w:rsidRPr="00694781">
      <w:rPr>
        <w:color w:val="7F7F7F" w:themeColor="text1" w:themeTint="80"/>
        <w:sz w:val="16"/>
        <w:szCs w:val="16"/>
      </w:rPr>
      <w:t xml:space="preserve">Ten dokument został przygotowany przez Alior Bank SA z siedzibą w Warszawie, przy ul. </w:t>
    </w:r>
    <w:r>
      <w:rPr>
        <w:color w:val="7F7F7F" w:themeColor="text1" w:themeTint="80"/>
        <w:sz w:val="16"/>
        <w:szCs w:val="16"/>
      </w:rPr>
      <w:t>Chmielnej 69</w:t>
    </w:r>
    <w:r w:rsidRPr="00694781">
      <w:rPr>
        <w:color w:val="7F7F7F" w:themeColor="text1" w:themeTint="80"/>
        <w:sz w:val="16"/>
        <w:szCs w:val="16"/>
      </w:rPr>
      <w:t xml:space="preserve">, </w:t>
    </w:r>
    <w:r>
      <w:rPr>
        <w:color w:val="7F7F7F" w:themeColor="text1" w:themeTint="80"/>
        <w:sz w:val="16"/>
        <w:szCs w:val="16"/>
      </w:rPr>
      <w:t>00-801</w:t>
    </w:r>
    <w:r w:rsidRPr="00694781">
      <w:rPr>
        <w:color w:val="7F7F7F" w:themeColor="text1" w:themeTint="80"/>
        <w:sz w:val="16"/>
        <w:szCs w:val="16"/>
      </w:rPr>
      <w:t xml:space="preserve"> Warszawa.</w:t>
    </w:r>
    <w:r w:rsidRPr="00694781">
      <w:rPr>
        <w:color w:val="7F7F7F" w:themeColor="text1" w:themeTint="80"/>
        <w:sz w:val="16"/>
        <w:szCs w:val="16"/>
      </w:rPr>
      <w:br/>
      <w:t>NIP: 1070010731, REGON: 141387142, KRS: 0000305178, kapitał zakładowy: 1 305 539 910 zł (wpłacony w całości)</w:t>
    </w:r>
    <w:r>
      <w:rPr>
        <w:color w:val="7F7F7F" w:themeColor="text1" w:themeTint="80"/>
        <w:sz w:val="16"/>
        <w:szCs w:val="16"/>
      </w:rPr>
      <w:t>.</w:t>
    </w:r>
  </w:p>
  <w:p w14:paraId="4BBB0E78" w14:textId="77777777" w:rsidR="001171C1" w:rsidRPr="00694781" w:rsidRDefault="001171C1" w:rsidP="00BC3787">
    <w:pPr>
      <w:rPr>
        <w:color w:val="7F7F7F" w:themeColor="text1" w:themeTint="80"/>
      </w:rPr>
    </w:pPr>
    <w:r w:rsidRPr="00694781">
      <w:rPr>
        <w:color w:val="7F7F7F" w:themeColor="text1" w:themeTint="80"/>
        <w:sz w:val="16"/>
        <w:szCs w:val="16"/>
      </w:rPr>
      <w:t>Więcej informacji na stronie www.aliorbank.pl</w:t>
    </w:r>
    <w:r>
      <w:rPr>
        <w:color w:val="7F7F7F" w:themeColor="text1" w:themeTint="80"/>
        <w:sz w:val="16"/>
        <w:szCs w:val="16"/>
      </w:rPr>
      <w:t>.</w:t>
    </w:r>
  </w:p>
  <w:p w14:paraId="6226E510" w14:textId="77777777" w:rsidR="001171C1" w:rsidRDefault="001171C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37AD7" w14:textId="77777777" w:rsidR="00F15950" w:rsidRDefault="00F15950" w:rsidP="0098494D">
      <w:pPr>
        <w:spacing w:after="0" w:line="240" w:lineRule="auto"/>
      </w:pPr>
      <w:r>
        <w:separator/>
      </w:r>
    </w:p>
  </w:footnote>
  <w:footnote w:type="continuationSeparator" w:id="0">
    <w:p w14:paraId="0316437B" w14:textId="77777777" w:rsidR="00F15950" w:rsidRDefault="00F15950" w:rsidP="009849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9AF91" w14:textId="77777777" w:rsidR="001171C1" w:rsidRDefault="001171C1">
    <w:r>
      <w:rPr>
        <w:noProof/>
      </w:rPr>
      <w:drawing>
        <wp:inline distT="0" distB="0" distL="0" distR="0" wp14:anchorId="57A43152" wp14:editId="5104EB88">
          <wp:extent cx="1060450" cy="528320"/>
          <wp:effectExtent l="0" t="0" r="6350" b="5080"/>
          <wp:docPr id="6" name="Picture 6" descr="Obraz zawierający żywność&#10;&#10;Opis wygenerowany automatycznie">
            <a:extLst xmlns:a="http://schemas.openxmlformats.org/drawingml/2006/main">
              <a:ext uri="{FF2B5EF4-FFF2-40B4-BE49-F238E27FC236}">
                <a16:creationId xmlns:a16="http://schemas.microsoft.com/office/drawing/2014/main" id="{F18A65A1-E8F6-4372-8967-FA308D6BBEA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Obraz zawierający żywność&#10;&#10;Opis wygenerowany automatyczni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0450" cy="528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445"/>
    <w:rsid w:val="00000402"/>
    <w:rsid w:val="000004B6"/>
    <w:rsid w:val="00000E34"/>
    <w:rsid w:val="0000299C"/>
    <w:rsid w:val="0000628A"/>
    <w:rsid w:val="00010BA1"/>
    <w:rsid w:val="00010E6A"/>
    <w:rsid w:val="00011B21"/>
    <w:rsid w:val="00013244"/>
    <w:rsid w:val="0001446B"/>
    <w:rsid w:val="00020456"/>
    <w:rsid w:val="00020496"/>
    <w:rsid w:val="00021A2E"/>
    <w:rsid w:val="00024BB3"/>
    <w:rsid w:val="00030EAA"/>
    <w:rsid w:val="00032F98"/>
    <w:rsid w:val="00033F9C"/>
    <w:rsid w:val="00036309"/>
    <w:rsid w:val="0003748A"/>
    <w:rsid w:val="0004181A"/>
    <w:rsid w:val="0004297B"/>
    <w:rsid w:val="000435B4"/>
    <w:rsid w:val="000436EB"/>
    <w:rsid w:val="00046ABD"/>
    <w:rsid w:val="000551B1"/>
    <w:rsid w:val="000567BF"/>
    <w:rsid w:val="000569B3"/>
    <w:rsid w:val="00057A17"/>
    <w:rsid w:val="000600D3"/>
    <w:rsid w:val="00061135"/>
    <w:rsid w:val="00063251"/>
    <w:rsid w:val="00064E3C"/>
    <w:rsid w:val="00064FD2"/>
    <w:rsid w:val="00065376"/>
    <w:rsid w:val="0006575B"/>
    <w:rsid w:val="00066DD1"/>
    <w:rsid w:val="00070B9B"/>
    <w:rsid w:val="000747B2"/>
    <w:rsid w:val="00075530"/>
    <w:rsid w:val="000801FC"/>
    <w:rsid w:val="00082C3B"/>
    <w:rsid w:val="000861A0"/>
    <w:rsid w:val="00086AA7"/>
    <w:rsid w:val="00090CDA"/>
    <w:rsid w:val="000911DD"/>
    <w:rsid w:val="0009328C"/>
    <w:rsid w:val="00093297"/>
    <w:rsid w:val="0009378B"/>
    <w:rsid w:val="00093BC1"/>
    <w:rsid w:val="000967F7"/>
    <w:rsid w:val="0009758D"/>
    <w:rsid w:val="000A0C4A"/>
    <w:rsid w:val="000A0D2C"/>
    <w:rsid w:val="000A2766"/>
    <w:rsid w:val="000A2E0E"/>
    <w:rsid w:val="000A3B37"/>
    <w:rsid w:val="000A731E"/>
    <w:rsid w:val="000B2DFC"/>
    <w:rsid w:val="000B5117"/>
    <w:rsid w:val="000C1BEB"/>
    <w:rsid w:val="000C6029"/>
    <w:rsid w:val="000C6C91"/>
    <w:rsid w:val="000D080B"/>
    <w:rsid w:val="000D606E"/>
    <w:rsid w:val="000E46D6"/>
    <w:rsid w:val="000E5859"/>
    <w:rsid w:val="000E6199"/>
    <w:rsid w:val="000E7547"/>
    <w:rsid w:val="000F1FB8"/>
    <w:rsid w:val="000F28A6"/>
    <w:rsid w:val="000F2EBF"/>
    <w:rsid w:val="000F5DB0"/>
    <w:rsid w:val="000F5E37"/>
    <w:rsid w:val="000F6CE2"/>
    <w:rsid w:val="000F7514"/>
    <w:rsid w:val="00100481"/>
    <w:rsid w:val="0010247C"/>
    <w:rsid w:val="00104FEA"/>
    <w:rsid w:val="00106B31"/>
    <w:rsid w:val="0010789B"/>
    <w:rsid w:val="00107C68"/>
    <w:rsid w:val="0011033A"/>
    <w:rsid w:val="00111049"/>
    <w:rsid w:val="00111779"/>
    <w:rsid w:val="00113FD8"/>
    <w:rsid w:val="001144D5"/>
    <w:rsid w:val="00116BB1"/>
    <w:rsid w:val="001171C1"/>
    <w:rsid w:val="00120963"/>
    <w:rsid w:val="00121872"/>
    <w:rsid w:val="00121D1C"/>
    <w:rsid w:val="00121F2F"/>
    <w:rsid w:val="0012370A"/>
    <w:rsid w:val="00123BA2"/>
    <w:rsid w:val="00123CFD"/>
    <w:rsid w:val="0012474B"/>
    <w:rsid w:val="00124EDA"/>
    <w:rsid w:val="00124F46"/>
    <w:rsid w:val="00126360"/>
    <w:rsid w:val="00126CD9"/>
    <w:rsid w:val="00127EDB"/>
    <w:rsid w:val="00127F83"/>
    <w:rsid w:val="001300DB"/>
    <w:rsid w:val="001305A7"/>
    <w:rsid w:val="0013093D"/>
    <w:rsid w:val="00133D49"/>
    <w:rsid w:val="00137EF9"/>
    <w:rsid w:val="00142201"/>
    <w:rsid w:val="00145367"/>
    <w:rsid w:val="001454E0"/>
    <w:rsid w:val="00146962"/>
    <w:rsid w:val="0014794A"/>
    <w:rsid w:val="00147E73"/>
    <w:rsid w:val="00152214"/>
    <w:rsid w:val="001535BA"/>
    <w:rsid w:val="001552E8"/>
    <w:rsid w:val="00156DF6"/>
    <w:rsid w:val="0016035B"/>
    <w:rsid w:val="00161010"/>
    <w:rsid w:val="001611C5"/>
    <w:rsid w:val="001644C6"/>
    <w:rsid w:val="001712FE"/>
    <w:rsid w:val="001715F1"/>
    <w:rsid w:val="001770B0"/>
    <w:rsid w:val="001775B5"/>
    <w:rsid w:val="0018067F"/>
    <w:rsid w:val="00183C76"/>
    <w:rsid w:val="0018471F"/>
    <w:rsid w:val="001871FA"/>
    <w:rsid w:val="00191E24"/>
    <w:rsid w:val="0019369A"/>
    <w:rsid w:val="0019410A"/>
    <w:rsid w:val="00195922"/>
    <w:rsid w:val="001A03F8"/>
    <w:rsid w:val="001A201F"/>
    <w:rsid w:val="001A24CD"/>
    <w:rsid w:val="001A33A4"/>
    <w:rsid w:val="001A3E2A"/>
    <w:rsid w:val="001B0221"/>
    <w:rsid w:val="001B409C"/>
    <w:rsid w:val="001B46B9"/>
    <w:rsid w:val="001B4E6B"/>
    <w:rsid w:val="001C2FD9"/>
    <w:rsid w:val="001C4BCB"/>
    <w:rsid w:val="001C72A8"/>
    <w:rsid w:val="001D008A"/>
    <w:rsid w:val="001D1AFD"/>
    <w:rsid w:val="001D318E"/>
    <w:rsid w:val="001D3AC7"/>
    <w:rsid w:val="001D5D64"/>
    <w:rsid w:val="001E1235"/>
    <w:rsid w:val="001E2E89"/>
    <w:rsid w:val="001E5592"/>
    <w:rsid w:val="001F34AA"/>
    <w:rsid w:val="001F4CF1"/>
    <w:rsid w:val="001F69A5"/>
    <w:rsid w:val="002038E5"/>
    <w:rsid w:val="00207B6D"/>
    <w:rsid w:val="002123D3"/>
    <w:rsid w:val="0021367A"/>
    <w:rsid w:val="0021411F"/>
    <w:rsid w:val="002146F8"/>
    <w:rsid w:val="0021496D"/>
    <w:rsid w:val="002160AB"/>
    <w:rsid w:val="0022020B"/>
    <w:rsid w:val="0022086D"/>
    <w:rsid w:val="00221546"/>
    <w:rsid w:val="0022157F"/>
    <w:rsid w:val="0022202C"/>
    <w:rsid w:val="002226FB"/>
    <w:rsid w:val="002230B9"/>
    <w:rsid w:val="00224D68"/>
    <w:rsid w:val="00225401"/>
    <w:rsid w:val="002257EF"/>
    <w:rsid w:val="0022605B"/>
    <w:rsid w:val="002271B6"/>
    <w:rsid w:val="0023071E"/>
    <w:rsid w:val="002324F4"/>
    <w:rsid w:val="00233720"/>
    <w:rsid w:val="00235897"/>
    <w:rsid w:val="00236CBC"/>
    <w:rsid w:val="002375E6"/>
    <w:rsid w:val="0024115B"/>
    <w:rsid w:val="0024299D"/>
    <w:rsid w:val="0024579D"/>
    <w:rsid w:val="00246ECA"/>
    <w:rsid w:val="002474D4"/>
    <w:rsid w:val="002477D5"/>
    <w:rsid w:val="00250956"/>
    <w:rsid w:val="0025105E"/>
    <w:rsid w:val="00251E44"/>
    <w:rsid w:val="00252861"/>
    <w:rsid w:val="0025393D"/>
    <w:rsid w:val="00255201"/>
    <w:rsid w:val="002574F1"/>
    <w:rsid w:val="00260050"/>
    <w:rsid w:val="00261812"/>
    <w:rsid w:val="002619F4"/>
    <w:rsid w:val="00263B45"/>
    <w:rsid w:val="00264266"/>
    <w:rsid w:val="00267840"/>
    <w:rsid w:val="0027090B"/>
    <w:rsid w:val="002721BE"/>
    <w:rsid w:val="00274FC6"/>
    <w:rsid w:val="002761F1"/>
    <w:rsid w:val="00276393"/>
    <w:rsid w:val="002802D6"/>
    <w:rsid w:val="00280445"/>
    <w:rsid w:val="0028142C"/>
    <w:rsid w:val="002826F7"/>
    <w:rsid w:val="00282C27"/>
    <w:rsid w:val="00283D42"/>
    <w:rsid w:val="00286F4F"/>
    <w:rsid w:val="00287B60"/>
    <w:rsid w:val="002915E6"/>
    <w:rsid w:val="00291811"/>
    <w:rsid w:val="00292460"/>
    <w:rsid w:val="0029321B"/>
    <w:rsid w:val="0029325C"/>
    <w:rsid w:val="002948E1"/>
    <w:rsid w:val="00294F48"/>
    <w:rsid w:val="00295BD4"/>
    <w:rsid w:val="00295E6A"/>
    <w:rsid w:val="00295E6E"/>
    <w:rsid w:val="002960CF"/>
    <w:rsid w:val="0029732E"/>
    <w:rsid w:val="0029739E"/>
    <w:rsid w:val="002A2A32"/>
    <w:rsid w:val="002A2D39"/>
    <w:rsid w:val="002A6879"/>
    <w:rsid w:val="002B106E"/>
    <w:rsid w:val="002B125E"/>
    <w:rsid w:val="002B1476"/>
    <w:rsid w:val="002B328F"/>
    <w:rsid w:val="002B46A5"/>
    <w:rsid w:val="002C4571"/>
    <w:rsid w:val="002C5DDE"/>
    <w:rsid w:val="002C78CD"/>
    <w:rsid w:val="002D63CF"/>
    <w:rsid w:val="002D7155"/>
    <w:rsid w:val="002E1933"/>
    <w:rsid w:val="002E1BE1"/>
    <w:rsid w:val="002E3A08"/>
    <w:rsid w:val="002E4698"/>
    <w:rsid w:val="002E7399"/>
    <w:rsid w:val="002E7AA9"/>
    <w:rsid w:val="002E7C40"/>
    <w:rsid w:val="002F2140"/>
    <w:rsid w:val="002F2D67"/>
    <w:rsid w:val="002F354A"/>
    <w:rsid w:val="002F71FB"/>
    <w:rsid w:val="002F7AE2"/>
    <w:rsid w:val="00300850"/>
    <w:rsid w:val="00304090"/>
    <w:rsid w:val="0030424A"/>
    <w:rsid w:val="00305418"/>
    <w:rsid w:val="0030629A"/>
    <w:rsid w:val="00310F45"/>
    <w:rsid w:val="00311602"/>
    <w:rsid w:val="003117C1"/>
    <w:rsid w:val="00312F21"/>
    <w:rsid w:val="00314350"/>
    <w:rsid w:val="00315D0D"/>
    <w:rsid w:val="003215C0"/>
    <w:rsid w:val="00322C51"/>
    <w:rsid w:val="00322E22"/>
    <w:rsid w:val="0032332A"/>
    <w:rsid w:val="00323D1E"/>
    <w:rsid w:val="00323E5F"/>
    <w:rsid w:val="00324060"/>
    <w:rsid w:val="0032472C"/>
    <w:rsid w:val="00326908"/>
    <w:rsid w:val="00330379"/>
    <w:rsid w:val="00332A73"/>
    <w:rsid w:val="00332DC5"/>
    <w:rsid w:val="0033344F"/>
    <w:rsid w:val="00334321"/>
    <w:rsid w:val="00334B94"/>
    <w:rsid w:val="00336EE8"/>
    <w:rsid w:val="00340C19"/>
    <w:rsid w:val="003427E8"/>
    <w:rsid w:val="00343210"/>
    <w:rsid w:val="00344C90"/>
    <w:rsid w:val="00345838"/>
    <w:rsid w:val="00357497"/>
    <w:rsid w:val="00360140"/>
    <w:rsid w:val="00361ACE"/>
    <w:rsid w:val="003625C8"/>
    <w:rsid w:val="00363D0F"/>
    <w:rsid w:val="003643D1"/>
    <w:rsid w:val="0037043E"/>
    <w:rsid w:val="0037158E"/>
    <w:rsid w:val="00372219"/>
    <w:rsid w:val="00372EDC"/>
    <w:rsid w:val="0037599F"/>
    <w:rsid w:val="0038134E"/>
    <w:rsid w:val="00383800"/>
    <w:rsid w:val="00385774"/>
    <w:rsid w:val="003867E0"/>
    <w:rsid w:val="00386EC1"/>
    <w:rsid w:val="00387C5B"/>
    <w:rsid w:val="0039035B"/>
    <w:rsid w:val="0039053B"/>
    <w:rsid w:val="003921E7"/>
    <w:rsid w:val="003930E4"/>
    <w:rsid w:val="0039383B"/>
    <w:rsid w:val="00393CFC"/>
    <w:rsid w:val="003955CA"/>
    <w:rsid w:val="00395B47"/>
    <w:rsid w:val="0039619E"/>
    <w:rsid w:val="00396BD4"/>
    <w:rsid w:val="00396E19"/>
    <w:rsid w:val="003A00C6"/>
    <w:rsid w:val="003A1201"/>
    <w:rsid w:val="003A3336"/>
    <w:rsid w:val="003A63A0"/>
    <w:rsid w:val="003A6D10"/>
    <w:rsid w:val="003B2C47"/>
    <w:rsid w:val="003B3A43"/>
    <w:rsid w:val="003B607E"/>
    <w:rsid w:val="003B7C3E"/>
    <w:rsid w:val="003C274A"/>
    <w:rsid w:val="003C37E9"/>
    <w:rsid w:val="003D3488"/>
    <w:rsid w:val="003D3E4D"/>
    <w:rsid w:val="003D3F4A"/>
    <w:rsid w:val="003D40DA"/>
    <w:rsid w:val="003D4C4F"/>
    <w:rsid w:val="003D6C26"/>
    <w:rsid w:val="003D6DD7"/>
    <w:rsid w:val="003D750F"/>
    <w:rsid w:val="003D7794"/>
    <w:rsid w:val="003E187F"/>
    <w:rsid w:val="003E2096"/>
    <w:rsid w:val="003E499C"/>
    <w:rsid w:val="003E52B2"/>
    <w:rsid w:val="003E5E76"/>
    <w:rsid w:val="003E61E1"/>
    <w:rsid w:val="003E6ED7"/>
    <w:rsid w:val="003E7D28"/>
    <w:rsid w:val="003F0390"/>
    <w:rsid w:val="003F06A2"/>
    <w:rsid w:val="003F16EA"/>
    <w:rsid w:val="003F38FF"/>
    <w:rsid w:val="003F3FB3"/>
    <w:rsid w:val="003F7015"/>
    <w:rsid w:val="004003E1"/>
    <w:rsid w:val="004018FB"/>
    <w:rsid w:val="004033E9"/>
    <w:rsid w:val="00403413"/>
    <w:rsid w:val="00405986"/>
    <w:rsid w:val="00406907"/>
    <w:rsid w:val="004074FC"/>
    <w:rsid w:val="004075B5"/>
    <w:rsid w:val="004076A6"/>
    <w:rsid w:val="00417A0D"/>
    <w:rsid w:val="00417F6A"/>
    <w:rsid w:val="00420D6E"/>
    <w:rsid w:val="00421BDF"/>
    <w:rsid w:val="00431E3D"/>
    <w:rsid w:val="004334A4"/>
    <w:rsid w:val="00433C65"/>
    <w:rsid w:val="00434CE3"/>
    <w:rsid w:val="00435176"/>
    <w:rsid w:val="0044625C"/>
    <w:rsid w:val="0044671A"/>
    <w:rsid w:val="00450366"/>
    <w:rsid w:val="004517D1"/>
    <w:rsid w:val="00453342"/>
    <w:rsid w:val="00454A6F"/>
    <w:rsid w:val="00456AA9"/>
    <w:rsid w:val="00462A7F"/>
    <w:rsid w:val="00462DE3"/>
    <w:rsid w:val="00463E5D"/>
    <w:rsid w:val="004704A1"/>
    <w:rsid w:val="00470DE3"/>
    <w:rsid w:val="00470E59"/>
    <w:rsid w:val="0047346C"/>
    <w:rsid w:val="00475706"/>
    <w:rsid w:val="0048094B"/>
    <w:rsid w:val="0048474D"/>
    <w:rsid w:val="004861BA"/>
    <w:rsid w:val="00486248"/>
    <w:rsid w:val="004879D1"/>
    <w:rsid w:val="00492E70"/>
    <w:rsid w:val="004932E1"/>
    <w:rsid w:val="00493F74"/>
    <w:rsid w:val="004956C1"/>
    <w:rsid w:val="004A4500"/>
    <w:rsid w:val="004A4DFF"/>
    <w:rsid w:val="004A54FA"/>
    <w:rsid w:val="004B2291"/>
    <w:rsid w:val="004B3418"/>
    <w:rsid w:val="004B527E"/>
    <w:rsid w:val="004B6FEE"/>
    <w:rsid w:val="004B7024"/>
    <w:rsid w:val="004C03EF"/>
    <w:rsid w:val="004C0855"/>
    <w:rsid w:val="004C1216"/>
    <w:rsid w:val="004C1C24"/>
    <w:rsid w:val="004C2EC9"/>
    <w:rsid w:val="004C53A8"/>
    <w:rsid w:val="004D36E1"/>
    <w:rsid w:val="004D4077"/>
    <w:rsid w:val="004D443C"/>
    <w:rsid w:val="004E01CA"/>
    <w:rsid w:val="004E07A5"/>
    <w:rsid w:val="004E2274"/>
    <w:rsid w:val="004E4D1D"/>
    <w:rsid w:val="004E6B64"/>
    <w:rsid w:val="004E6E65"/>
    <w:rsid w:val="004E7E59"/>
    <w:rsid w:val="004F0A4A"/>
    <w:rsid w:val="004F0EC5"/>
    <w:rsid w:val="004F308D"/>
    <w:rsid w:val="004F3AEF"/>
    <w:rsid w:val="004F3E1B"/>
    <w:rsid w:val="004F6059"/>
    <w:rsid w:val="0050013E"/>
    <w:rsid w:val="005005D5"/>
    <w:rsid w:val="00500A9F"/>
    <w:rsid w:val="00503589"/>
    <w:rsid w:val="00503B49"/>
    <w:rsid w:val="00504DA2"/>
    <w:rsid w:val="00505239"/>
    <w:rsid w:val="00506E74"/>
    <w:rsid w:val="00512046"/>
    <w:rsid w:val="0051382A"/>
    <w:rsid w:val="00513DD3"/>
    <w:rsid w:val="005146A7"/>
    <w:rsid w:val="00514715"/>
    <w:rsid w:val="00520D10"/>
    <w:rsid w:val="005213A4"/>
    <w:rsid w:val="00522F6C"/>
    <w:rsid w:val="0052416D"/>
    <w:rsid w:val="00531103"/>
    <w:rsid w:val="0053467A"/>
    <w:rsid w:val="005346A1"/>
    <w:rsid w:val="0053490F"/>
    <w:rsid w:val="0053561D"/>
    <w:rsid w:val="005361FF"/>
    <w:rsid w:val="005362FF"/>
    <w:rsid w:val="0053644A"/>
    <w:rsid w:val="00537C75"/>
    <w:rsid w:val="00541135"/>
    <w:rsid w:val="005427BE"/>
    <w:rsid w:val="005430D9"/>
    <w:rsid w:val="00544EDC"/>
    <w:rsid w:val="00545050"/>
    <w:rsid w:val="00547AE1"/>
    <w:rsid w:val="00550792"/>
    <w:rsid w:val="00550F50"/>
    <w:rsid w:val="005542A5"/>
    <w:rsid w:val="00556674"/>
    <w:rsid w:val="00560BD4"/>
    <w:rsid w:val="00561DC3"/>
    <w:rsid w:val="00562643"/>
    <w:rsid w:val="00564F82"/>
    <w:rsid w:val="005663B6"/>
    <w:rsid w:val="0056692B"/>
    <w:rsid w:val="00570D12"/>
    <w:rsid w:val="00570D78"/>
    <w:rsid w:val="00571743"/>
    <w:rsid w:val="00573896"/>
    <w:rsid w:val="005739FB"/>
    <w:rsid w:val="00573B89"/>
    <w:rsid w:val="00573B9A"/>
    <w:rsid w:val="00581453"/>
    <w:rsid w:val="005817AD"/>
    <w:rsid w:val="005826BA"/>
    <w:rsid w:val="00583257"/>
    <w:rsid w:val="00584595"/>
    <w:rsid w:val="005848BD"/>
    <w:rsid w:val="00586C95"/>
    <w:rsid w:val="00591EDE"/>
    <w:rsid w:val="005923EB"/>
    <w:rsid w:val="00592AA6"/>
    <w:rsid w:val="00596358"/>
    <w:rsid w:val="0059744A"/>
    <w:rsid w:val="005A17D2"/>
    <w:rsid w:val="005A3C33"/>
    <w:rsid w:val="005A5424"/>
    <w:rsid w:val="005A6DF5"/>
    <w:rsid w:val="005B0AFA"/>
    <w:rsid w:val="005B0B9B"/>
    <w:rsid w:val="005B1B61"/>
    <w:rsid w:val="005B1EE1"/>
    <w:rsid w:val="005B26A0"/>
    <w:rsid w:val="005B2A6D"/>
    <w:rsid w:val="005B38DF"/>
    <w:rsid w:val="005B3D85"/>
    <w:rsid w:val="005B7153"/>
    <w:rsid w:val="005B7A4A"/>
    <w:rsid w:val="005B7D2E"/>
    <w:rsid w:val="005C35C7"/>
    <w:rsid w:val="005C3837"/>
    <w:rsid w:val="005C41EF"/>
    <w:rsid w:val="005C45DD"/>
    <w:rsid w:val="005C63B1"/>
    <w:rsid w:val="005C6EF0"/>
    <w:rsid w:val="005D44E9"/>
    <w:rsid w:val="005D5376"/>
    <w:rsid w:val="005D5913"/>
    <w:rsid w:val="005E2F49"/>
    <w:rsid w:val="005E588C"/>
    <w:rsid w:val="005E5933"/>
    <w:rsid w:val="005E5BFD"/>
    <w:rsid w:val="005E695F"/>
    <w:rsid w:val="005E6DB5"/>
    <w:rsid w:val="005F0A2A"/>
    <w:rsid w:val="005F18B0"/>
    <w:rsid w:val="005F2228"/>
    <w:rsid w:val="005F231E"/>
    <w:rsid w:val="005F2B2C"/>
    <w:rsid w:val="005F2D2A"/>
    <w:rsid w:val="005F3C3B"/>
    <w:rsid w:val="005F3ED9"/>
    <w:rsid w:val="005F46A7"/>
    <w:rsid w:val="005F6052"/>
    <w:rsid w:val="00600BEE"/>
    <w:rsid w:val="006029BE"/>
    <w:rsid w:val="00603446"/>
    <w:rsid w:val="00604D0B"/>
    <w:rsid w:val="00604F36"/>
    <w:rsid w:val="00605665"/>
    <w:rsid w:val="00607831"/>
    <w:rsid w:val="006149FE"/>
    <w:rsid w:val="0061573D"/>
    <w:rsid w:val="00615D16"/>
    <w:rsid w:val="00615E41"/>
    <w:rsid w:val="006162D5"/>
    <w:rsid w:val="00617BF0"/>
    <w:rsid w:val="00622822"/>
    <w:rsid w:val="006236F2"/>
    <w:rsid w:val="0062370D"/>
    <w:rsid w:val="00623989"/>
    <w:rsid w:val="00624668"/>
    <w:rsid w:val="00624EFE"/>
    <w:rsid w:val="00626903"/>
    <w:rsid w:val="00627812"/>
    <w:rsid w:val="0063022B"/>
    <w:rsid w:val="00631DE9"/>
    <w:rsid w:val="006327B3"/>
    <w:rsid w:val="00632B9C"/>
    <w:rsid w:val="00640055"/>
    <w:rsid w:val="0064042C"/>
    <w:rsid w:val="00644DC9"/>
    <w:rsid w:val="00646786"/>
    <w:rsid w:val="00646D38"/>
    <w:rsid w:val="006527B7"/>
    <w:rsid w:val="00654981"/>
    <w:rsid w:val="00654CA9"/>
    <w:rsid w:val="006555BD"/>
    <w:rsid w:val="0065631E"/>
    <w:rsid w:val="00656A99"/>
    <w:rsid w:val="00657C90"/>
    <w:rsid w:val="00661C0E"/>
    <w:rsid w:val="006624EC"/>
    <w:rsid w:val="00662CC0"/>
    <w:rsid w:val="00663208"/>
    <w:rsid w:val="00663692"/>
    <w:rsid w:val="00663D85"/>
    <w:rsid w:val="00663FBF"/>
    <w:rsid w:val="006653E0"/>
    <w:rsid w:val="00665B88"/>
    <w:rsid w:val="00673224"/>
    <w:rsid w:val="00673E94"/>
    <w:rsid w:val="006747A3"/>
    <w:rsid w:val="006763E4"/>
    <w:rsid w:val="006802A4"/>
    <w:rsid w:val="00680768"/>
    <w:rsid w:val="00680E72"/>
    <w:rsid w:val="00681428"/>
    <w:rsid w:val="00682495"/>
    <w:rsid w:val="0068279C"/>
    <w:rsid w:val="00684A58"/>
    <w:rsid w:val="0068635E"/>
    <w:rsid w:val="006870FD"/>
    <w:rsid w:val="006901C1"/>
    <w:rsid w:val="006942F0"/>
    <w:rsid w:val="00696B74"/>
    <w:rsid w:val="006A11D1"/>
    <w:rsid w:val="006A341F"/>
    <w:rsid w:val="006A45CE"/>
    <w:rsid w:val="006A496B"/>
    <w:rsid w:val="006A5345"/>
    <w:rsid w:val="006A68DD"/>
    <w:rsid w:val="006A766E"/>
    <w:rsid w:val="006A7868"/>
    <w:rsid w:val="006B0E59"/>
    <w:rsid w:val="006B0E81"/>
    <w:rsid w:val="006B1C6F"/>
    <w:rsid w:val="006B3C4E"/>
    <w:rsid w:val="006B3EAB"/>
    <w:rsid w:val="006B4409"/>
    <w:rsid w:val="006B5A80"/>
    <w:rsid w:val="006C05D9"/>
    <w:rsid w:val="006C0A62"/>
    <w:rsid w:val="006C1422"/>
    <w:rsid w:val="006C532F"/>
    <w:rsid w:val="006C54B7"/>
    <w:rsid w:val="006C5E70"/>
    <w:rsid w:val="006C7D60"/>
    <w:rsid w:val="006C7FDE"/>
    <w:rsid w:val="006D0369"/>
    <w:rsid w:val="006D3034"/>
    <w:rsid w:val="006D3260"/>
    <w:rsid w:val="006D3BA8"/>
    <w:rsid w:val="006D4416"/>
    <w:rsid w:val="006D4B4E"/>
    <w:rsid w:val="006D5335"/>
    <w:rsid w:val="006D59F7"/>
    <w:rsid w:val="006D6778"/>
    <w:rsid w:val="006E010D"/>
    <w:rsid w:val="006E068B"/>
    <w:rsid w:val="006E0FCB"/>
    <w:rsid w:val="006E3328"/>
    <w:rsid w:val="006E3ED3"/>
    <w:rsid w:val="006E50ED"/>
    <w:rsid w:val="006E6004"/>
    <w:rsid w:val="006E70BE"/>
    <w:rsid w:val="006F3849"/>
    <w:rsid w:val="006F3C46"/>
    <w:rsid w:val="006F42F8"/>
    <w:rsid w:val="006F596A"/>
    <w:rsid w:val="006F5EDA"/>
    <w:rsid w:val="006F63E4"/>
    <w:rsid w:val="00700B28"/>
    <w:rsid w:val="007012D4"/>
    <w:rsid w:val="00701DA5"/>
    <w:rsid w:val="00701FC9"/>
    <w:rsid w:val="007020BB"/>
    <w:rsid w:val="00702411"/>
    <w:rsid w:val="007031A3"/>
    <w:rsid w:val="00703F85"/>
    <w:rsid w:val="0070707F"/>
    <w:rsid w:val="00707C3C"/>
    <w:rsid w:val="007108C5"/>
    <w:rsid w:val="00710D5F"/>
    <w:rsid w:val="00710DEC"/>
    <w:rsid w:val="00710F9A"/>
    <w:rsid w:val="00711877"/>
    <w:rsid w:val="00711A9D"/>
    <w:rsid w:val="00714C37"/>
    <w:rsid w:val="007172CC"/>
    <w:rsid w:val="0071798A"/>
    <w:rsid w:val="00717DB8"/>
    <w:rsid w:val="00721722"/>
    <w:rsid w:val="00723286"/>
    <w:rsid w:val="00724463"/>
    <w:rsid w:val="00725B75"/>
    <w:rsid w:val="00725E66"/>
    <w:rsid w:val="00727C5A"/>
    <w:rsid w:val="00731450"/>
    <w:rsid w:val="007315DA"/>
    <w:rsid w:val="00732C6C"/>
    <w:rsid w:val="00732D4D"/>
    <w:rsid w:val="00735C0E"/>
    <w:rsid w:val="00740FF1"/>
    <w:rsid w:val="0074116F"/>
    <w:rsid w:val="00741444"/>
    <w:rsid w:val="00742148"/>
    <w:rsid w:val="0074320E"/>
    <w:rsid w:val="00743C1A"/>
    <w:rsid w:val="00746639"/>
    <w:rsid w:val="00747F3C"/>
    <w:rsid w:val="007501EA"/>
    <w:rsid w:val="00751127"/>
    <w:rsid w:val="00754293"/>
    <w:rsid w:val="00757061"/>
    <w:rsid w:val="0076206B"/>
    <w:rsid w:val="007620A4"/>
    <w:rsid w:val="007628C4"/>
    <w:rsid w:val="00763CC1"/>
    <w:rsid w:val="007649F3"/>
    <w:rsid w:val="007714C6"/>
    <w:rsid w:val="0077155F"/>
    <w:rsid w:val="007720F4"/>
    <w:rsid w:val="007725D4"/>
    <w:rsid w:val="007736D8"/>
    <w:rsid w:val="00776524"/>
    <w:rsid w:val="0077768E"/>
    <w:rsid w:val="00780E81"/>
    <w:rsid w:val="00781EE2"/>
    <w:rsid w:val="00782CD0"/>
    <w:rsid w:val="00783490"/>
    <w:rsid w:val="0078362F"/>
    <w:rsid w:val="007840D5"/>
    <w:rsid w:val="00784172"/>
    <w:rsid w:val="00784406"/>
    <w:rsid w:val="0078610F"/>
    <w:rsid w:val="00791002"/>
    <w:rsid w:val="00791D77"/>
    <w:rsid w:val="00791D94"/>
    <w:rsid w:val="00792011"/>
    <w:rsid w:val="007938AC"/>
    <w:rsid w:val="007A2421"/>
    <w:rsid w:val="007A291E"/>
    <w:rsid w:val="007A2E4B"/>
    <w:rsid w:val="007A7863"/>
    <w:rsid w:val="007B1F47"/>
    <w:rsid w:val="007B37DC"/>
    <w:rsid w:val="007B3AF0"/>
    <w:rsid w:val="007B4154"/>
    <w:rsid w:val="007B459E"/>
    <w:rsid w:val="007B6AF6"/>
    <w:rsid w:val="007C070D"/>
    <w:rsid w:val="007C2295"/>
    <w:rsid w:val="007C22E7"/>
    <w:rsid w:val="007C244B"/>
    <w:rsid w:val="007C4285"/>
    <w:rsid w:val="007C5419"/>
    <w:rsid w:val="007C5915"/>
    <w:rsid w:val="007C6C1E"/>
    <w:rsid w:val="007C785A"/>
    <w:rsid w:val="007C7C12"/>
    <w:rsid w:val="007C7F80"/>
    <w:rsid w:val="007C7FA2"/>
    <w:rsid w:val="007D0AFB"/>
    <w:rsid w:val="007D1B01"/>
    <w:rsid w:val="007D1D76"/>
    <w:rsid w:val="007D3B98"/>
    <w:rsid w:val="007D3E7A"/>
    <w:rsid w:val="007E0AB6"/>
    <w:rsid w:val="007E18A8"/>
    <w:rsid w:val="007E1C29"/>
    <w:rsid w:val="007E48AC"/>
    <w:rsid w:val="007E6393"/>
    <w:rsid w:val="007E693A"/>
    <w:rsid w:val="007F14A1"/>
    <w:rsid w:val="007F456B"/>
    <w:rsid w:val="007F4D3B"/>
    <w:rsid w:val="007F52BB"/>
    <w:rsid w:val="007F5BD3"/>
    <w:rsid w:val="007F7E6A"/>
    <w:rsid w:val="00800983"/>
    <w:rsid w:val="00801B39"/>
    <w:rsid w:val="00801FDA"/>
    <w:rsid w:val="00803C9D"/>
    <w:rsid w:val="008044EA"/>
    <w:rsid w:val="00805E6D"/>
    <w:rsid w:val="00810210"/>
    <w:rsid w:val="00810531"/>
    <w:rsid w:val="00811992"/>
    <w:rsid w:val="00811FD5"/>
    <w:rsid w:val="008121BA"/>
    <w:rsid w:val="0081261A"/>
    <w:rsid w:val="008129EE"/>
    <w:rsid w:val="00813568"/>
    <w:rsid w:val="00813741"/>
    <w:rsid w:val="00814BBB"/>
    <w:rsid w:val="00814BEE"/>
    <w:rsid w:val="00816E67"/>
    <w:rsid w:val="008177EF"/>
    <w:rsid w:val="008202AB"/>
    <w:rsid w:val="0082138C"/>
    <w:rsid w:val="0082589C"/>
    <w:rsid w:val="00830F51"/>
    <w:rsid w:val="008330A5"/>
    <w:rsid w:val="008333A4"/>
    <w:rsid w:val="00834423"/>
    <w:rsid w:val="008401E0"/>
    <w:rsid w:val="008410CC"/>
    <w:rsid w:val="008429D6"/>
    <w:rsid w:val="00846049"/>
    <w:rsid w:val="0085252E"/>
    <w:rsid w:val="00852FC3"/>
    <w:rsid w:val="00857168"/>
    <w:rsid w:val="008604B5"/>
    <w:rsid w:val="00861B60"/>
    <w:rsid w:val="00861F7F"/>
    <w:rsid w:val="00864106"/>
    <w:rsid w:val="00865389"/>
    <w:rsid w:val="00867E8D"/>
    <w:rsid w:val="00870423"/>
    <w:rsid w:val="0087077D"/>
    <w:rsid w:val="00870B35"/>
    <w:rsid w:val="008712BB"/>
    <w:rsid w:val="00871C46"/>
    <w:rsid w:val="008749B2"/>
    <w:rsid w:val="00876131"/>
    <w:rsid w:val="00876704"/>
    <w:rsid w:val="00876E17"/>
    <w:rsid w:val="00877A48"/>
    <w:rsid w:val="00877BAC"/>
    <w:rsid w:val="00877CF4"/>
    <w:rsid w:val="00880F8D"/>
    <w:rsid w:val="008837DA"/>
    <w:rsid w:val="0088741B"/>
    <w:rsid w:val="0088763C"/>
    <w:rsid w:val="00887BD4"/>
    <w:rsid w:val="00890159"/>
    <w:rsid w:val="00890A8A"/>
    <w:rsid w:val="00890C37"/>
    <w:rsid w:val="008923D2"/>
    <w:rsid w:val="0089603A"/>
    <w:rsid w:val="00896D6E"/>
    <w:rsid w:val="008A1703"/>
    <w:rsid w:val="008A278D"/>
    <w:rsid w:val="008A2899"/>
    <w:rsid w:val="008A2F9B"/>
    <w:rsid w:val="008A4179"/>
    <w:rsid w:val="008B1CF2"/>
    <w:rsid w:val="008B4A49"/>
    <w:rsid w:val="008C10EB"/>
    <w:rsid w:val="008C4B3E"/>
    <w:rsid w:val="008C62A8"/>
    <w:rsid w:val="008C67D2"/>
    <w:rsid w:val="008C68A9"/>
    <w:rsid w:val="008D06F2"/>
    <w:rsid w:val="008D4B36"/>
    <w:rsid w:val="008D60FE"/>
    <w:rsid w:val="008E3F0F"/>
    <w:rsid w:val="008E58A5"/>
    <w:rsid w:val="008E7C6F"/>
    <w:rsid w:val="008F047D"/>
    <w:rsid w:val="008F05A9"/>
    <w:rsid w:val="008F1839"/>
    <w:rsid w:val="008F4897"/>
    <w:rsid w:val="008F50BB"/>
    <w:rsid w:val="008F58B5"/>
    <w:rsid w:val="008F59A9"/>
    <w:rsid w:val="008F7CC4"/>
    <w:rsid w:val="009027FE"/>
    <w:rsid w:val="009047C1"/>
    <w:rsid w:val="009075E3"/>
    <w:rsid w:val="00911263"/>
    <w:rsid w:val="009129B3"/>
    <w:rsid w:val="00917419"/>
    <w:rsid w:val="00920AA0"/>
    <w:rsid w:val="00920CEA"/>
    <w:rsid w:val="0092117A"/>
    <w:rsid w:val="009231D9"/>
    <w:rsid w:val="00923367"/>
    <w:rsid w:val="00924673"/>
    <w:rsid w:val="00924EFD"/>
    <w:rsid w:val="00930A48"/>
    <w:rsid w:val="00931D9A"/>
    <w:rsid w:val="00932D43"/>
    <w:rsid w:val="0093535B"/>
    <w:rsid w:val="00936B50"/>
    <w:rsid w:val="0093710D"/>
    <w:rsid w:val="00937739"/>
    <w:rsid w:val="00937A58"/>
    <w:rsid w:val="00943A2B"/>
    <w:rsid w:val="009449E7"/>
    <w:rsid w:val="009453BA"/>
    <w:rsid w:val="0095164D"/>
    <w:rsid w:val="0095281A"/>
    <w:rsid w:val="00954886"/>
    <w:rsid w:val="009560DF"/>
    <w:rsid w:val="00960044"/>
    <w:rsid w:val="009605C6"/>
    <w:rsid w:val="00960DA1"/>
    <w:rsid w:val="0096137D"/>
    <w:rsid w:val="00962BE2"/>
    <w:rsid w:val="0096304B"/>
    <w:rsid w:val="00967889"/>
    <w:rsid w:val="00972C2A"/>
    <w:rsid w:val="00973BD4"/>
    <w:rsid w:val="00980BA8"/>
    <w:rsid w:val="00981104"/>
    <w:rsid w:val="0098146B"/>
    <w:rsid w:val="009819B1"/>
    <w:rsid w:val="009843BF"/>
    <w:rsid w:val="0098494D"/>
    <w:rsid w:val="00984FF8"/>
    <w:rsid w:val="00986EAA"/>
    <w:rsid w:val="0099145F"/>
    <w:rsid w:val="0099442D"/>
    <w:rsid w:val="00996297"/>
    <w:rsid w:val="00996405"/>
    <w:rsid w:val="009966DB"/>
    <w:rsid w:val="009A2BD6"/>
    <w:rsid w:val="009B2684"/>
    <w:rsid w:val="009B5E5A"/>
    <w:rsid w:val="009C0E1D"/>
    <w:rsid w:val="009C1089"/>
    <w:rsid w:val="009C33FD"/>
    <w:rsid w:val="009C376E"/>
    <w:rsid w:val="009C4AE0"/>
    <w:rsid w:val="009C61AF"/>
    <w:rsid w:val="009C7C41"/>
    <w:rsid w:val="009C7EB9"/>
    <w:rsid w:val="009D4847"/>
    <w:rsid w:val="009D5C6E"/>
    <w:rsid w:val="009D63A9"/>
    <w:rsid w:val="009E3120"/>
    <w:rsid w:val="009E4B59"/>
    <w:rsid w:val="009F0624"/>
    <w:rsid w:val="009F0916"/>
    <w:rsid w:val="009F2D6A"/>
    <w:rsid w:val="009F2FAE"/>
    <w:rsid w:val="009F3D54"/>
    <w:rsid w:val="009F614F"/>
    <w:rsid w:val="009F761C"/>
    <w:rsid w:val="00A00DE1"/>
    <w:rsid w:val="00A02409"/>
    <w:rsid w:val="00A03EB5"/>
    <w:rsid w:val="00A04C5A"/>
    <w:rsid w:val="00A0521D"/>
    <w:rsid w:val="00A06C8E"/>
    <w:rsid w:val="00A07CD9"/>
    <w:rsid w:val="00A118EF"/>
    <w:rsid w:val="00A137C5"/>
    <w:rsid w:val="00A14373"/>
    <w:rsid w:val="00A16AFA"/>
    <w:rsid w:val="00A173AC"/>
    <w:rsid w:val="00A175AA"/>
    <w:rsid w:val="00A21720"/>
    <w:rsid w:val="00A21F25"/>
    <w:rsid w:val="00A22C13"/>
    <w:rsid w:val="00A22DCE"/>
    <w:rsid w:val="00A237C6"/>
    <w:rsid w:val="00A23A08"/>
    <w:rsid w:val="00A24985"/>
    <w:rsid w:val="00A257E2"/>
    <w:rsid w:val="00A26D6F"/>
    <w:rsid w:val="00A3122F"/>
    <w:rsid w:val="00A323FC"/>
    <w:rsid w:val="00A34C09"/>
    <w:rsid w:val="00A35456"/>
    <w:rsid w:val="00A359E4"/>
    <w:rsid w:val="00A3664B"/>
    <w:rsid w:val="00A37A0F"/>
    <w:rsid w:val="00A43511"/>
    <w:rsid w:val="00A43C3A"/>
    <w:rsid w:val="00A45C04"/>
    <w:rsid w:val="00A46866"/>
    <w:rsid w:val="00A504D5"/>
    <w:rsid w:val="00A50BE7"/>
    <w:rsid w:val="00A514C2"/>
    <w:rsid w:val="00A527A8"/>
    <w:rsid w:val="00A52821"/>
    <w:rsid w:val="00A5367E"/>
    <w:rsid w:val="00A569DC"/>
    <w:rsid w:val="00A56DD8"/>
    <w:rsid w:val="00A574D4"/>
    <w:rsid w:val="00A62FF2"/>
    <w:rsid w:val="00A64AB1"/>
    <w:rsid w:val="00A66CCA"/>
    <w:rsid w:val="00A67B05"/>
    <w:rsid w:val="00A70C40"/>
    <w:rsid w:val="00A71B15"/>
    <w:rsid w:val="00A7289E"/>
    <w:rsid w:val="00A73F77"/>
    <w:rsid w:val="00A748F9"/>
    <w:rsid w:val="00A74C39"/>
    <w:rsid w:val="00A817C3"/>
    <w:rsid w:val="00A82B1A"/>
    <w:rsid w:val="00A82CA9"/>
    <w:rsid w:val="00A839E5"/>
    <w:rsid w:val="00A85E52"/>
    <w:rsid w:val="00A8610D"/>
    <w:rsid w:val="00A86487"/>
    <w:rsid w:val="00A86FE4"/>
    <w:rsid w:val="00A929F1"/>
    <w:rsid w:val="00A94B3A"/>
    <w:rsid w:val="00A97BF9"/>
    <w:rsid w:val="00AA1011"/>
    <w:rsid w:val="00AA3426"/>
    <w:rsid w:val="00AA69AB"/>
    <w:rsid w:val="00AA7140"/>
    <w:rsid w:val="00AA79B4"/>
    <w:rsid w:val="00AB6685"/>
    <w:rsid w:val="00AB6BC6"/>
    <w:rsid w:val="00AB7890"/>
    <w:rsid w:val="00AC1BC1"/>
    <w:rsid w:val="00AC4200"/>
    <w:rsid w:val="00AC5F22"/>
    <w:rsid w:val="00AC62C3"/>
    <w:rsid w:val="00AC753A"/>
    <w:rsid w:val="00AD06E0"/>
    <w:rsid w:val="00AD2E08"/>
    <w:rsid w:val="00AD3832"/>
    <w:rsid w:val="00AD48EE"/>
    <w:rsid w:val="00AD4BCB"/>
    <w:rsid w:val="00AD5A55"/>
    <w:rsid w:val="00AD65BC"/>
    <w:rsid w:val="00AD783D"/>
    <w:rsid w:val="00AD7D21"/>
    <w:rsid w:val="00AE12C6"/>
    <w:rsid w:val="00AE16BD"/>
    <w:rsid w:val="00AE23A6"/>
    <w:rsid w:val="00AE30BF"/>
    <w:rsid w:val="00AE4108"/>
    <w:rsid w:val="00AE5D2F"/>
    <w:rsid w:val="00AE6BEA"/>
    <w:rsid w:val="00AE7574"/>
    <w:rsid w:val="00AE75B8"/>
    <w:rsid w:val="00AE76E9"/>
    <w:rsid w:val="00AF2A04"/>
    <w:rsid w:val="00AF4162"/>
    <w:rsid w:val="00AF5BA3"/>
    <w:rsid w:val="00AF6794"/>
    <w:rsid w:val="00AF7567"/>
    <w:rsid w:val="00AF7F16"/>
    <w:rsid w:val="00B0013A"/>
    <w:rsid w:val="00B00535"/>
    <w:rsid w:val="00B01A3F"/>
    <w:rsid w:val="00B02C8F"/>
    <w:rsid w:val="00B03423"/>
    <w:rsid w:val="00B04631"/>
    <w:rsid w:val="00B053E1"/>
    <w:rsid w:val="00B05544"/>
    <w:rsid w:val="00B10CEC"/>
    <w:rsid w:val="00B16A4E"/>
    <w:rsid w:val="00B16DEF"/>
    <w:rsid w:val="00B16FED"/>
    <w:rsid w:val="00B177C6"/>
    <w:rsid w:val="00B20574"/>
    <w:rsid w:val="00B22CC1"/>
    <w:rsid w:val="00B25FD7"/>
    <w:rsid w:val="00B302FA"/>
    <w:rsid w:val="00B3061C"/>
    <w:rsid w:val="00B30FDF"/>
    <w:rsid w:val="00B311A3"/>
    <w:rsid w:val="00B31DB6"/>
    <w:rsid w:val="00B34877"/>
    <w:rsid w:val="00B3661C"/>
    <w:rsid w:val="00B37810"/>
    <w:rsid w:val="00B411B1"/>
    <w:rsid w:val="00B41541"/>
    <w:rsid w:val="00B45FA3"/>
    <w:rsid w:val="00B478EC"/>
    <w:rsid w:val="00B509DA"/>
    <w:rsid w:val="00B513ED"/>
    <w:rsid w:val="00B52696"/>
    <w:rsid w:val="00B54302"/>
    <w:rsid w:val="00B54AA7"/>
    <w:rsid w:val="00B554ED"/>
    <w:rsid w:val="00B556C7"/>
    <w:rsid w:val="00B60BF2"/>
    <w:rsid w:val="00B71271"/>
    <w:rsid w:val="00B72912"/>
    <w:rsid w:val="00B72BA8"/>
    <w:rsid w:val="00B74C3E"/>
    <w:rsid w:val="00B75366"/>
    <w:rsid w:val="00B773DD"/>
    <w:rsid w:val="00B77F8F"/>
    <w:rsid w:val="00B80259"/>
    <w:rsid w:val="00B806C6"/>
    <w:rsid w:val="00B80CC9"/>
    <w:rsid w:val="00B81CD4"/>
    <w:rsid w:val="00B831C8"/>
    <w:rsid w:val="00B83B41"/>
    <w:rsid w:val="00B84901"/>
    <w:rsid w:val="00B8512F"/>
    <w:rsid w:val="00B85452"/>
    <w:rsid w:val="00B87970"/>
    <w:rsid w:val="00B9032D"/>
    <w:rsid w:val="00B93210"/>
    <w:rsid w:val="00B95206"/>
    <w:rsid w:val="00B960B3"/>
    <w:rsid w:val="00BA0061"/>
    <w:rsid w:val="00BA029F"/>
    <w:rsid w:val="00BA0A26"/>
    <w:rsid w:val="00BA0FD0"/>
    <w:rsid w:val="00BA1358"/>
    <w:rsid w:val="00BA203E"/>
    <w:rsid w:val="00BA292F"/>
    <w:rsid w:val="00BA5AC3"/>
    <w:rsid w:val="00BA5D64"/>
    <w:rsid w:val="00BB22E5"/>
    <w:rsid w:val="00BB50EF"/>
    <w:rsid w:val="00BB63CF"/>
    <w:rsid w:val="00BC1BFF"/>
    <w:rsid w:val="00BC3787"/>
    <w:rsid w:val="00BC4B19"/>
    <w:rsid w:val="00BC562C"/>
    <w:rsid w:val="00BC570F"/>
    <w:rsid w:val="00BC655E"/>
    <w:rsid w:val="00BD086F"/>
    <w:rsid w:val="00BD1332"/>
    <w:rsid w:val="00BD2798"/>
    <w:rsid w:val="00BD2E85"/>
    <w:rsid w:val="00BD3764"/>
    <w:rsid w:val="00BD5F12"/>
    <w:rsid w:val="00BE3A2B"/>
    <w:rsid w:val="00BE3E66"/>
    <w:rsid w:val="00BE45D1"/>
    <w:rsid w:val="00BE476D"/>
    <w:rsid w:val="00BE7572"/>
    <w:rsid w:val="00BF0607"/>
    <w:rsid w:val="00BF22D7"/>
    <w:rsid w:val="00BF3CD3"/>
    <w:rsid w:val="00BF663E"/>
    <w:rsid w:val="00C03727"/>
    <w:rsid w:val="00C06885"/>
    <w:rsid w:val="00C110BA"/>
    <w:rsid w:val="00C116AF"/>
    <w:rsid w:val="00C1228A"/>
    <w:rsid w:val="00C13378"/>
    <w:rsid w:val="00C22BC6"/>
    <w:rsid w:val="00C235C5"/>
    <w:rsid w:val="00C23C26"/>
    <w:rsid w:val="00C23C3F"/>
    <w:rsid w:val="00C24BE9"/>
    <w:rsid w:val="00C24CD3"/>
    <w:rsid w:val="00C263CE"/>
    <w:rsid w:val="00C328C5"/>
    <w:rsid w:val="00C339B0"/>
    <w:rsid w:val="00C34940"/>
    <w:rsid w:val="00C373F4"/>
    <w:rsid w:val="00C41A13"/>
    <w:rsid w:val="00C41C6B"/>
    <w:rsid w:val="00C47B11"/>
    <w:rsid w:val="00C53FF7"/>
    <w:rsid w:val="00C5415D"/>
    <w:rsid w:val="00C55C0E"/>
    <w:rsid w:val="00C56DA4"/>
    <w:rsid w:val="00C6311F"/>
    <w:rsid w:val="00C63332"/>
    <w:rsid w:val="00C642EE"/>
    <w:rsid w:val="00C65D48"/>
    <w:rsid w:val="00C66942"/>
    <w:rsid w:val="00C676BE"/>
    <w:rsid w:val="00C70614"/>
    <w:rsid w:val="00C71521"/>
    <w:rsid w:val="00C7184E"/>
    <w:rsid w:val="00C72DB5"/>
    <w:rsid w:val="00C73DD6"/>
    <w:rsid w:val="00C743FB"/>
    <w:rsid w:val="00C74612"/>
    <w:rsid w:val="00C773A8"/>
    <w:rsid w:val="00C8043F"/>
    <w:rsid w:val="00C816C2"/>
    <w:rsid w:val="00C82308"/>
    <w:rsid w:val="00C85507"/>
    <w:rsid w:val="00C86A92"/>
    <w:rsid w:val="00C8702E"/>
    <w:rsid w:val="00C9089E"/>
    <w:rsid w:val="00C91D1E"/>
    <w:rsid w:val="00C93CF7"/>
    <w:rsid w:val="00C93E89"/>
    <w:rsid w:val="00C95308"/>
    <w:rsid w:val="00C96EC9"/>
    <w:rsid w:val="00CA137E"/>
    <w:rsid w:val="00CA2925"/>
    <w:rsid w:val="00CA6DF6"/>
    <w:rsid w:val="00CA6E8E"/>
    <w:rsid w:val="00CA6E97"/>
    <w:rsid w:val="00CA6F6D"/>
    <w:rsid w:val="00CB04A8"/>
    <w:rsid w:val="00CB08EC"/>
    <w:rsid w:val="00CB13E4"/>
    <w:rsid w:val="00CB2FA2"/>
    <w:rsid w:val="00CB4322"/>
    <w:rsid w:val="00CB584E"/>
    <w:rsid w:val="00CB6B96"/>
    <w:rsid w:val="00CB75D7"/>
    <w:rsid w:val="00CB75EE"/>
    <w:rsid w:val="00CB7C4D"/>
    <w:rsid w:val="00CC04C9"/>
    <w:rsid w:val="00CC0919"/>
    <w:rsid w:val="00CC144A"/>
    <w:rsid w:val="00CC193C"/>
    <w:rsid w:val="00CC33BF"/>
    <w:rsid w:val="00CC384A"/>
    <w:rsid w:val="00CC4337"/>
    <w:rsid w:val="00CC4357"/>
    <w:rsid w:val="00CC6B65"/>
    <w:rsid w:val="00CC7AC6"/>
    <w:rsid w:val="00CD2629"/>
    <w:rsid w:val="00CD2E6C"/>
    <w:rsid w:val="00CD3800"/>
    <w:rsid w:val="00CD4832"/>
    <w:rsid w:val="00CD4DF2"/>
    <w:rsid w:val="00CD6C44"/>
    <w:rsid w:val="00CE1141"/>
    <w:rsid w:val="00CE1A9B"/>
    <w:rsid w:val="00CE465C"/>
    <w:rsid w:val="00CE536B"/>
    <w:rsid w:val="00CE727F"/>
    <w:rsid w:val="00CE7E4F"/>
    <w:rsid w:val="00CF1744"/>
    <w:rsid w:val="00CF387D"/>
    <w:rsid w:val="00CF3B76"/>
    <w:rsid w:val="00CF5423"/>
    <w:rsid w:val="00CF5E5F"/>
    <w:rsid w:val="00CF656F"/>
    <w:rsid w:val="00D00A13"/>
    <w:rsid w:val="00D01125"/>
    <w:rsid w:val="00D01A93"/>
    <w:rsid w:val="00D02877"/>
    <w:rsid w:val="00D066E8"/>
    <w:rsid w:val="00D116DF"/>
    <w:rsid w:val="00D12FB5"/>
    <w:rsid w:val="00D14E28"/>
    <w:rsid w:val="00D155F1"/>
    <w:rsid w:val="00D2222D"/>
    <w:rsid w:val="00D257C3"/>
    <w:rsid w:val="00D25EDB"/>
    <w:rsid w:val="00D26119"/>
    <w:rsid w:val="00D26757"/>
    <w:rsid w:val="00D3017C"/>
    <w:rsid w:val="00D325F9"/>
    <w:rsid w:val="00D33E65"/>
    <w:rsid w:val="00D3616A"/>
    <w:rsid w:val="00D379F6"/>
    <w:rsid w:val="00D4067B"/>
    <w:rsid w:val="00D408C7"/>
    <w:rsid w:val="00D40D61"/>
    <w:rsid w:val="00D43772"/>
    <w:rsid w:val="00D450EF"/>
    <w:rsid w:val="00D45134"/>
    <w:rsid w:val="00D5081E"/>
    <w:rsid w:val="00D50F8C"/>
    <w:rsid w:val="00D51EEB"/>
    <w:rsid w:val="00D5403C"/>
    <w:rsid w:val="00D55FFF"/>
    <w:rsid w:val="00D649EC"/>
    <w:rsid w:val="00D7398E"/>
    <w:rsid w:val="00D73D69"/>
    <w:rsid w:val="00D743D9"/>
    <w:rsid w:val="00D7473A"/>
    <w:rsid w:val="00D822DF"/>
    <w:rsid w:val="00D832E8"/>
    <w:rsid w:val="00D84B16"/>
    <w:rsid w:val="00D87100"/>
    <w:rsid w:val="00D87FBB"/>
    <w:rsid w:val="00D90781"/>
    <w:rsid w:val="00D90C99"/>
    <w:rsid w:val="00D929EA"/>
    <w:rsid w:val="00D944BB"/>
    <w:rsid w:val="00D94C03"/>
    <w:rsid w:val="00D97D7B"/>
    <w:rsid w:val="00DA2840"/>
    <w:rsid w:val="00DA2FEB"/>
    <w:rsid w:val="00DA3FD3"/>
    <w:rsid w:val="00DA6757"/>
    <w:rsid w:val="00DB0EF7"/>
    <w:rsid w:val="00DB1160"/>
    <w:rsid w:val="00DB1ACB"/>
    <w:rsid w:val="00DB4BB8"/>
    <w:rsid w:val="00DB519E"/>
    <w:rsid w:val="00DB5249"/>
    <w:rsid w:val="00DB5561"/>
    <w:rsid w:val="00DB5835"/>
    <w:rsid w:val="00DB7630"/>
    <w:rsid w:val="00DC0323"/>
    <w:rsid w:val="00DC0AC7"/>
    <w:rsid w:val="00DC111C"/>
    <w:rsid w:val="00DC4466"/>
    <w:rsid w:val="00DC7046"/>
    <w:rsid w:val="00DD14CD"/>
    <w:rsid w:val="00DD77DD"/>
    <w:rsid w:val="00DE13D4"/>
    <w:rsid w:val="00DE4B89"/>
    <w:rsid w:val="00DE7032"/>
    <w:rsid w:val="00DF08C7"/>
    <w:rsid w:val="00DF090D"/>
    <w:rsid w:val="00DF0FA0"/>
    <w:rsid w:val="00DF121D"/>
    <w:rsid w:val="00DF1252"/>
    <w:rsid w:val="00E0184C"/>
    <w:rsid w:val="00E01E1E"/>
    <w:rsid w:val="00E044EE"/>
    <w:rsid w:val="00E05264"/>
    <w:rsid w:val="00E05F1E"/>
    <w:rsid w:val="00E063E7"/>
    <w:rsid w:val="00E07FF1"/>
    <w:rsid w:val="00E1034D"/>
    <w:rsid w:val="00E1300E"/>
    <w:rsid w:val="00E1430E"/>
    <w:rsid w:val="00E1522E"/>
    <w:rsid w:val="00E20001"/>
    <w:rsid w:val="00E22FC2"/>
    <w:rsid w:val="00E22FD8"/>
    <w:rsid w:val="00E2433D"/>
    <w:rsid w:val="00E2548E"/>
    <w:rsid w:val="00E26268"/>
    <w:rsid w:val="00E2658D"/>
    <w:rsid w:val="00E34325"/>
    <w:rsid w:val="00E3558B"/>
    <w:rsid w:val="00E372AA"/>
    <w:rsid w:val="00E40569"/>
    <w:rsid w:val="00E418AF"/>
    <w:rsid w:val="00E44B24"/>
    <w:rsid w:val="00E45675"/>
    <w:rsid w:val="00E45F83"/>
    <w:rsid w:val="00E46D76"/>
    <w:rsid w:val="00E50F67"/>
    <w:rsid w:val="00E526FB"/>
    <w:rsid w:val="00E57880"/>
    <w:rsid w:val="00E63238"/>
    <w:rsid w:val="00E65427"/>
    <w:rsid w:val="00E70000"/>
    <w:rsid w:val="00E71977"/>
    <w:rsid w:val="00E71C5B"/>
    <w:rsid w:val="00E72396"/>
    <w:rsid w:val="00E73F11"/>
    <w:rsid w:val="00E74AB6"/>
    <w:rsid w:val="00E76B0F"/>
    <w:rsid w:val="00E80CDF"/>
    <w:rsid w:val="00E812B6"/>
    <w:rsid w:val="00E81FB6"/>
    <w:rsid w:val="00E82F95"/>
    <w:rsid w:val="00E83D7E"/>
    <w:rsid w:val="00E8556A"/>
    <w:rsid w:val="00E90409"/>
    <w:rsid w:val="00E91580"/>
    <w:rsid w:val="00E94BDA"/>
    <w:rsid w:val="00E97BF9"/>
    <w:rsid w:val="00EA00E5"/>
    <w:rsid w:val="00EA3651"/>
    <w:rsid w:val="00EA648B"/>
    <w:rsid w:val="00EA7DF5"/>
    <w:rsid w:val="00EB0FFC"/>
    <w:rsid w:val="00EB4AD1"/>
    <w:rsid w:val="00EB6B72"/>
    <w:rsid w:val="00EB6DE8"/>
    <w:rsid w:val="00EC1184"/>
    <w:rsid w:val="00EC2526"/>
    <w:rsid w:val="00EC31EB"/>
    <w:rsid w:val="00EC3795"/>
    <w:rsid w:val="00EC43E0"/>
    <w:rsid w:val="00EC6303"/>
    <w:rsid w:val="00ED0B89"/>
    <w:rsid w:val="00ED1155"/>
    <w:rsid w:val="00EE1A28"/>
    <w:rsid w:val="00EE246D"/>
    <w:rsid w:val="00EE3C92"/>
    <w:rsid w:val="00EF13A4"/>
    <w:rsid w:val="00EF669A"/>
    <w:rsid w:val="00F0235C"/>
    <w:rsid w:val="00F02C21"/>
    <w:rsid w:val="00F04E6D"/>
    <w:rsid w:val="00F05CF7"/>
    <w:rsid w:val="00F05FA0"/>
    <w:rsid w:val="00F0601A"/>
    <w:rsid w:val="00F113D9"/>
    <w:rsid w:val="00F11657"/>
    <w:rsid w:val="00F12B20"/>
    <w:rsid w:val="00F14FD2"/>
    <w:rsid w:val="00F15221"/>
    <w:rsid w:val="00F153E6"/>
    <w:rsid w:val="00F15950"/>
    <w:rsid w:val="00F17103"/>
    <w:rsid w:val="00F204BB"/>
    <w:rsid w:val="00F20B83"/>
    <w:rsid w:val="00F22514"/>
    <w:rsid w:val="00F2255F"/>
    <w:rsid w:val="00F22C8B"/>
    <w:rsid w:val="00F36791"/>
    <w:rsid w:val="00F36AA7"/>
    <w:rsid w:val="00F40134"/>
    <w:rsid w:val="00F410D3"/>
    <w:rsid w:val="00F42A45"/>
    <w:rsid w:val="00F43837"/>
    <w:rsid w:val="00F4492F"/>
    <w:rsid w:val="00F4560B"/>
    <w:rsid w:val="00F50FB9"/>
    <w:rsid w:val="00F52164"/>
    <w:rsid w:val="00F53B82"/>
    <w:rsid w:val="00F57B49"/>
    <w:rsid w:val="00F60475"/>
    <w:rsid w:val="00F62CD5"/>
    <w:rsid w:val="00F6347D"/>
    <w:rsid w:val="00F65E78"/>
    <w:rsid w:val="00F65F35"/>
    <w:rsid w:val="00F70794"/>
    <w:rsid w:val="00F716B4"/>
    <w:rsid w:val="00F71D7C"/>
    <w:rsid w:val="00F7208D"/>
    <w:rsid w:val="00F72DBA"/>
    <w:rsid w:val="00F72F26"/>
    <w:rsid w:val="00F73BBE"/>
    <w:rsid w:val="00F74B7F"/>
    <w:rsid w:val="00F77DA9"/>
    <w:rsid w:val="00F81816"/>
    <w:rsid w:val="00F82386"/>
    <w:rsid w:val="00F8694B"/>
    <w:rsid w:val="00F90EA6"/>
    <w:rsid w:val="00F90EC9"/>
    <w:rsid w:val="00F91223"/>
    <w:rsid w:val="00F91722"/>
    <w:rsid w:val="00F92222"/>
    <w:rsid w:val="00F92A61"/>
    <w:rsid w:val="00F954EF"/>
    <w:rsid w:val="00F972AC"/>
    <w:rsid w:val="00F978B5"/>
    <w:rsid w:val="00F97A94"/>
    <w:rsid w:val="00FA19FE"/>
    <w:rsid w:val="00FA2318"/>
    <w:rsid w:val="00FA3D2D"/>
    <w:rsid w:val="00FA5D5D"/>
    <w:rsid w:val="00FA652B"/>
    <w:rsid w:val="00FB039C"/>
    <w:rsid w:val="00FB719C"/>
    <w:rsid w:val="00FC39BC"/>
    <w:rsid w:val="00FC4CEC"/>
    <w:rsid w:val="00FC5A51"/>
    <w:rsid w:val="00FC5E94"/>
    <w:rsid w:val="00FD52E1"/>
    <w:rsid w:val="00FD5740"/>
    <w:rsid w:val="00FD625E"/>
    <w:rsid w:val="00FE050F"/>
    <w:rsid w:val="00FE3248"/>
    <w:rsid w:val="00FE3B66"/>
    <w:rsid w:val="00FE4651"/>
    <w:rsid w:val="00FE6C17"/>
    <w:rsid w:val="00FF2796"/>
    <w:rsid w:val="00FF3101"/>
    <w:rsid w:val="00FF3292"/>
    <w:rsid w:val="00FF5311"/>
    <w:rsid w:val="0219E599"/>
    <w:rsid w:val="04D64E5F"/>
    <w:rsid w:val="08AD0F17"/>
    <w:rsid w:val="08D916ED"/>
    <w:rsid w:val="0963E3A4"/>
    <w:rsid w:val="0C61FE7A"/>
    <w:rsid w:val="0CBC37A0"/>
    <w:rsid w:val="1B4E1552"/>
    <w:rsid w:val="208C13D0"/>
    <w:rsid w:val="22226C19"/>
    <w:rsid w:val="2408CF10"/>
    <w:rsid w:val="2544EC20"/>
    <w:rsid w:val="26F61F4A"/>
    <w:rsid w:val="271572E0"/>
    <w:rsid w:val="287F354F"/>
    <w:rsid w:val="29C45EFB"/>
    <w:rsid w:val="2E0D873D"/>
    <w:rsid w:val="2FB68EAB"/>
    <w:rsid w:val="330E3AA2"/>
    <w:rsid w:val="35274A9E"/>
    <w:rsid w:val="3C95A7F5"/>
    <w:rsid w:val="3D907511"/>
    <w:rsid w:val="409A1CE6"/>
    <w:rsid w:val="42D2ED0A"/>
    <w:rsid w:val="42EC64E3"/>
    <w:rsid w:val="44DBF876"/>
    <w:rsid w:val="48F314BF"/>
    <w:rsid w:val="523CD10A"/>
    <w:rsid w:val="5289534E"/>
    <w:rsid w:val="57DE1BFE"/>
    <w:rsid w:val="58AFFF8F"/>
    <w:rsid w:val="58E2D236"/>
    <w:rsid w:val="5990D140"/>
    <w:rsid w:val="60B182B9"/>
    <w:rsid w:val="64E33517"/>
    <w:rsid w:val="68F4AFD0"/>
    <w:rsid w:val="691E998D"/>
    <w:rsid w:val="6996D8E7"/>
    <w:rsid w:val="745E562C"/>
    <w:rsid w:val="762BC6D2"/>
    <w:rsid w:val="7A194950"/>
    <w:rsid w:val="7C2E0549"/>
    <w:rsid w:val="7FC6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7F1E9"/>
  <w15:chartTrackingRefBased/>
  <w15:docId w15:val="{BE9D455D-582A-426D-999C-73AD0EDE8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0445"/>
  </w:style>
  <w:style w:type="paragraph" w:styleId="Nagwek1">
    <w:name w:val="heading 1"/>
    <w:basedOn w:val="Normalny"/>
    <w:next w:val="Normalny"/>
    <w:uiPriority w:val="9"/>
    <w:qFormat/>
    <w:rsid w:val="002804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2804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2804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2804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2804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2804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uiPriority w:val="9"/>
    <w:semiHidden/>
    <w:unhideWhenUsed/>
    <w:qFormat/>
    <w:rsid w:val="002804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uiPriority w:val="9"/>
    <w:semiHidden/>
    <w:unhideWhenUsed/>
    <w:qFormat/>
    <w:rsid w:val="002804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uiPriority w:val="9"/>
    <w:semiHidden/>
    <w:unhideWhenUsed/>
    <w:qFormat/>
    <w:rsid w:val="002804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uiPriority w:val="99"/>
    <w:unhideWhenUsed/>
    <w:rsid w:val="006A11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1">
    <w:name w:val="Nagłówek Znak1"/>
    <w:basedOn w:val="Domylnaczcionkaakapitu"/>
    <w:link w:val="Nagwek"/>
    <w:uiPriority w:val="99"/>
    <w:rsid w:val="006A11D1"/>
  </w:style>
  <w:style w:type="paragraph" w:styleId="Stopka">
    <w:name w:val="footer"/>
    <w:basedOn w:val="Normalny"/>
    <w:link w:val="StopkaZnak1"/>
    <w:uiPriority w:val="99"/>
    <w:unhideWhenUsed/>
    <w:rsid w:val="006A11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6A11D1"/>
  </w:style>
  <w:style w:type="paragraph" w:styleId="Tytu">
    <w:name w:val="Title"/>
    <w:basedOn w:val="Normalny"/>
    <w:next w:val="Normalny"/>
    <w:link w:val="TytuZnak"/>
    <w:uiPriority w:val="10"/>
    <w:qFormat/>
    <w:rsid w:val="009C0E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230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0E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230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0E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230B9"/>
    <w:rPr>
      <w:i/>
      <w:iCs/>
      <w:color w:val="404040" w:themeColor="text1" w:themeTint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0E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230B9"/>
    <w:rPr>
      <w:i/>
      <w:iCs/>
      <w:color w:val="0F4761" w:themeColor="accent1" w:themeShade="BF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C0E1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230B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C0E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230B9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28044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80445"/>
    <w:rPr>
      <w:i/>
      <w:iCs/>
      <w:color w:val="0F4761" w:themeColor="accent1" w:themeShade="BF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0E1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230B9"/>
    <w:rPr>
      <w:sz w:val="20"/>
      <w:szCs w:val="20"/>
    </w:rPr>
  </w:style>
  <w:style w:type="character" w:styleId="Odwoanieintensywne">
    <w:name w:val="Intense Reference"/>
    <w:basedOn w:val="Domylnaczcionkaakapitu"/>
    <w:uiPriority w:val="32"/>
    <w:qFormat/>
    <w:rsid w:val="00280445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B61"/>
    <w:rPr>
      <w:sz w:val="16"/>
      <w:szCs w:val="16"/>
    </w:rPr>
  </w:style>
  <w:style w:type="paragraph" w:styleId="Poprawka">
    <w:name w:val="Revision"/>
    <w:hidden/>
    <w:uiPriority w:val="99"/>
    <w:semiHidden/>
    <w:rsid w:val="007C7C12"/>
    <w:pPr>
      <w:spacing w:after="0" w:line="240" w:lineRule="auto"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D55FF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D14C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D14CD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C06885"/>
    <w:rPr>
      <w:color w:val="96607D" w:themeColor="followedHyperlink"/>
      <w:u w:val="single"/>
    </w:rPr>
  </w:style>
  <w:style w:type="character" w:customStyle="1" w:styleId="Nagwek1Znak">
    <w:name w:val="Nagłówek 1 Znak"/>
    <w:basedOn w:val="Domylnaczcionkaakapitu"/>
    <w:uiPriority w:val="9"/>
    <w:rsid w:val="002230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2230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2230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2230B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2230B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2230B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uiPriority w:val="9"/>
    <w:semiHidden/>
    <w:rsid w:val="002230B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uiPriority w:val="9"/>
    <w:semiHidden/>
    <w:rsid w:val="002230B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uiPriority w:val="9"/>
    <w:semiHidden/>
    <w:rsid w:val="002230B9"/>
    <w:rPr>
      <w:rFonts w:eastAsiaTheme="majorEastAsia" w:cstheme="majorBidi"/>
      <w:color w:val="272727" w:themeColor="text1" w:themeTint="D8"/>
    </w:rPr>
  </w:style>
  <w:style w:type="character" w:customStyle="1" w:styleId="NagwekZnak">
    <w:name w:val="Nagłówek Znak"/>
    <w:basedOn w:val="Domylnaczcionkaakapitu"/>
    <w:uiPriority w:val="99"/>
    <w:rsid w:val="002230B9"/>
  </w:style>
  <w:style w:type="character" w:customStyle="1" w:styleId="StopkaZnak">
    <w:name w:val="Stopka Znak"/>
    <w:basedOn w:val="Domylnaczcionkaakapitu"/>
    <w:uiPriority w:val="99"/>
    <w:rsid w:val="002230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4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aliorbank.pl/dodatkowe-informacje/informacje/serwis-ekonomiczny/analizy-sektorowe/analizy-sektorowe-2.htm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011db4-53a2-4d1b-82ae-320485071b7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332A36832A0A41A9315B265E6415BB" ma:contentTypeVersion="17" ma:contentTypeDescription="Create a new document." ma:contentTypeScope="" ma:versionID="91c8df9607895fd653398ebe020368fb">
  <xsd:schema xmlns:xsd="http://www.w3.org/2001/XMLSchema" xmlns:xs="http://www.w3.org/2001/XMLSchema" xmlns:p="http://schemas.microsoft.com/office/2006/metadata/properties" xmlns:ns2="8a011db4-53a2-4d1b-82ae-320485071b7a" xmlns:ns3="deeda2bc-8a38-4937-ba20-8ba6d0b056de" targetNamespace="http://schemas.microsoft.com/office/2006/metadata/properties" ma:root="true" ma:fieldsID="a3b8703b2c5254532cb639243518dae0" ns2:_="" ns3:_="">
    <xsd:import namespace="8a011db4-53a2-4d1b-82ae-320485071b7a"/>
    <xsd:import namespace="deeda2bc-8a38-4937-ba20-8ba6d0b056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011db4-53a2-4d1b-82ae-320485071b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452cbc4-2314-4220-9d01-4e90849f7c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eda2bc-8a38-4937-ba20-8ba6d0b05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53D5FB-9455-4752-88E9-DCA713699382}">
  <ds:schemaRefs>
    <ds:schemaRef ds:uri="http://schemas.microsoft.com/office/2006/metadata/properties"/>
    <ds:schemaRef ds:uri="http://schemas.microsoft.com/office/infopath/2007/PartnerControls"/>
    <ds:schemaRef ds:uri="8a011db4-53a2-4d1b-82ae-320485071b7a"/>
  </ds:schemaRefs>
</ds:datastoreItem>
</file>

<file path=customXml/itemProps2.xml><?xml version="1.0" encoding="utf-8"?>
<ds:datastoreItem xmlns:ds="http://schemas.openxmlformats.org/officeDocument/2006/customXml" ds:itemID="{1EA3F1F8-113E-43D6-9A0C-ABC67826A4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011db4-53a2-4d1b-82ae-320485071b7a"/>
    <ds:schemaRef ds:uri="deeda2bc-8a38-4937-ba20-8ba6d0b05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610B20-5A6E-4AF4-96F4-7CA41735DBB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47E540E-6F64-4E28-B091-8EFCAC5F523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feaa520-8769-46b1-ba3f-0459c8682104}" enabled="1" method="Standard" siteId="{5b7e7e76-9aca-4bca-b480-c8468c5ba86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1029</Words>
  <Characters>6180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Kwiecień CCG</dc:creator>
  <cp:keywords/>
  <dc:description/>
  <cp:lastModifiedBy>Aleksandra Kurczewska CCG</cp:lastModifiedBy>
  <cp:revision>4</cp:revision>
  <dcterms:created xsi:type="dcterms:W3CDTF">2026-10-28T15:35:00Z</dcterms:created>
  <dcterms:modified xsi:type="dcterms:W3CDTF">2026-10-29T08:54:00Z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0x01010026332A36832A0A41A9315B265E6415BB</vt:lpwstr>
  </property>
  <property fmtid="{D5CDD505-2E9C-101B-9397-08002B2CF9AE}" pid="3" name="MediaServiceImageTags">
    <vt:lpwstr/>
  </property>
</Properties>
</file>