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270E2" w14:textId="26BB404E" w:rsidR="00147B0D" w:rsidRDefault="00E1288F" w:rsidP="00147B0D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Dostępność</w:t>
      </w:r>
      <w:r w:rsidR="00147B0D" w:rsidRPr="00147B0D">
        <w:rPr>
          <w:b/>
          <w:bCs/>
          <w:sz w:val="20"/>
          <w:szCs w:val="20"/>
        </w:rPr>
        <w:t xml:space="preserve"> biur w Centrum</w:t>
      </w:r>
      <w:r w:rsidR="00147B0D">
        <w:rPr>
          <w:b/>
          <w:bCs/>
          <w:sz w:val="20"/>
          <w:szCs w:val="20"/>
        </w:rPr>
        <w:t xml:space="preserve"> Warszawy</w:t>
      </w:r>
      <w:r w:rsidR="00147B0D" w:rsidRPr="00147B0D">
        <w:rPr>
          <w:b/>
          <w:bCs/>
          <w:sz w:val="20"/>
          <w:szCs w:val="20"/>
        </w:rPr>
        <w:t xml:space="preserve"> najmniej</w:t>
      </w:r>
      <w:r>
        <w:rPr>
          <w:b/>
          <w:bCs/>
          <w:sz w:val="20"/>
          <w:szCs w:val="20"/>
        </w:rPr>
        <w:t>sza</w:t>
      </w:r>
      <w:r w:rsidR="00147B0D" w:rsidRPr="00147B0D">
        <w:rPr>
          <w:b/>
          <w:bCs/>
          <w:sz w:val="20"/>
          <w:szCs w:val="20"/>
        </w:rPr>
        <w:t xml:space="preserve"> od 2008 roku, a rynek może zamknąć rok wynikiem </w:t>
      </w:r>
      <w:r w:rsidR="00147B0D">
        <w:rPr>
          <w:b/>
          <w:bCs/>
          <w:sz w:val="20"/>
          <w:szCs w:val="20"/>
        </w:rPr>
        <w:t xml:space="preserve">najmu </w:t>
      </w:r>
      <w:r w:rsidR="00147B0D" w:rsidRPr="00147B0D">
        <w:rPr>
          <w:b/>
          <w:bCs/>
          <w:sz w:val="20"/>
          <w:szCs w:val="20"/>
        </w:rPr>
        <w:t>blisko 800 tys. mkw.</w:t>
      </w:r>
    </w:p>
    <w:p w14:paraId="020634A6" w14:textId="328D42BF" w:rsidR="007006B4" w:rsidRDefault="007006B4" w:rsidP="007037B7">
      <w:pPr>
        <w:spacing w:line="240" w:lineRule="auto"/>
        <w:jc w:val="both"/>
        <w:rPr>
          <w:b/>
          <w:bCs/>
          <w:sz w:val="20"/>
          <w:szCs w:val="20"/>
        </w:rPr>
      </w:pPr>
      <w:r w:rsidRPr="007006B4">
        <w:rPr>
          <w:b/>
          <w:bCs/>
          <w:sz w:val="20"/>
          <w:szCs w:val="20"/>
        </w:rPr>
        <w:t xml:space="preserve">Jak wskazuje międzynarodowa firma doradcza Cushman &amp; Wakefield, wskaźnik pustostanów w centralnych strefach Warszawy spadł na koniec września 2026 roku do 4,3%. Tak niski poziom ostatnio odnotowano w 2008 roku, gdy rynek biurowy w Centrum był o ponad połowę mniejszy niż dziś. Po trzech kwartałach najemcy wynajęli w stolicy blisko 592 tys. mkw., a ostatni kwartał roku, tradycyjnie najaktywniejszy, daje realną szansę na roczny wolumen zbliżony do 800 tys. mkw. Jednocześnie od początku roku </w:t>
      </w:r>
      <w:r w:rsidR="00F172EB">
        <w:rPr>
          <w:b/>
          <w:bCs/>
          <w:sz w:val="20"/>
          <w:szCs w:val="20"/>
        </w:rPr>
        <w:t xml:space="preserve">częściowo </w:t>
      </w:r>
      <w:r w:rsidRPr="007006B4">
        <w:rPr>
          <w:b/>
          <w:bCs/>
          <w:sz w:val="20"/>
          <w:szCs w:val="20"/>
        </w:rPr>
        <w:t>wzrósł wolumen powierzchni w budowie, choć nowej podaży wciąż będzie niewiele.</w:t>
      </w:r>
    </w:p>
    <w:p w14:paraId="3AD64099" w14:textId="454C00DF" w:rsidR="008A3FD1" w:rsidRPr="00EA347E" w:rsidRDefault="008A3FD1" w:rsidP="007037B7">
      <w:pPr>
        <w:spacing w:line="240" w:lineRule="auto"/>
        <w:jc w:val="both"/>
        <w:rPr>
          <w:b/>
          <w:bCs/>
          <w:sz w:val="20"/>
          <w:szCs w:val="20"/>
        </w:rPr>
      </w:pPr>
      <w:r w:rsidRPr="00EA347E">
        <w:rPr>
          <w:b/>
          <w:bCs/>
          <w:sz w:val="20"/>
          <w:szCs w:val="20"/>
        </w:rPr>
        <w:t xml:space="preserve">PODAŻ: </w:t>
      </w:r>
      <w:r w:rsidR="00AC15C2">
        <w:rPr>
          <w:b/>
          <w:bCs/>
          <w:sz w:val="20"/>
          <w:szCs w:val="20"/>
        </w:rPr>
        <w:t xml:space="preserve">delikatny wzrost powierzchni </w:t>
      </w:r>
      <w:r w:rsidR="007006B4" w:rsidRPr="007006B4">
        <w:rPr>
          <w:b/>
          <w:bCs/>
          <w:sz w:val="20"/>
          <w:szCs w:val="20"/>
        </w:rPr>
        <w:t>w budowie</w:t>
      </w:r>
    </w:p>
    <w:p w14:paraId="11BFA96C" w14:textId="2E62097A" w:rsidR="007006B4" w:rsidRPr="007006B4" w:rsidRDefault="007006B4" w:rsidP="007037B7">
      <w:pPr>
        <w:spacing w:line="240" w:lineRule="auto"/>
        <w:jc w:val="both"/>
        <w:rPr>
          <w:sz w:val="20"/>
          <w:szCs w:val="20"/>
        </w:rPr>
      </w:pPr>
      <w:r w:rsidRPr="007006B4">
        <w:rPr>
          <w:sz w:val="20"/>
          <w:szCs w:val="20"/>
        </w:rPr>
        <w:t xml:space="preserve">Na koniec </w:t>
      </w:r>
      <w:r w:rsidR="00B3057C">
        <w:rPr>
          <w:sz w:val="20"/>
          <w:szCs w:val="20"/>
        </w:rPr>
        <w:t>trzeciego</w:t>
      </w:r>
      <w:r w:rsidRPr="007006B4">
        <w:rPr>
          <w:sz w:val="20"/>
          <w:szCs w:val="20"/>
        </w:rPr>
        <w:t xml:space="preserve"> kwartału 2026 roku całkowite zasoby nowoczesnej powierzchni biurowej w Warszawie wyniosły 6,23 mln mkw. Od początku roku do użytku oddano cztery budynki biurowe o łącznej powierzchni blisko 45 200 mkw.: nowo wybudowane Studio A (24 000 mkw. – Skanska) oraz Vena (15 400 mkw. – PHN), a także budynki po renowacji – Przemysłowa 26a (3 500 mkw.) i Przemysłowa 26 (2 350 mkw.), oba należące do Powiśle Nieruchomości. W okresie lipiec</w:t>
      </w:r>
      <w:r w:rsidR="00E377EE">
        <w:rPr>
          <w:sz w:val="20"/>
          <w:szCs w:val="20"/>
        </w:rPr>
        <w:t>-</w:t>
      </w:r>
      <w:r w:rsidRPr="007006B4">
        <w:rPr>
          <w:sz w:val="20"/>
          <w:szCs w:val="20"/>
        </w:rPr>
        <w:t>wrzesień nie ukończono żadnego biurowca.</w:t>
      </w:r>
    </w:p>
    <w:p w14:paraId="00D34445" w14:textId="76F7088E" w:rsidR="007006B4" w:rsidRPr="007006B4" w:rsidRDefault="007006B4" w:rsidP="007037B7">
      <w:pPr>
        <w:spacing w:line="240" w:lineRule="auto"/>
        <w:jc w:val="both"/>
        <w:rPr>
          <w:sz w:val="20"/>
          <w:szCs w:val="20"/>
        </w:rPr>
      </w:pPr>
      <w:r w:rsidRPr="007006B4">
        <w:rPr>
          <w:sz w:val="20"/>
          <w:szCs w:val="20"/>
        </w:rPr>
        <w:t xml:space="preserve">Na koniec września w budowie </w:t>
      </w:r>
      <w:r w:rsidR="00E377EE">
        <w:rPr>
          <w:sz w:val="20"/>
          <w:szCs w:val="20"/>
        </w:rPr>
        <w:t>znajdowało się</w:t>
      </w:r>
      <w:r w:rsidRPr="007006B4">
        <w:rPr>
          <w:sz w:val="20"/>
          <w:szCs w:val="20"/>
        </w:rPr>
        <w:t xml:space="preserve"> ok. 163 000 mkw. powierzchni biurowej. To wciąż niski poziom, ale wyższy niż na początku roku, gdy w realizacji było ok. 120 tys. mkw. Wzrost to przede wszystkim efekt rozpoczęcia budowy Drucianka</w:t>
      </w:r>
      <w:r w:rsidR="00B24EF6">
        <w:rPr>
          <w:sz w:val="20"/>
          <w:szCs w:val="20"/>
        </w:rPr>
        <w:t xml:space="preserve"> Campus</w:t>
      </w:r>
      <w:r w:rsidRPr="007006B4">
        <w:rPr>
          <w:sz w:val="20"/>
          <w:szCs w:val="20"/>
        </w:rPr>
        <w:t xml:space="preserve"> (30 000 mkw. – Liebrecht &amp; wooD) na warszawskiej Pradze.</w:t>
      </w:r>
    </w:p>
    <w:p w14:paraId="43EEA8BD" w14:textId="0560A47C" w:rsidR="007006B4" w:rsidRPr="007006B4" w:rsidRDefault="007006B4" w:rsidP="007037B7">
      <w:pPr>
        <w:spacing w:line="240" w:lineRule="auto"/>
        <w:jc w:val="both"/>
        <w:rPr>
          <w:sz w:val="20"/>
          <w:szCs w:val="20"/>
        </w:rPr>
      </w:pPr>
      <w:r w:rsidRPr="007006B4">
        <w:rPr>
          <w:sz w:val="20"/>
          <w:szCs w:val="20"/>
        </w:rPr>
        <w:t>– </w:t>
      </w:r>
      <w:r>
        <w:rPr>
          <w:i/>
          <w:iCs/>
          <w:sz w:val="20"/>
          <w:szCs w:val="20"/>
        </w:rPr>
        <w:t>Lekki wzrost liczby mkw. biur w budowie</w:t>
      </w:r>
      <w:r w:rsidRPr="007006B4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n</w:t>
      </w:r>
      <w:r w:rsidRPr="007006B4">
        <w:rPr>
          <w:i/>
          <w:iCs/>
          <w:sz w:val="20"/>
          <w:szCs w:val="20"/>
        </w:rPr>
        <w:t>ie zmienia obrazu rynku</w:t>
      </w:r>
      <w:r>
        <w:rPr>
          <w:i/>
          <w:iCs/>
          <w:sz w:val="20"/>
          <w:szCs w:val="20"/>
        </w:rPr>
        <w:t>. N</w:t>
      </w:r>
      <w:r w:rsidRPr="007006B4">
        <w:rPr>
          <w:i/>
          <w:iCs/>
          <w:sz w:val="20"/>
          <w:szCs w:val="20"/>
        </w:rPr>
        <w:t>owej podaży w najbliższych latach będzie niewiele, a najemcy planujący przeprowadzkę do nowego budynku w 2027 czy 2028 roku już dziś muszą liczyć się z ograniczonym wyborem</w:t>
      </w:r>
      <w:r w:rsidRPr="007006B4">
        <w:rPr>
          <w:sz w:val="20"/>
          <w:szCs w:val="20"/>
        </w:rPr>
        <w:t> – komentuje </w:t>
      </w:r>
      <w:r w:rsidR="00B3057C" w:rsidRPr="00B3057C">
        <w:rPr>
          <w:b/>
          <w:bCs/>
          <w:sz w:val="20"/>
          <w:szCs w:val="20"/>
        </w:rPr>
        <w:t>Ewa Derlatka-</w:t>
      </w:r>
      <w:proofErr w:type="spellStart"/>
      <w:r w:rsidR="00B3057C" w:rsidRPr="00B3057C">
        <w:rPr>
          <w:b/>
          <w:bCs/>
          <w:sz w:val="20"/>
          <w:szCs w:val="20"/>
        </w:rPr>
        <w:t>Chilewicz</w:t>
      </w:r>
      <w:proofErr w:type="spellEnd"/>
      <w:r w:rsidR="00B3057C" w:rsidRPr="00B3057C">
        <w:rPr>
          <w:b/>
          <w:bCs/>
          <w:sz w:val="20"/>
          <w:szCs w:val="20"/>
        </w:rPr>
        <w:t xml:space="preserve">, </w:t>
      </w:r>
      <w:proofErr w:type="spellStart"/>
      <w:r w:rsidR="00B3057C" w:rsidRPr="00B3057C">
        <w:rPr>
          <w:b/>
          <w:bCs/>
          <w:sz w:val="20"/>
          <w:szCs w:val="20"/>
        </w:rPr>
        <w:t>Head</w:t>
      </w:r>
      <w:proofErr w:type="spellEnd"/>
      <w:r w:rsidR="00B3057C" w:rsidRPr="00B3057C">
        <w:rPr>
          <w:b/>
          <w:bCs/>
          <w:sz w:val="20"/>
          <w:szCs w:val="20"/>
        </w:rPr>
        <w:t xml:space="preserve"> of </w:t>
      </w:r>
      <w:proofErr w:type="spellStart"/>
      <w:r w:rsidR="00B3057C" w:rsidRPr="00B3057C">
        <w:rPr>
          <w:b/>
          <w:bCs/>
          <w:sz w:val="20"/>
          <w:szCs w:val="20"/>
        </w:rPr>
        <w:t>Research</w:t>
      </w:r>
      <w:proofErr w:type="spellEnd"/>
      <w:r w:rsidR="00B3057C" w:rsidRPr="00B3057C">
        <w:rPr>
          <w:b/>
          <w:bCs/>
          <w:sz w:val="20"/>
          <w:szCs w:val="20"/>
        </w:rPr>
        <w:t xml:space="preserve"> Poland</w:t>
      </w:r>
      <w:r w:rsidR="00B3057C" w:rsidRPr="00B3057C">
        <w:rPr>
          <w:sz w:val="20"/>
          <w:szCs w:val="20"/>
        </w:rPr>
        <w:t xml:space="preserve">, </w:t>
      </w:r>
      <w:r w:rsidR="00B3057C" w:rsidRPr="00B3057C">
        <w:rPr>
          <w:b/>
          <w:bCs/>
          <w:sz w:val="20"/>
          <w:szCs w:val="20"/>
        </w:rPr>
        <w:t>Cushman &amp; Wakefield</w:t>
      </w:r>
      <w:r w:rsidRPr="007006B4">
        <w:rPr>
          <w:b/>
          <w:bCs/>
          <w:sz w:val="20"/>
          <w:szCs w:val="20"/>
        </w:rPr>
        <w:t>.</w:t>
      </w:r>
    </w:p>
    <w:p w14:paraId="35CC31CE" w14:textId="77777777" w:rsidR="007006B4" w:rsidRPr="007006B4" w:rsidRDefault="007006B4" w:rsidP="007037B7">
      <w:pPr>
        <w:spacing w:line="240" w:lineRule="auto"/>
        <w:jc w:val="both"/>
        <w:rPr>
          <w:sz w:val="20"/>
          <w:szCs w:val="20"/>
        </w:rPr>
      </w:pPr>
      <w:r w:rsidRPr="007006B4">
        <w:rPr>
          <w:sz w:val="20"/>
          <w:szCs w:val="20"/>
        </w:rPr>
        <w:t xml:space="preserve">Wśród największych inwestycji realizowanych obecnie w Warszawie znajdują się m.in. wieża biurowa Skyliner II (Karimpol), flagowy projekt Upper One (Strabag Real Estate) oraz biurowiec Afi Tower (AFI / Echo Investment). Od początku 2026 roku trwa także rozbiórka starszego biurowca Prosta 69, w </w:t>
      </w:r>
      <w:proofErr w:type="gramStart"/>
      <w:r w:rsidRPr="007006B4">
        <w:rPr>
          <w:sz w:val="20"/>
          <w:szCs w:val="20"/>
        </w:rPr>
        <w:t>miejscu</w:t>
      </w:r>
      <w:proofErr w:type="gramEnd"/>
      <w:r w:rsidRPr="007006B4">
        <w:rPr>
          <w:sz w:val="20"/>
          <w:szCs w:val="20"/>
        </w:rPr>
        <w:t xml:space="preserve"> którego powstanie nowy projekt LightOn.</w:t>
      </w:r>
    </w:p>
    <w:p w14:paraId="2FC600A6" w14:textId="15D62602" w:rsidR="008A3FD1" w:rsidRPr="008A3FD1" w:rsidRDefault="008A3FD1" w:rsidP="007037B7">
      <w:pPr>
        <w:spacing w:line="240" w:lineRule="auto"/>
        <w:jc w:val="both"/>
        <w:rPr>
          <w:b/>
          <w:bCs/>
          <w:sz w:val="20"/>
          <w:szCs w:val="20"/>
        </w:rPr>
      </w:pPr>
      <w:r w:rsidRPr="008A3FD1">
        <w:rPr>
          <w:b/>
          <w:bCs/>
          <w:sz w:val="20"/>
          <w:szCs w:val="20"/>
        </w:rPr>
        <w:t xml:space="preserve">POPYT: </w:t>
      </w:r>
      <w:r w:rsidR="00B3057C">
        <w:rPr>
          <w:b/>
          <w:bCs/>
          <w:sz w:val="20"/>
          <w:szCs w:val="20"/>
        </w:rPr>
        <w:t>rok może zamknąć się na poziomie 800 tys. mkw.</w:t>
      </w:r>
    </w:p>
    <w:p w14:paraId="78FF1AA4" w14:textId="79EB3C47" w:rsidR="00B3057C" w:rsidRPr="00B3057C" w:rsidRDefault="00B3057C" w:rsidP="007037B7">
      <w:pPr>
        <w:spacing w:line="240" w:lineRule="auto"/>
        <w:jc w:val="both"/>
        <w:rPr>
          <w:sz w:val="20"/>
          <w:szCs w:val="20"/>
        </w:rPr>
      </w:pPr>
      <w:r w:rsidRPr="00B3057C">
        <w:rPr>
          <w:sz w:val="20"/>
          <w:szCs w:val="20"/>
        </w:rPr>
        <w:t xml:space="preserve">Popyt na powierzchnie biurowe w Warszawie w </w:t>
      </w:r>
      <w:r>
        <w:rPr>
          <w:sz w:val="20"/>
          <w:szCs w:val="20"/>
        </w:rPr>
        <w:t>trzecim</w:t>
      </w:r>
      <w:r w:rsidRPr="00B3057C">
        <w:rPr>
          <w:sz w:val="20"/>
          <w:szCs w:val="20"/>
        </w:rPr>
        <w:t xml:space="preserve"> kwartale 2026 roku wyniósł 175 350 mkw., czyli o 7,5% mniej niż średnia kwartalna z ostatnich pięciu lat. Bardzo wysoka aktywność najemców w drugim kwartale sprawiła jednak, że łączny wolumen najmu w okresie styczeń</w:t>
      </w:r>
      <w:r>
        <w:rPr>
          <w:sz w:val="20"/>
          <w:szCs w:val="20"/>
        </w:rPr>
        <w:t>-</w:t>
      </w:r>
      <w:r w:rsidRPr="00B3057C">
        <w:rPr>
          <w:sz w:val="20"/>
          <w:szCs w:val="20"/>
        </w:rPr>
        <w:t>wrzesień 2026 roku osiągnął 591 900 mkw., o 22% więcej niż przed rokiem.</w:t>
      </w:r>
    </w:p>
    <w:p w14:paraId="284C5F55" w14:textId="77777777" w:rsidR="00D90EAA" w:rsidRDefault="00D90EAA" w:rsidP="007037B7">
      <w:pPr>
        <w:spacing w:line="240" w:lineRule="auto"/>
        <w:jc w:val="both"/>
        <w:rPr>
          <w:sz w:val="20"/>
          <w:szCs w:val="20"/>
        </w:rPr>
      </w:pPr>
      <w:r w:rsidRPr="00D90EAA">
        <w:rPr>
          <w:sz w:val="20"/>
          <w:szCs w:val="20"/>
        </w:rPr>
        <w:t>W strukturze transakcji zawartych w trzecim kwartale przeważały nowe umowy, które odpowiadały za 56,5% wolumenu. Renegocjacje stanowiły 33%, ekspansje 8%, a powierzchnie zajęte przez właściciela 2,5%. Choć udział renegocjacji w całkowitym wolumenie nie należał do najwyższych, to aż 90% z nich dotyczyło transakcji powyżej 1 000 mkw.</w:t>
      </w:r>
    </w:p>
    <w:p w14:paraId="4649309D" w14:textId="6C32FF01" w:rsidR="00B3057C" w:rsidRPr="00B3057C" w:rsidRDefault="002356DA" w:rsidP="007037B7">
      <w:pPr>
        <w:spacing w:line="240" w:lineRule="auto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 xml:space="preserve">Poza kilkoma wyjątkami, najwięksi </w:t>
      </w:r>
      <w:r w:rsidR="00B3057C" w:rsidRPr="00B3057C">
        <w:rPr>
          <w:i/>
          <w:iCs/>
          <w:sz w:val="20"/>
          <w:szCs w:val="20"/>
        </w:rPr>
        <w:t xml:space="preserve">najemcy </w:t>
      </w:r>
      <w:r>
        <w:rPr>
          <w:i/>
          <w:iCs/>
          <w:sz w:val="20"/>
          <w:szCs w:val="20"/>
        </w:rPr>
        <w:t xml:space="preserve">w dalszym ciągu </w:t>
      </w:r>
      <w:r w:rsidR="00B3057C" w:rsidRPr="00B3057C">
        <w:rPr>
          <w:i/>
          <w:iCs/>
          <w:sz w:val="20"/>
          <w:szCs w:val="20"/>
        </w:rPr>
        <w:t xml:space="preserve">zostają w dotychczasowych biurach i renegocjują umowy. To w dużej mierze efekt rynku, na którym w centralnych lokalizacjach praktycznie nie ma </w:t>
      </w:r>
      <w:r w:rsidR="00B3057C">
        <w:rPr>
          <w:i/>
          <w:iCs/>
          <w:sz w:val="20"/>
          <w:szCs w:val="20"/>
        </w:rPr>
        <w:t>znaczących</w:t>
      </w:r>
      <w:r w:rsidR="00B3057C" w:rsidRPr="00B3057C">
        <w:rPr>
          <w:i/>
          <w:iCs/>
          <w:sz w:val="20"/>
          <w:szCs w:val="20"/>
        </w:rPr>
        <w:t xml:space="preserve"> wolnych powierzchni od zaraz, a nowych projektów jest niewiele. Firmy, które myślą o przeprowadzce w perspektywie dwóch, trzech lat, coraz częściej decydują się na przednajem w budynkach dopiero powstających, czego przykładem są największe umowy tego kwartału</w:t>
      </w:r>
      <w:r w:rsidR="00B3057C" w:rsidRPr="00B3057C">
        <w:rPr>
          <w:sz w:val="20"/>
          <w:szCs w:val="20"/>
        </w:rPr>
        <w:t> – zauważa </w:t>
      </w:r>
      <w:r w:rsidR="00B3057C" w:rsidRPr="007006B4">
        <w:rPr>
          <w:b/>
          <w:bCs/>
          <w:sz w:val="20"/>
          <w:szCs w:val="20"/>
        </w:rPr>
        <w:t>Michał Galimski, Head of Office Sector, Cushman &amp; Wakefield</w:t>
      </w:r>
      <w:r w:rsidR="00B3057C" w:rsidRPr="00B3057C">
        <w:rPr>
          <w:b/>
          <w:bCs/>
          <w:sz w:val="20"/>
          <w:szCs w:val="20"/>
        </w:rPr>
        <w:t>.</w:t>
      </w:r>
    </w:p>
    <w:p w14:paraId="00DAC8C9" w14:textId="282ABB95" w:rsidR="00B3057C" w:rsidRPr="00B3057C" w:rsidRDefault="00B3057C" w:rsidP="007037B7">
      <w:pPr>
        <w:spacing w:line="240" w:lineRule="auto"/>
        <w:jc w:val="both"/>
        <w:rPr>
          <w:sz w:val="20"/>
          <w:szCs w:val="20"/>
        </w:rPr>
      </w:pPr>
      <w:r w:rsidRPr="00B3057C">
        <w:rPr>
          <w:sz w:val="20"/>
          <w:szCs w:val="20"/>
        </w:rPr>
        <w:t xml:space="preserve">Do największych transakcji zawartych w </w:t>
      </w:r>
      <w:r>
        <w:rPr>
          <w:sz w:val="20"/>
          <w:szCs w:val="20"/>
        </w:rPr>
        <w:t>trzecim</w:t>
      </w:r>
      <w:r w:rsidRPr="00B3057C">
        <w:rPr>
          <w:sz w:val="20"/>
          <w:szCs w:val="20"/>
        </w:rPr>
        <w:t xml:space="preserve"> kwartale 2026 roku należały przednajem firmy PwC w budynku Afi Tower (20 000 mkw.) oraz przednajem firmy eService w kompleksie Drucianka (7 500 mkw.)</w:t>
      </w:r>
      <w:r w:rsidR="00B0477E">
        <w:rPr>
          <w:sz w:val="20"/>
          <w:szCs w:val="20"/>
        </w:rPr>
        <w:t xml:space="preserve"> a także renegocjacja</w:t>
      </w:r>
      <w:r w:rsidR="000966BA">
        <w:rPr>
          <w:sz w:val="20"/>
          <w:szCs w:val="20"/>
        </w:rPr>
        <w:t xml:space="preserve"> firmy </w:t>
      </w:r>
      <w:r w:rsidR="004216E3">
        <w:rPr>
          <w:sz w:val="20"/>
          <w:szCs w:val="20"/>
        </w:rPr>
        <w:t xml:space="preserve">z sektora </w:t>
      </w:r>
      <w:r w:rsidR="00030CEB">
        <w:rPr>
          <w:sz w:val="20"/>
          <w:szCs w:val="20"/>
        </w:rPr>
        <w:t>farmaceutycznego</w:t>
      </w:r>
      <w:r w:rsidR="000966BA">
        <w:rPr>
          <w:sz w:val="20"/>
          <w:szCs w:val="20"/>
        </w:rPr>
        <w:t xml:space="preserve"> w biurowcu Warsaw Trade Tower (4 950 mkw.)</w:t>
      </w:r>
      <w:r w:rsidRPr="00B3057C">
        <w:rPr>
          <w:sz w:val="20"/>
          <w:szCs w:val="20"/>
        </w:rPr>
        <w:t>. Strefy centralne odpowiadały za ok. 58% wolumenu najmu w mieście, a spośród lokalizacji niecentralnych najwięcej powierzchni wynajęto na Służewcu oraz w korytarzu Al. Jerozolimskich.</w:t>
      </w:r>
    </w:p>
    <w:p w14:paraId="64558103" w14:textId="4D972725" w:rsidR="00B3057C" w:rsidRPr="00B3057C" w:rsidRDefault="00B3057C" w:rsidP="007037B7">
      <w:pPr>
        <w:spacing w:line="240" w:lineRule="auto"/>
        <w:jc w:val="both"/>
        <w:rPr>
          <w:sz w:val="20"/>
          <w:szCs w:val="20"/>
        </w:rPr>
      </w:pPr>
      <w:r w:rsidRPr="00B3057C">
        <w:rPr>
          <w:sz w:val="20"/>
          <w:szCs w:val="20"/>
        </w:rPr>
        <w:t>– </w:t>
      </w:r>
      <w:r w:rsidRPr="00B3057C">
        <w:rPr>
          <w:i/>
          <w:iCs/>
          <w:sz w:val="20"/>
          <w:szCs w:val="20"/>
        </w:rPr>
        <w:t xml:space="preserve">Trzeci kwartał nie był rekordowy, ale nie zmienia to bardzo dobrego obrazu całego roku. Ostatni kwartał tradycyjnie sprzyja finalizowaniu rozmów prowadzonych od wiosny: w ostatnich pięciu latach średni wolumen najmu w IV kwartale przekraczał 262 tys. mkw. W tym roku część aktywności przesunęła się wprawdzie na drugi kwartał, ale wciąż widzimy realną szansę na zamknięcie roku z </w:t>
      </w:r>
      <w:r w:rsidR="0054604B">
        <w:rPr>
          <w:i/>
          <w:iCs/>
          <w:sz w:val="20"/>
          <w:szCs w:val="20"/>
        </w:rPr>
        <w:t>dobrym wynikiem</w:t>
      </w:r>
      <w:r w:rsidRPr="00B3057C">
        <w:rPr>
          <w:i/>
          <w:iCs/>
          <w:sz w:val="20"/>
          <w:szCs w:val="20"/>
        </w:rPr>
        <w:t>.</w:t>
      </w:r>
      <w:r w:rsidR="006C33CC">
        <w:rPr>
          <w:i/>
          <w:iCs/>
          <w:sz w:val="20"/>
          <w:szCs w:val="20"/>
        </w:rPr>
        <w:t xml:space="preserve"> </w:t>
      </w:r>
      <w:r w:rsidRPr="00B3057C">
        <w:rPr>
          <w:sz w:val="20"/>
          <w:szCs w:val="20"/>
        </w:rPr>
        <w:t xml:space="preserve">– </w:t>
      </w:r>
      <w:r>
        <w:rPr>
          <w:sz w:val="20"/>
          <w:szCs w:val="20"/>
        </w:rPr>
        <w:t>dodaje</w:t>
      </w:r>
      <w:r w:rsidRPr="00B3057C">
        <w:rPr>
          <w:sz w:val="20"/>
          <w:szCs w:val="20"/>
        </w:rPr>
        <w:t> </w:t>
      </w:r>
      <w:r w:rsidRPr="00B3057C">
        <w:rPr>
          <w:b/>
          <w:bCs/>
          <w:sz w:val="20"/>
          <w:szCs w:val="20"/>
        </w:rPr>
        <w:t>Michał Galimski.</w:t>
      </w:r>
    </w:p>
    <w:p w14:paraId="410799F9" w14:textId="0ABD4494" w:rsidR="008A3FD1" w:rsidRPr="008A3FD1" w:rsidRDefault="00C125E8" w:rsidP="007037B7">
      <w:pPr>
        <w:spacing w:line="240" w:lineRule="auto"/>
        <w:jc w:val="both"/>
        <w:rPr>
          <w:b/>
          <w:bCs/>
          <w:sz w:val="20"/>
          <w:szCs w:val="20"/>
        </w:rPr>
      </w:pPr>
      <w:r w:rsidRPr="00E451D9">
        <w:rPr>
          <w:b/>
          <w:bCs/>
          <w:sz w:val="20"/>
          <w:szCs w:val="20"/>
        </w:rPr>
        <w:t>PUSTOSTANY I CZYNSZE</w:t>
      </w:r>
      <w:r w:rsidR="008A3FD1" w:rsidRPr="00E451D9">
        <w:rPr>
          <w:b/>
          <w:bCs/>
          <w:sz w:val="20"/>
          <w:szCs w:val="20"/>
        </w:rPr>
        <w:t xml:space="preserve">: </w:t>
      </w:r>
      <w:r w:rsidR="007037B7" w:rsidRPr="007037B7">
        <w:rPr>
          <w:b/>
          <w:bCs/>
          <w:sz w:val="20"/>
          <w:szCs w:val="20"/>
        </w:rPr>
        <w:t>wakat w Centrum najniższy od 2008 roku, czynsze w najlepszych budynkach dalej w górę</w:t>
      </w:r>
    </w:p>
    <w:p w14:paraId="12798E59" w14:textId="77777777" w:rsidR="007037B7" w:rsidRPr="007037B7" w:rsidRDefault="007037B7" w:rsidP="007037B7">
      <w:pPr>
        <w:jc w:val="both"/>
        <w:rPr>
          <w:sz w:val="20"/>
          <w:szCs w:val="20"/>
        </w:rPr>
      </w:pPr>
      <w:r w:rsidRPr="007037B7">
        <w:rPr>
          <w:sz w:val="20"/>
          <w:szCs w:val="20"/>
        </w:rPr>
        <w:t>Na koniec września 2026 roku wskaźnik powierzchni niewynajętej w Warszawie wyniósł 7,9%, co oznacza spadek o 0,6 pp. w ujęciu kwartalnym i o 1,8 pp. w ujęciu rocznym.</w:t>
      </w:r>
    </w:p>
    <w:p w14:paraId="5C56AC3F" w14:textId="080D2695" w:rsidR="007037B7" w:rsidRPr="007037B7" w:rsidRDefault="007037B7" w:rsidP="007037B7">
      <w:pPr>
        <w:jc w:val="both"/>
        <w:rPr>
          <w:sz w:val="20"/>
          <w:szCs w:val="20"/>
        </w:rPr>
      </w:pPr>
      <w:r w:rsidRPr="007037B7">
        <w:rPr>
          <w:sz w:val="20"/>
          <w:szCs w:val="20"/>
        </w:rPr>
        <w:t>Dostępność powierzchni jest nadal mocno zróżnicowana lokalizacyjnie. W strefach centralnych wskaźnik pustostanów obniżył się do 4,3%. Poprzednio tak niski poziom odnotowano w 2008 roku, gdy rynek biurowy w Centrum był o ponad połowę mniejszy niż obecnie. Poza centrum wakat również maleje, choć wolniej. Na koniec września wyniósł 11,1%, czyli o 0,7 pp. mniej niż kwartał wcześniej i o 1,0 pp. mniej niż przed rokiem. Obecny trend spadkowy nastąpił po osiągnięciu lokalnego maksimum na poziomie 13,3% w II kwartale 2025 roku. Przy ograniczonej nowej podaży planowanej na lata 2026</w:t>
      </w:r>
      <w:r>
        <w:rPr>
          <w:sz w:val="20"/>
          <w:szCs w:val="20"/>
        </w:rPr>
        <w:t>-</w:t>
      </w:r>
      <w:r w:rsidRPr="007037B7">
        <w:rPr>
          <w:sz w:val="20"/>
          <w:szCs w:val="20"/>
        </w:rPr>
        <w:t>2028 wskaźnik pustostanów ma potencjał do dalszego spadku.</w:t>
      </w:r>
    </w:p>
    <w:p w14:paraId="041AC468" w14:textId="6ED4F16C" w:rsidR="007037B7" w:rsidRPr="007037B7" w:rsidRDefault="007037B7" w:rsidP="007037B7">
      <w:pPr>
        <w:jc w:val="both"/>
        <w:rPr>
          <w:sz w:val="20"/>
          <w:szCs w:val="20"/>
        </w:rPr>
      </w:pPr>
      <w:r w:rsidRPr="007037B7">
        <w:rPr>
          <w:sz w:val="20"/>
          <w:szCs w:val="20"/>
        </w:rPr>
        <w:t>– </w:t>
      </w:r>
      <w:r w:rsidRPr="007037B7">
        <w:rPr>
          <w:i/>
          <w:iCs/>
          <w:sz w:val="20"/>
          <w:szCs w:val="20"/>
        </w:rPr>
        <w:t>Kurcząca się dostępność biur w Centrum najprawdopodobniej nadal będzie podbijać czynsze w tej części miasta. To z kolei otwiera szansę dla dwóch grup budynków: starszych biurowców w dobrych, centralnych</w:t>
      </w:r>
      <w:r w:rsidR="007F6C67">
        <w:rPr>
          <w:i/>
          <w:iCs/>
          <w:sz w:val="20"/>
          <w:szCs w:val="20"/>
        </w:rPr>
        <w:t xml:space="preserve"> oraz </w:t>
      </w:r>
      <w:proofErr w:type="spellStart"/>
      <w:r w:rsidR="007F6C67">
        <w:rPr>
          <w:i/>
          <w:iCs/>
          <w:sz w:val="20"/>
          <w:szCs w:val="20"/>
        </w:rPr>
        <w:t>przycentralnych</w:t>
      </w:r>
      <w:proofErr w:type="spellEnd"/>
      <w:r w:rsidRPr="007037B7">
        <w:rPr>
          <w:i/>
          <w:iCs/>
          <w:sz w:val="20"/>
          <w:szCs w:val="20"/>
        </w:rPr>
        <w:t xml:space="preserve"> lokalizacjach oraz wybranych obiektów poza centrum, które mogą przyciągnąć najemców szukających alternatywy. Dla właścicieli starszych budynków to dobry moment na modernizację, która pozwoli wykorzystać korzystną koniunkturę i skuteczniej walczyć zarówno o utrzymanie obecnych, jak i pozyskanie nowych najemców</w:t>
      </w:r>
      <w:r w:rsidRPr="007037B7">
        <w:rPr>
          <w:sz w:val="20"/>
          <w:szCs w:val="20"/>
        </w:rPr>
        <w:t xml:space="preserve"> – </w:t>
      </w:r>
      <w:r>
        <w:rPr>
          <w:sz w:val="20"/>
          <w:szCs w:val="20"/>
        </w:rPr>
        <w:t>mówi</w:t>
      </w:r>
      <w:r w:rsidRPr="007037B7">
        <w:rPr>
          <w:sz w:val="20"/>
          <w:szCs w:val="20"/>
        </w:rPr>
        <w:t> </w:t>
      </w:r>
      <w:proofErr w:type="spellStart"/>
      <w:r w:rsidRPr="007037B7">
        <w:rPr>
          <w:b/>
          <w:bCs/>
          <w:sz w:val="20"/>
          <w:szCs w:val="20"/>
        </w:rPr>
        <w:t>Vitalii</w:t>
      </w:r>
      <w:proofErr w:type="spellEnd"/>
      <w:r w:rsidRPr="007037B7">
        <w:rPr>
          <w:b/>
          <w:bCs/>
          <w:sz w:val="20"/>
          <w:szCs w:val="20"/>
        </w:rPr>
        <w:t xml:space="preserve"> </w:t>
      </w:r>
      <w:proofErr w:type="spellStart"/>
      <w:r w:rsidRPr="007037B7">
        <w:rPr>
          <w:b/>
          <w:bCs/>
          <w:sz w:val="20"/>
          <w:szCs w:val="20"/>
        </w:rPr>
        <w:t>Arkhypenko</w:t>
      </w:r>
      <w:proofErr w:type="spellEnd"/>
      <w:r w:rsidRPr="007037B7">
        <w:rPr>
          <w:b/>
          <w:bCs/>
          <w:sz w:val="20"/>
          <w:szCs w:val="20"/>
        </w:rPr>
        <w:t xml:space="preserve">, </w:t>
      </w:r>
      <w:proofErr w:type="spellStart"/>
      <w:r w:rsidRPr="007037B7">
        <w:rPr>
          <w:b/>
          <w:bCs/>
          <w:sz w:val="20"/>
          <w:szCs w:val="20"/>
        </w:rPr>
        <w:t>Research</w:t>
      </w:r>
      <w:proofErr w:type="spellEnd"/>
      <w:r w:rsidRPr="007037B7">
        <w:rPr>
          <w:b/>
          <w:bCs/>
          <w:sz w:val="20"/>
          <w:szCs w:val="20"/>
        </w:rPr>
        <w:t xml:space="preserve"> Consultant, </w:t>
      </w:r>
      <w:proofErr w:type="spellStart"/>
      <w:r w:rsidRPr="007037B7">
        <w:rPr>
          <w:b/>
          <w:bCs/>
          <w:sz w:val="20"/>
          <w:szCs w:val="20"/>
        </w:rPr>
        <w:t>Cushman</w:t>
      </w:r>
      <w:proofErr w:type="spellEnd"/>
      <w:r w:rsidRPr="007037B7">
        <w:rPr>
          <w:b/>
          <w:bCs/>
          <w:sz w:val="20"/>
          <w:szCs w:val="20"/>
        </w:rPr>
        <w:t xml:space="preserve"> &amp; Wakefield.</w:t>
      </w:r>
    </w:p>
    <w:p w14:paraId="11ED8341" w14:textId="7144F735" w:rsidR="007037B7" w:rsidRPr="007037B7" w:rsidRDefault="007037B7" w:rsidP="007037B7">
      <w:pPr>
        <w:jc w:val="both"/>
        <w:rPr>
          <w:sz w:val="20"/>
          <w:szCs w:val="20"/>
        </w:rPr>
      </w:pPr>
      <w:r w:rsidRPr="007037B7">
        <w:rPr>
          <w:sz w:val="20"/>
          <w:szCs w:val="20"/>
        </w:rPr>
        <w:t>We wrześniu 2026 roku stawki „premium” za najlepsze powierzchnie biurowe w Warszawie wynosiły przeciętnie 24,00</w:t>
      </w:r>
      <w:r w:rsidR="00642515">
        <w:rPr>
          <w:sz w:val="20"/>
          <w:szCs w:val="20"/>
        </w:rPr>
        <w:t>-</w:t>
      </w:r>
      <w:r w:rsidRPr="007037B7">
        <w:rPr>
          <w:sz w:val="20"/>
          <w:szCs w:val="20"/>
        </w:rPr>
        <w:t>29,00 EUR/mkw./miesiąc w strefie Centrum oraz 15,00</w:t>
      </w:r>
      <w:r w:rsidR="00642515">
        <w:rPr>
          <w:sz w:val="20"/>
          <w:szCs w:val="20"/>
        </w:rPr>
        <w:t>-</w:t>
      </w:r>
      <w:r w:rsidRPr="007037B7">
        <w:rPr>
          <w:sz w:val="20"/>
          <w:szCs w:val="20"/>
        </w:rPr>
        <w:t xml:space="preserve">19,00 EUR/mkw./miesiąc w </w:t>
      </w:r>
      <w:r w:rsidRPr="007037B7">
        <w:rPr>
          <w:sz w:val="20"/>
          <w:szCs w:val="20"/>
        </w:rPr>
        <w:lastRenderedPageBreak/>
        <w:t>lokalizacjach niecentralnych. Od początku roku czynsze za najlepsze powierzchnie wzrosły o 0,5</w:t>
      </w:r>
      <w:r w:rsidR="00642515">
        <w:rPr>
          <w:sz w:val="20"/>
          <w:szCs w:val="20"/>
        </w:rPr>
        <w:t>-</w:t>
      </w:r>
      <w:r w:rsidRPr="007037B7">
        <w:rPr>
          <w:sz w:val="20"/>
          <w:szCs w:val="20"/>
        </w:rPr>
        <w:t>1 EUR/mkw./miesiąc, przy czym wzrosty relatywnie częściej dotyczyły budynków w Centrum niż poza nim.</w:t>
      </w:r>
    </w:p>
    <w:p w14:paraId="6027A700" w14:textId="10A1ED60" w:rsidR="00755FB3" w:rsidRPr="007037B7" w:rsidRDefault="007037B7" w:rsidP="007037B7">
      <w:pPr>
        <w:jc w:val="both"/>
        <w:rPr>
          <w:sz w:val="20"/>
          <w:szCs w:val="20"/>
        </w:rPr>
      </w:pPr>
      <w:r w:rsidRPr="007037B7">
        <w:rPr>
          <w:sz w:val="20"/>
          <w:szCs w:val="20"/>
        </w:rPr>
        <w:t xml:space="preserve">Cushman &amp; Wakefield przewiduje, że w kolejnych kwartałach presja na wzrost stawek czynszu </w:t>
      </w:r>
      <w:r w:rsidR="00256C0C">
        <w:rPr>
          <w:sz w:val="20"/>
          <w:szCs w:val="20"/>
        </w:rPr>
        <w:t>nadal pozostanie</w:t>
      </w:r>
      <w:r w:rsidRPr="007037B7">
        <w:rPr>
          <w:sz w:val="20"/>
          <w:szCs w:val="20"/>
        </w:rPr>
        <w:t xml:space="preserve"> widoczna przede wszystkim w projektach w budowie oraz w najbardziej atrakcyjnych obiektach w Centrum i wybranych strefach do niego przylegających. W większości budynków w lokalizacjach niecentralnych wzrost czynszów </w:t>
      </w:r>
      <w:r w:rsidR="00186BB0">
        <w:rPr>
          <w:sz w:val="20"/>
          <w:szCs w:val="20"/>
        </w:rPr>
        <w:t xml:space="preserve">będzie </w:t>
      </w:r>
      <w:r w:rsidRPr="007037B7">
        <w:rPr>
          <w:sz w:val="20"/>
          <w:szCs w:val="20"/>
        </w:rPr>
        <w:t>natomiast ograniczony ze względu na większą konkurencję i relatywnie wyższy poziom wakatu.</w:t>
      </w:r>
    </w:p>
    <w:p w14:paraId="24A7950F" w14:textId="77777777" w:rsidR="00953949" w:rsidRDefault="00953949" w:rsidP="00096548">
      <w:pPr>
        <w:spacing w:line="240" w:lineRule="auto"/>
        <w:jc w:val="both"/>
        <w:rPr>
          <w:b/>
          <w:sz w:val="16"/>
          <w:szCs w:val="16"/>
        </w:rPr>
      </w:pPr>
    </w:p>
    <w:p w14:paraId="482909FA" w14:textId="4C0E1CC4" w:rsidR="004B3D1A" w:rsidRPr="00953949" w:rsidRDefault="004B3D1A" w:rsidP="00953949">
      <w:pPr>
        <w:spacing w:line="240" w:lineRule="auto"/>
        <w:jc w:val="both"/>
        <w:rPr>
          <w:rFonts w:eastAsia="Times New Roman"/>
          <w:b/>
          <w:bCs/>
          <w:sz w:val="20"/>
          <w:szCs w:val="20"/>
          <w:lang w:eastAsia="en-US"/>
        </w:rPr>
      </w:pPr>
      <w:r w:rsidRPr="007E6CDD">
        <w:rPr>
          <w:b/>
          <w:sz w:val="16"/>
          <w:szCs w:val="16"/>
        </w:rPr>
        <w:t>O Cushman &amp; Wakefiel</w:t>
      </w:r>
      <w:r w:rsidR="00AC6DF8" w:rsidRPr="007E6CDD">
        <w:rPr>
          <w:b/>
          <w:sz w:val="16"/>
          <w:szCs w:val="16"/>
        </w:rPr>
        <w:t>d</w:t>
      </w:r>
    </w:p>
    <w:p w14:paraId="152B6529" w14:textId="77777777" w:rsidR="00642515" w:rsidRDefault="00642515" w:rsidP="00642515">
      <w:pPr>
        <w:jc w:val="both"/>
        <w:rPr>
          <w:bCs/>
          <w:sz w:val="16"/>
          <w:szCs w:val="16"/>
        </w:rPr>
      </w:pPr>
      <w:r w:rsidRPr="00642515">
        <w:rPr>
          <w:bCs/>
          <w:sz w:val="16"/>
          <w:szCs w:val="16"/>
        </w:rPr>
        <w:t xml:space="preserve">Cushman &amp; Wakefield (NYSE: CWK) jest wiodącą na świecie firmą świadczącą usługi na rynku nieruchomości komercyjnych na rzecz najemców i inwestorów. 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 </w:t>
      </w:r>
      <w:proofErr w:type="spellStart"/>
      <w:r w:rsidRPr="00642515">
        <w:rPr>
          <w:bCs/>
          <w:sz w:val="16"/>
          <w:szCs w:val="16"/>
        </w:rPr>
        <w:t>Better</w:t>
      </w:r>
      <w:proofErr w:type="spellEnd"/>
      <w:r w:rsidRPr="00642515">
        <w:rPr>
          <w:bCs/>
          <w:sz w:val="16"/>
          <w:szCs w:val="16"/>
        </w:rPr>
        <w:t xml:space="preserve"> </w:t>
      </w:r>
      <w:proofErr w:type="spellStart"/>
      <w:r w:rsidRPr="00642515">
        <w:rPr>
          <w:bCs/>
          <w:sz w:val="16"/>
          <w:szCs w:val="16"/>
        </w:rPr>
        <w:t>never</w:t>
      </w:r>
      <w:proofErr w:type="spellEnd"/>
      <w:r w:rsidRPr="00642515">
        <w:rPr>
          <w:bCs/>
          <w:sz w:val="16"/>
          <w:szCs w:val="16"/>
        </w:rPr>
        <w:t xml:space="preserve"> </w:t>
      </w:r>
      <w:proofErr w:type="spellStart"/>
      <w:r w:rsidRPr="00642515">
        <w:rPr>
          <w:bCs/>
          <w:sz w:val="16"/>
          <w:szCs w:val="16"/>
        </w:rPr>
        <w:t>settles</w:t>
      </w:r>
      <w:proofErr w:type="spellEnd"/>
      <w:r w:rsidRPr="00642515">
        <w:rPr>
          <w:bCs/>
          <w:sz w:val="16"/>
          <w:szCs w:val="16"/>
        </w:rPr>
        <w:t xml:space="preserve"> </w:t>
      </w:r>
      <w:proofErr w:type="spellStart"/>
      <w:r w:rsidRPr="00642515">
        <w:rPr>
          <w:bCs/>
          <w:sz w:val="16"/>
          <w:szCs w:val="16"/>
        </w:rPr>
        <w:t>Cushman</w:t>
      </w:r>
      <w:proofErr w:type="spellEnd"/>
      <w:r w:rsidRPr="00642515">
        <w:rPr>
          <w:bCs/>
          <w:sz w:val="16"/>
          <w:szCs w:val="16"/>
        </w:rPr>
        <w:t xml:space="preserve"> &amp; Wakefield otrzymuje wiele wyróżnień oraz nagród w konkursach branżowych i biznesowych. Dodatkowe informacje na stronie </w:t>
      </w:r>
      <w:hyperlink r:id="rId11" w:tgtFrame="_blank" w:history="1">
        <w:r w:rsidRPr="00642515">
          <w:rPr>
            <w:rStyle w:val="Hyperlink"/>
            <w:bCs/>
            <w:sz w:val="16"/>
            <w:szCs w:val="16"/>
          </w:rPr>
          <w:t>www.cushmanwakefield.com</w:t>
        </w:r>
      </w:hyperlink>
      <w:r w:rsidRPr="00642515">
        <w:rPr>
          <w:bCs/>
          <w:sz w:val="16"/>
          <w:szCs w:val="16"/>
        </w:rPr>
        <w:t>. </w:t>
      </w:r>
    </w:p>
    <w:p w14:paraId="64A83442" w14:textId="6CE7D6E1" w:rsidR="00BC2537" w:rsidRPr="00AF11EE" w:rsidRDefault="00A13F0B" w:rsidP="0017521E">
      <w:pPr>
        <w:jc w:val="center"/>
        <w:rPr>
          <w:sz w:val="16"/>
          <w:szCs w:val="16"/>
        </w:rPr>
      </w:pPr>
      <w:r>
        <w:rPr>
          <w:rFonts w:eastAsia="Times New Roman"/>
          <w:sz w:val="16"/>
          <w:szCs w:val="16"/>
          <w:lang w:eastAsia="en-US"/>
        </w:rPr>
        <w:t xml:space="preserve">- </w:t>
      </w:r>
      <w:r w:rsidR="00CC60E7" w:rsidRPr="004E5A7E">
        <w:rPr>
          <w:rFonts w:eastAsia="Times New Roman"/>
          <w:b/>
          <w:bCs/>
          <w:sz w:val="16"/>
          <w:szCs w:val="16"/>
          <w:lang w:eastAsia="en-US"/>
        </w:rPr>
        <w:t xml:space="preserve">KONIEC </w:t>
      </w:r>
      <w:r w:rsidR="0085202E">
        <w:rPr>
          <w:rFonts w:eastAsia="Times New Roman"/>
          <w:b/>
          <w:bCs/>
          <w:sz w:val="16"/>
          <w:szCs w:val="16"/>
          <w:lang w:eastAsia="en-US"/>
        </w:rPr>
        <w:t>-</w:t>
      </w:r>
    </w:p>
    <w:sectPr w:rsidR="00BC2537" w:rsidRPr="00AF11EE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3600" w:right="1008" w:bottom="2880" w:left="1224" w:header="1800" w:footer="43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1E2A5" w14:textId="77777777" w:rsidR="00963ADE" w:rsidRDefault="00963ADE">
      <w:pPr>
        <w:spacing w:after="0" w:line="240" w:lineRule="auto"/>
      </w:pPr>
      <w:r>
        <w:separator/>
      </w:r>
    </w:p>
  </w:endnote>
  <w:endnote w:type="continuationSeparator" w:id="0">
    <w:p w14:paraId="345027FC" w14:textId="77777777" w:rsidR="00963ADE" w:rsidRDefault="00963ADE">
      <w:pPr>
        <w:spacing w:after="0" w:line="240" w:lineRule="auto"/>
      </w:pPr>
      <w:r>
        <w:continuationSeparator/>
      </w:r>
    </w:p>
  </w:endnote>
  <w:endnote w:type="continuationNotice" w:id="1">
    <w:p w14:paraId="57B19935" w14:textId="77777777" w:rsidR="00963ADE" w:rsidRDefault="00963A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00"/>
    </w:tblGrid>
    <w:tr w:rsidR="00C8277A" w:rsidRPr="005B2397" w14:paraId="2AD926AD" w14:textId="77777777" w:rsidTr="00B924E3">
      <w:trPr>
        <w:trHeight w:val="630"/>
      </w:trPr>
      <w:tc>
        <w:tcPr>
          <w:tcW w:w="8931" w:type="dxa"/>
          <w:vAlign w:val="bottom"/>
        </w:tcPr>
        <w:p w14:paraId="46F11C58" w14:textId="77777777" w:rsidR="00025C81" w:rsidRPr="00C8277A" w:rsidRDefault="001A4929" w:rsidP="00B924E3">
          <w:pPr>
            <w:pStyle w:val="Heading2"/>
            <w:rPr>
              <w:rFonts w:ascii="Arial" w:hAnsi="Arial" w:cs="Arial"/>
              <w:color w:val="000000" w:themeColor="text1"/>
            </w:rPr>
          </w:pPr>
          <w:r w:rsidRPr="00C8277A">
            <w:rPr>
              <w:rFonts w:ascii="Arial" w:hAnsi="Arial" w:cs="Arial"/>
              <w:color w:val="000000" w:themeColor="text1"/>
            </w:rPr>
            <w:t>Dodatkowe informacje:</w:t>
          </w:r>
        </w:p>
      </w:tc>
    </w:tr>
    <w:tr w:rsidR="00C8277A" w:rsidRPr="002356DA" w14:paraId="2F690183" w14:textId="77777777" w:rsidTr="00B924E3">
      <w:trPr>
        <w:trHeight w:val="1260"/>
      </w:trPr>
      <w:tc>
        <w:tcPr>
          <w:tcW w:w="8931" w:type="dxa"/>
        </w:tcPr>
        <w:tbl>
          <w:tblPr>
            <w:tblStyle w:val="PlainTable41"/>
            <w:tblW w:w="8582" w:type="dxa"/>
            <w:tblLayout w:type="fixed"/>
            <w:tblLook w:val="04A0" w:firstRow="1" w:lastRow="0" w:firstColumn="1" w:lastColumn="0" w:noHBand="0" w:noVBand="1"/>
          </w:tblPr>
          <w:tblGrid>
            <w:gridCol w:w="8560"/>
            <w:gridCol w:w="220"/>
            <w:gridCol w:w="220"/>
          </w:tblGrid>
          <w:tr w:rsidR="003E5A4E" w:rsidRPr="002356DA" w14:paraId="73319B5E" w14:textId="77777777" w:rsidTr="003E5A4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116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253" w:type="dxa"/>
              </w:tcPr>
              <w:tbl>
                <w:tblPr>
                  <w:tblStyle w:val="TableGrid"/>
                  <w:tblW w:w="12172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6086"/>
                  <w:gridCol w:w="6086"/>
                </w:tblGrid>
                <w:tr w:rsidR="003E5A4E" w:rsidRPr="002356DA" w14:paraId="32B5F073" w14:textId="77777777" w:rsidTr="003E5A4E">
                  <w:trPr>
                    <w:trHeight w:val="738"/>
                  </w:trPr>
                  <w:tc>
                    <w:tcPr>
                      <w:tcW w:w="6086" w:type="dxa"/>
                    </w:tcPr>
                    <w:p w14:paraId="67AD71FE" w14:textId="02F68497" w:rsidR="003E5A4E" w:rsidRPr="002356DA" w:rsidRDefault="003E5A4E" w:rsidP="00B924E3">
                      <w:pPr>
                        <w:pStyle w:val="ContactName"/>
                        <w:spacing w:line="240" w:lineRule="auto"/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r w:rsidRPr="002356DA"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  <w:t>Karolina Samczyńska-Fiślak</w:t>
                      </w:r>
                    </w:p>
                    <w:p w14:paraId="03FB117E" w14:textId="77777777" w:rsidR="003E5A4E" w:rsidRPr="002356DA" w:rsidRDefault="003E5A4E" w:rsidP="00B924E3">
                      <w:pPr>
                        <w:pStyle w:val="ContactName"/>
                        <w:spacing w:line="240" w:lineRule="auto"/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r w:rsidRPr="002356DA"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  <w:t xml:space="preserve">Cushman &amp; Wakefield </w:t>
                      </w:r>
                    </w:p>
                    <w:p w14:paraId="51DAB7AF" w14:textId="799868C8" w:rsidR="003E5A4E" w:rsidRPr="002356DA" w:rsidRDefault="003E5A4E" w:rsidP="00B924E3">
                      <w:pPr>
                        <w:rPr>
                          <w:rFonts w:ascii="Calibri" w:eastAsia="Times New Roman" w:hAnsi="Calibri"/>
                          <w:sz w:val="18"/>
                          <w:szCs w:val="18"/>
                          <w:lang w:val="pl-PL"/>
                        </w:rPr>
                      </w:pPr>
                      <w:r w:rsidRPr="002356DA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  <w:lang w:val="pl-PL"/>
                        </w:rPr>
                        <w:t>Tel: + 48 22 820 20 20; 691 060 202</w:t>
                      </w:r>
                    </w:p>
                    <w:p w14:paraId="4EC59528" w14:textId="747EA004" w:rsidR="003E5A4E" w:rsidRPr="002356DA" w:rsidRDefault="003E5A4E" w:rsidP="00B924E3">
                      <w:pPr>
                        <w:pStyle w:val="ContactName"/>
                        <w:tabs>
                          <w:tab w:val="right" w:pos="4688"/>
                        </w:tabs>
                        <w:spacing w:line="240" w:lineRule="auto"/>
                        <w:rPr>
                          <w:color w:val="696B6B"/>
                          <w:u w:color="696B6B"/>
                          <w:lang w:val="it-IT"/>
                        </w:rPr>
                      </w:pPr>
                      <w:r w:rsidRPr="002356DA">
                        <w:rPr>
                          <w:color w:val="696B6B"/>
                          <w:u w:color="696B6B"/>
                          <w:lang w:val="it-IT"/>
                        </w:rPr>
                        <w:t xml:space="preserve">e-mail: </w:t>
                      </w:r>
                      <w:hyperlink r:id="rId1" w:history="1">
                        <w:r w:rsidRPr="002356DA">
                          <w:rPr>
                            <w:rStyle w:val="Hyperlink"/>
                            <w:lang w:val="it-IT"/>
                          </w:rPr>
                          <w:t>karolina.samczynska@cushwake.pl</w:t>
                        </w:r>
                      </w:hyperlink>
                    </w:p>
                  </w:tc>
                  <w:tc>
                    <w:tcPr>
                      <w:tcW w:w="6086" w:type="dxa"/>
                    </w:tcPr>
                    <w:p w14:paraId="4668A659" w14:textId="77777777" w:rsidR="003E5A4E" w:rsidRPr="00675B1B" w:rsidRDefault="003E5A4E" w:rsidP="003E5A4E">
                      <w:pPr>
                        <w:pStyle w:val="ContactName"/>
                        <w:spacing w:line="240" w:lineRule="auto"/>
                        <w:rPr>
                          <w:rStyle w:val="Brak"/>
                          <w:b w:val="0"/>
                          <w:color w:val="696B6B"/>
                          <w:u w:color="696B6B"/>
                          <w:lang w:val="pl-PL"/>
                        </w:rPr>
                      </w:pPr>
                      <w:r w:rsidRPr="00675B1B"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  <w:t>Magdalena Znyk-Ossowska</w:t>
                      </w:r>
                    </w:p>
                    <w:p w14:paraId="37C27841" w14:textId="77777777" w:rsidR="003E5A4E" w:rsidRPr="00675B1B" w:rsidRDefault="003E5A4E" w:rsidP="003E5A4E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</w:pPr>
                      <w:proofErr w:type="spellStart"/>
                      <w:r w:rsidRPr="00675B1B"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  <w:t>Linkleaders</w:t>
                      </w:r>
                      <w:proofErr w:type="spellEnd"/>
                    </w:p>
                    <w:p w14:paraId="3A8C19E0" w14:textId="77777777" w:rsidR="003E5A4E" w:rsidRPr="00675B1B" w:rsidRDefault="003E5A4E" w:rsidP="003E5A4E">
                      <w:pPr>
                        <w:pStyle w:val="ContactName"/>
                        <w:spacing w:line="240" w:lineRule="auto"/>
                        <w:rPr>
                          <w:rStyle w:val="Brak"/>
                          <w:b w:val="0"/>
                          <w:bCs w:val="0"/>
                          <w:color w:val="696B6B"/>
                          <w:u w:color="696B6B"/>
                          <w:lang w:val="pl-PL"/>
                        </w:rPr>
                      </w:pPr>
                      <w:r w:rsidRPr="00675B1B"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  <w:t>Tel: +48 </w:t>
                      </w:r>
                      <w:r w:rsidRPr="00675B1B">
                        <w:rPr>
                          <w:rFonts w:eastAsia="Arial" w:cs="Arial"/>
                          <w:color w:val="696B6B"/>
                          <w:szCs w:val="18"/>
                          <w:lang w:val="pl-PL" w:eastAsia="pl-PL"/>
                        </w:rPr>
                        <w:t>502 556 846</w:t>
                      </w:r>
                    </w:p>
                    <w:p w14:paraId="2BC96C0F" w14:textId="77777777" w:rsidR="003E5A4E" w:rsidRPr="00675B1B" w:rsidRDefault="003E5A4E" w:rsidP="003E5A4E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pl-PL"/>
                        </w:rPr>
                      </w:pPr>
                    </w:p>
                    <w:p w14:paraId="69435270" w14:textId="77777777" w:rsidR="003E5A4E" w:rsidRPr="002356DA" w:rsidRDefault="003E5A4E" w:rsidP="003E5A4E">
                      <w:pPr>
                        <w:pStyle w:val="ContactDetail"/>
                        <w:spacing w:line="240" w:lineRule="auto"/>
                        <w:rPr>
                          <w:lang w:val="it-IT"/>
                        </w:rPr>
                      </w:pPr>
                      <w:r w:rsidRPr="002356DA">
                        <w:rPr>
                          <w:rStyle w:val="Brak"/>
                          <w:color w:val="696B6B"/>
                          <w:u w:color="696B6B"/>
                          <w:lang w:val="it-IT"/>
                        </w:rPr>
                        <w:t xml:space="preserve">e-mail: </w:t>
                      </w:r>
                      <w:r w:rsidRPr="002356DA">
                        <w:rPr>
                          <w:rStyle w:val="Hyperlink0"/>
                          <w:color w:val="008B98"/>
                          <w:lang w:val="it-IT"/>
                        </w:rPr>
                        <w:t>Magdalena.ossowska@linkleaders.pl</w:t>
                      </w:r>
                    </w:p>
                    <w:p w14:paraId="397E05EC" w14:textId="77777777" w:rsidR="003E5A4E" w:rsidRPr="002356DA" w:rsidRDefault="003E5A4E" w:rsidP="00B924E3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it-IT"/>
                        </w:rPr>
                      </w:pPr>
                    </w:p>
                  </w:tc>
                </w:tr>
              </w:tbl>
              <w:p w14:paraId="08D62AB9" w14:textId="77777777" w:rsidR="00025C81" w:rsidRPr="009D1ABC" w:rsidRDefault="00025C81" w:rsidP="00B924E3">
                <w:pPr>
                  <w:pStyle w:val="ContactDetail"/>
                  <w:rPr>
                    <w:rFonts w:asciiTheme="minorHAnsi" w:hAnsiTheme="minorHAnsi" w:cstheme="minorHAnsi"/>
                    <w:color w:val="000000" w:themeColor="text1"/>
                    <w:lang w:val="es-ES_tradnl"/>
                  </w:rPr>
                </w:pPr>
              </w:p>
            </w:tc>
            <w:tc>
              <w:tcPr>
                <w:tcW w:w="4111" w:type="dxa"/>
              </w:tcPr>
              <w:p w14:paraId="4ED69CDE" w14:textId="77777777" w:rsidR="00025C81" w:rsidRPr="003E5A4E" w:rsidRDefault="00025C81" w:rsidP="003E5A4E">
                <w:pPr>
                  <w:pStyle w:val="ContactDetail"/>
                  <w:spacing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Style w:val="Brak"/>
                    <w:color w:val="696B6B"/>
                    <w:u w:color="696B6B"/>
                    <w:lang w:val="es-ES_tradnl"/>
                  </w:rPr>
                </w:pPr>
              </w:p>
            </w:tc>
            <w:tc>
              <w:tcPr>
                <w:tcW w:w="218" w:type="dxa"/>
              </w:tcPr>
              <w:p w14:paraId="1A4CBD3A" w14:textId="77777777" w:rsidR="00025C81" w:rsidRPr="002356DA" w:rsidRDefault="00025C81" w:rsidP="00B924E3">
                <w:pPr>
                  <w:pStyle w:val="ContactDetail"/>
                  <w:spacing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lang w:val="it-IT"/>
                  </w:rPr>
                </w:pPr>
              </w:p>
              <w:p w14:paraId="0D0425FA" w14:textId="77777777" w:rsidR="00025C81" w:rsidRPr="002356DA" w:rsidRDefault="00025C81" w:rsidP="00B924E3">
                <w:pPr>
                  <w:pStyle w:val="ContactDetail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color w:val="000000" w:themeColor="text1"/>
                    <w:lang w:val="it-IT"/>
                  </w:rPr>
                </w:pPr>
              </w:p>
            </w:tc>
          </w:tr>
        </w:tbl>
        <w:p w14:paraId="51226427" w14:textId="794B06BC" w:rsidR="00025C81" w:rsidRPr="002356DA" w:rsidRDefault="00025C81" w:rsidP="00B924E3">
          <w:pPr>
            <w:pStyle w:val="ContactDetail"/>
            <w:rPr>
              <w:rFonts w:asciiTheme="minorHAnsi" w:hAnsiTheme="minorHAnsi" w:cstheme="minorHAnsi"/>
              <w:color w:val="000000" w:themeColor="text1"/>
              <w:lang w:val="it-IT"/>
            </w:rPr>
          </w:pPr>
        </w:p>
      </w:tc>
    </w:tr>
  </w:tbl>
  <w:p w14:paraId="6A6BD428" w14:textId="77777777" w:rsidR="00025C81" w:rsidRPr="002356DA" w:rsidRDefault="00025C81">
    <w:pPr>
      <w:pStyle w:val="Footer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44E79" w14:textId="77777777" w:rsidR="00025C81" w:rsidRDefault="00025C81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W w:w="9000" w:type="dxa"/>
      <w:tblLayout w:type="fixed"/>
      <w:tblLook w:val="0400" w:firstRow="0" w:lastRow="0" w:firstColumn="0" w:lastColumn="0" w:noHBand="0" w:noVBand="1"/>
    </w:tblPr>
    <w:tblGrid>
      <w:gridCol w:w="5670"/>
      <w:gridCol w:w="3330"/>
    </w:tblGrid>
    <w:tr w:rsidR="00F67554" w14:paraId="57A23F18" w14:textId="77777777">
      <w:trPr>
        <w:trHeight w:val="630"/>
      </w:trPr>
      <w:tc>
        <w:tcPr>
          <w:tcW w:w="5670" w:type="dxa"/>
          <w:vAlign w:val="bottom"/>
        </w:tcPr>
        <w:p w14:paraId="00233554" w14:textId="77777777" w:rsidR="00025C81" w:rsidRDefault="001A4929">
          <w:pPr>
            <w:pStyle w:val="Heading2"/>
            <w:rPr>
              <w:rFonts w:ascii="Arial" w:eastAsia="Arial" w:hAnsi="Arial" w:cs="Arial"/>
              <w:color w:val="696B6B"/>
            </w:rPr>
          </w:pPr>
          <w:r>
            <w:rPr>
              <w:rFonts w:ascii="Arial" w:eastAsia="Arial" w:hAnsi="Arial" w:cs="Arial"/>
              <w:color w:val="696B6B"/>
            </w:rPr>
            <w:t xml:space="preserve">Media </w:t>
          </w:r>
          <w:proofErr w:type="spellStart"/>
          <w:r>
            <w:rPr>
              <w:rFonts w:ascii="Arial" w:eastAsia="Arial" w:hAnsi="Arial" w:cs="Arial"/>
              <w:color w:val="696B6B"/>
            </w:rPr>
            <w:t>Contact</w:t>
          </w:r>
          <w:proofErr w:type="spellEnd"/>
          <w:r>
            <w:rPr>
              <w:rFonts w:ascii="Arial" w:eastAsia="Arial" w:hAnsi="Arial" w:cs="Arial"/>
              <w:color w:val="696B6B"/>
            </w:rPr>
            <w:t>:</w:t>
          </w:r>
        </w:p>
      </w:tc>
      <w:tc>
        <w:tcPr>
          <w:tcW w:w="3330" w:type="dxa"/>
          <w:vAlign w:val="bottom"/>
        </w:tcPr>
        <w:p w14:paraId="61C181ED" w14:textId="77777777" w:rsidR="00025C81" w:rsidRDefault="00025C81">
          <w:pPr>
            <w:spacing w:after="100" w:line="240" w:lineRule="auto"/>
            <w:rPr>
              <w:b/>
              <w:color w:val="696B6B"/>
              <w:sz w:val="18"/>
              <w:szCs w:val="18"/>
            </w:rPr>
          </w:pPr>
        </w:p>
      </w:tc>
    </w:tr>
    <w:tr w:rsidR="00F67554" w:rsidRPr="002356DA" w14:paraId="17458FA5" w14:textId="77777777">
      <w:trPr>
        <w:trHeight w:val="1260"/>
      </w:trPr>
      <w:tc>
        <w:tcPr>
          <w:tcW w:w="5670" w:type="dxa"/>
          <w:vAlign w:val="bottom"/>
        </w:tcPr>
        <w:p w14:paraId="065B4F91" w14:textId="77777777" w:rsidR="00025C81" w:rsidRPr="00C8277A" w:rsidRDefault="001A4929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b/>
              <w:color w:val="696B6B"/>
              <w:sz w:val="18"/>
              <w:szCs w:val="18"/>
              <w:lang w:val="en-GB"/>
            </w:rPr>
          </w:pPr>
          <w:r w:rsidRPr="00C8277A">
            <w:rPr>
              <w:b/>
              <w:color w:val="696B6B"/>
              <w:sz w:val="18"/>
              <w:szCs w:val="18"/>
              <w:lang w:val="en-GB"/>
            </w:rPr>
            <w:t>Name</w:t>
          </w:r>
        </w:p>
        <w:p w14:paraId="78082AF7" w14:textId="77777777" w:rsidR="00025C81" w:rsidRPr="00C8277A" w:rsidRDefault="001A492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 w:rsidRPr="00C8277A">
            <w:rPr>
              <w:color w:val="696B6B"/>
              <w:sz w:val="18"/>
              <w:szCs w:val="18"/>
              <w:lang w:val="en-GB"/>
            </w:rPr>
            <w:t>Title</w:t>
          </w:r>
        </w:p>
        <w:p w14:paraId="6C6535E5" w14:textId="77777777" w:rsidR="00025C81" w:rsidRPr="00C8277A" w:rsidRDefault="001A492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 w:rsidRPr="00C8277A">
            <w:rPr>
              <w:color w:val="696B6B"/>
              <w:sz w:val="18"/>
              <w:szCs w:val="18"/>
              <w:lang w:val="en-GB"/>
            </w:rPr>
            <w:t>+1 000 000 0000</w:t>
          </w:r>
        </w:p>
        <w:p w14:paraId="01D18F40" w14:textId="7E1FEC25" w:rsidR="00025C81" w:rsidRPr="00C8277A" w:rsidRDefault="00B77D9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hyperlink r:id="rId1" w:history="1">
            <w:r w:rsidRPr="00D4241D">
              <w:rPr>
                <w:rStyle w:val="Hyperlink"/>
                <w:sz w:val="18"/>
                <w:szCs w:val="18"/>
                <w:lang w:val="en-GB"/>
              </w:rPr>
              <w:t>first.last@cushwake.com</w:t>
            </w:r>
          </w:hyperlink>
          <w:r w:rsidR="001A4929" w:rsidRPr="00C8277A">
            <w:rPr>
              <w:color w:val="696B6B"/>
              <w:sz w:val="18"/>
              <w:szCs w:val="18"/>
              <w:lang w:val="en-GB"/>
            </w:rPr>
            <w:t xml:space="preserve"> </w:t>
          </w:r>
        </w:p>
      </w:tc>
      <w:tc>
        <w:tcPr>
          <w:tcW w:w="3330" w:type="dxa"/>
          <w:vAlign w:val="bottom"/>
        </w:tcPr>
        <w:p w14:paraId="5F7143DE" w14:textId="77777777" w:rsidR="00025C81" w:rsidRPr="00C8277A" w:rsidRDefault="00025C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</w:p>
      </w:tc>
    </w:tr>
  </w:tbl>
  <w:p w14:paraId="62A457F3" w14:textId="77777777" w:rsidR="00025C81" w:rsidRPr="00C8277A" w:rsidRDefault="00025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706FF" w14:textId="77777777" w:rsidR="00963ADE" w:rsidRDefault="00963ADE">
      <w:pPr>
        <w:spacing w:after="0" w:line="240" w:lineRule="auto"/>
      </w:pPr>
      <w:r>
        <w:separator/>
      </w:r>
    </w:p>
  </w:footnote>
  <w:footnote w:type="continuationSeparator" w:id="0">
    <w:p w14:paraId="1C6A5A73" w14:textId="77777777" w:rsidR="00963ADE" w:rsidRDefault="00963ADE">
      <w:pPr>
        <w:spacing w:after="0" w:line="240" w:lineRule="auto"/>
      </w:pPr>
      <w:r>
        <w:continuationSeparator/>
      </w:r>
    </w:p>
  </w:footnote>
  <w:footnote w:type="continuationNotice" w:id="1">
    <w:p w14:paraId="6387E812" w14:textId="77777777" w:rsidR="00963ADE" w:rsidRDefault="00963A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7E98D" w14:textId="77777777" w:rsidR="00025C81" w:rsidRDefault="001A49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6384EC7" wp14:editId="2933026F">
          <wp:simplePos x="0" y="0"/>
          <wp:positionH relativeFrom="column">
            <wp:posOffset>43133</wp:posOffset>
          </wp:positionH>
          <wp:positionV relativeFrom="paragraph">
            <wp:posOffset>-154975</wp:posOffset>
          </wp:positionV>
          <wp:extent cx="1933575" cy="40767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F1D7A" w14:textId="77777777" w:rsidR="00025C81" w:rsidRDefault="001A49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4F12382" wp14:editId="51EBFB22">
          <wp:simplePos x="0" y="0"/>
          <wp:positionH relativeFrom="column">
            <wp:posOffset>3811</wp:posOffset>
          </wp:positionH>
          <wp:positionV relativeFrom="paragraph">
            <wp:posOffset>-201294</wp:posOffset>
          </wp:positionV>
          <wp:extent cx="1933575" cy="40767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77968"/>
    <w:multiLevelType w:val="hybridMultilevel"/>
    <w:tmpl w:val="C66CC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4EDF"/>
    <w:multiLevelType w:val="hybridMultilevel"/>
    <w:tmpl w:val="FA123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922B5"/>
    <w:multiLevelType w:val="hybridMultilevel"/>
    <w:tmpl w:val="EEF01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974D6"/>
    <w:multiLevelType w:val="hybridMultilevel"/>
    <w:tmpl w:val="4D4E3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358402">
    <w:abstractNumId w:val="3"/>
  </w:num>
  <w:num w:numId="2" w16cid:durableId="922646369">
    <w:abstractNumId w:val="0"/>
  </w:num>
  <w:num w:numId="3" w16cid:durableId="1309627044">
    <w:abstractNumId w:val="2"/>
  </w:num>
  <w:num w:numId="4" w16cid:durableId="1038896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A2D"/>
    <w:rsid w:val="00001D62"/>
    <w:rsid w:val="00005FD5"/>
    <w:rsid w:val="000060A2"/>
    <w:rsid w:val="00007243"/>
    <w:rsid w:val="00013F59"/>
    <w:rsid w:val="00017267"/>
    <w:rsid w:val="000203A2"/>
    <w:rsid w:val="000251E4"/>
    <w:rsid w:val="00025C81"/>
    <w:rsid w:val="00027F57"/>
    <w:rsid w:val="00030342"/>
    <w:rsid w:val="00030CEB"/>
    <w:rsid w:val="00030F9F"/>
    <w:rsid w:val="0003245E"/>
    <w:rsid w:val="000350F2"/>
    <w:rsid w:val="0004158F"/>
    <w:rsid w:val="0004310E"/>
    <w:rsid w:val="00044C5B"/>
    <w:rsid w:val="00051B59"/>
    <w:rsid w:val="00063FC7"/>
    <w:rsid w:val="00064A4E"/>
    <w:rsid w:val="00067DD3"/>
    <w:rsid w:val="00067FD0"/>
    <w:rsid w:val="000700E2"/>
    <w:rsid w:val="000720F5"/>
    <w:rsid w:val="0008371E"/>
    <w:rsid w:val="00083F43"/>
    <w:rsid w:val="0008451B"/>
    <w:rsid w:val="000854D7"/>
    <w:rsid w:val="00086C80"/>
    <w:rsid w:val="0008772D"/>
    <w:rsid w:val="0008799F"/>
    <w:rsid w:val="00092C27"/>
    <w:rsid w:val="00093540"/>
    <w:rsid w:val="00096548"/>
    <w:rsid w:val="000966BA"/>
    <w:rsid w:val="000A3BE5"/>
    <w:rsid w:val="000A52F1"/>
    <w:rsid w:val="000A54A7"/>
    <w:rsid w:val="000A622E"/>
    <w:rsid w:val="000A6643"/>
    <w:rsid w:val="000B142D"/>
    <w:rsid w:val="000B29DE"/>
    <w:rsid w:val="000B4E80"/>
    <w:rsid w:val="000B57CB"/>
    <w:rsid w:val="000C30AD"/>
    <w:rsid w:val="000C4210"/>
    <w:rsid w:val="000C4294"/>
    <w:rsid w:val="000C585C"/>
    <w:rsid w:val="000D3C7C"/>
    <w:rsid w:val="000D4656"/>
    <w:rsid w:val="000D5790"/>
    <w:rsid w:val="000D5A72"/>
    <w:rsid w:val="000D5FED"/>
    <w:rsid w:val="000D68FD"/>
    <w:rsid w:val="000D7839"/>
    <w:rsid w:val="000F64E0"/>
    <w:rsid w:val="000F653E"/>
    <w:rsid w:val="000F7964"/>
    <w:rsid w:val="001013AF"/>
    <w:rsid w:val="001035B9"/>
    <w:rsid w:val="001062D1"/>
    <w:rsid w:val="00111135"/>
    <w:rsid w:val="00113B48"/>
    <w:rsid w:val="001141D8"/>
    <w:rsid w:val="001146DD"/>
    <w:rsid w:val="00114AF8"/>
    <w:rsid w:val="0011559A"/>
    <w:rsid w:val="00117A40"/>
    <w:rsid w:val="0012061A"/>
    <w:rsid w:val="00122668"/>
    <w:rsid w:val="001231BC"/>
    <w:rsid w:val="00132CB9"/>
    <w:rsid w:val="00132F07"/>
    <w:rsid w:val="00136098"/>
    <w:rsid w:val="00140D17"/>
    <w:rsid w:val="00140D8B"/>
    <w:rsid w:val="00147B0D"/>
    <w:rsid w:val="00150F3F"/>
    <w:rsid w:val="00156F9C"/>
    <w:rsid w:val="00160B7F"/>
    <w:rsid w:val="00160C7A"/>
    <w:rsid w:val="001635F6"/>
    <w:rsid w:val="00163CB5"/>
    <w:rsid w:val="001644DF"/>
    <w:rsid w:val="00166861"/>
    <w:rsid w:val="00166F71"/>
    <w:rsid w:val="00167436"/>
    <w:rsid w:val="001745E4"/>
    <w:rsid w:val="00174EBA"/>
    <w:rsid w:val="0017521E"/>
    <w:rsid w:val="00175FB4"/>
    <w:rsid w:val="00182C4F"/>
    <w:rsid w:val="00185967"/>
    <w:rsid w:val="001866B5"/>
    <w:rsid w:val="0018688B"/>
    <w:rsid w:val="00186BB0"/>
    <w:rsid w:val="00190FB3"/>
    <w:rsid w:val="001945FB"/>
    <w:rsid w:val="00197272"/>
    <w:rsid w:val="0019781C"/>
    <w:rsid w:val="001A4929"/>
    <w:rsid w:val="001A56D9"/>
    <w:rsid w:val="001A7372"/>
    <w:rsid w:val="001B5F5F"/>
    <w:rsid w:val="001B5FA0"/>
    <w:rsid w:val="001B7AE3"/>
    <w:rsid w:val="001C0591"/>
    <w:rsid w:val="001C7005"/>
    <w:rsid w:val="001D08F3"/>
    <w:rsid w:val="001D401E"/>
    <w:rsid w:val="001D4DE0"/>
    <w:rsid w:val="001D5EF0"/>
    <w:rsid w:val="001D617A"/>
    <w:rsid w:val="001E06FB"/>
    <w:rsid w:val="001E07D4"/>
    <w:rsid w:val="001E0E42"/>
    <w:rsid w:val="001E16E8"/>
    <w:rsid w:val="001E19D5"/>
    <w:rsid w:val="001E3C79"/>
    <w:rsid w:val="001E4E45"/>
    <w:rsid w:val="001E56EB"/>
    <w:rsid w:val="001F406E"/>
    <w:rsid w:val="001F5FEB"/>
    <w:rsid w:val="001F7E37"/>
    <w:rsid w:val="00206001"/>
    <w:rsid w:val="00207DD3"/>
    <w:rsid w:val="002117B9"/>
    <w:rsid w:val="002125FE"/>
    <w:rsid w:val="0021678E"/>
    <w:rsid w:val="00217BD6"/>
    <w:rsid w:val="00220676"/>
    <w:rsid w:val="00223F1E"/>
    <w:rsid w:val="002240B1"/>
    <w:rsid w:val="00224AA7"/>
    <w:rsid w:val="00231BCD"/>
    <w:rsid w:val="00232060"/>
    <w:rsid w:val="00235622"/>
    <w:rsid w:val="002356DA"/>
    <w:rsid w:val="00236B04"/>
    <w:rsid w:val="0024225F"/>
    <w:rsid w:val="002426EF"/>
    <w:rsid w:val="0024400C"/>
    <w:rsid w:val="00246115"/>
    <w:rsid w:val="00251824"/>
    <w:rsid w:val="00251F00"/>
    <w:rsid w:val="00256C0C"/>
    <w:rsid w:val="00257ED3"/>
    <w:rsid w:val="0026004C"/>
    <w:rsid w:val="0026004F"/>
    <w:rsid w:val="00260C7D"/>
    <w:rsid w:val="00261AA0"/>
    <w:rsid w:val="00265C1D"/>
    <w:rsid w:val="00265F1D"/>
    <w:rsid w:val="0026615D"/>
    <w:rsid w:val="002730A2"/>
    <w:rsid w:val="00275982"/>
    <w:rsid w:val="00275F1E"/>
    <w:rsid w:val="00275FDC"/>
    <w:rsid w:val="0028046B"/>
    <w:rsid w:val="00281BFB"/>
    <w:rsid w:val="00281F4D"/>
    <w:rsid w:val="0028223D"/>
    <w:rsid w:val="00282FB7"/>
    <w:rsid w:val="00284E92"/>
    <w:rsid w:val="00285282"/>
    <w:rsid w:val="00286DC7"/>
    <w:rsid w:val="00291702"/>
    <w:rsid w:val="00293086"/>
    <w:rsid w:val="00293E07"/>
    <w:rsid w:val="00293ED2"/>
    <w:rsid w:val="0029437C"/>
    <w:rsid w:val="002958EB"/>
    <w:rsid w:val="0029652C"/>
    <w:rsid w:val="002967FF"/>
    <w:rsid w:val="002A37FC"/>
    <w:rsid w:val="002B2051"/>
    <w:rsid w:val="002B381B"/>
    <w:rsid w:val="002B4716"/>
    <w:rsid w:val="002B6B39"/>
    <w:rsid w:val="002C1DFF"/>
    <w:rsid w:val="002C480C"/>
    <w:rsid w:val="002C5887"/>
    <w:rsid w:val="002D0B42"/>
    <w:rsid w:val="002D1D3A"/>
    <w:rsid w:val="002D4EC6"/>
    <w:rsid w:val="002D5829"/>
    <w:rsid w:val="002D7779"/>
    <w:rsid w:val="002E0BB0"/>
    <w:rsid w:val="002E1729"/>
    <w:rsid w:val="002E20D4"/>
    <w:rsid w:val="002E2D30"/>
    <w:rsid w:val="002E31B2"/>
    <w:rsid w:val="002F0666"/>
    <w:rsid w:val="002F08E1"/>
    <w:rsid w:val="002F0F48"/>
    <w:rsid w:val="00300BC4"/>
    <w:rsid w:val="00302886"/>
    <w:rsid w:val="00305F2D"/>
    <w:rsid w:val="00306BFA"/>
    <w:rsid w:val="00307E44"/>
    <w:rsid w:val="00310AEF"/>
    <w:rsid w:val="00310D2A"/>
    <w:rsid w:val="003142AA"/>
    <w:rsid w:val="003156DD"/>
    <w:rsid w:val="0032157F"/>
    <w:rsid w:val="0032389F"/>
    <w:rsid w:val="00326E49"/>
    <w:rsid w:val="00331873"/>
    <w:rsid w:val="00333C1F"/>
    <w:rsid w:val="00334348"/>
    <w:rsid w:val="00342C1B"/>
    <w:rsid w:val="0034418D"/>
    <w:rsid w:val="00345D04"/>
    <w:rsid w:val="00345D09"/>
    <w:rsid w:val="003476AF"/>
    <w:rsid w:val="0035396B"/>
    <w:rsid w:val="00356977"/>
    <w:rsid w:val="00361CB3"/>
    <w:rsid w:val="00361E86"/>
    <w:rsid w:val="00364117"/>
    <w:rsid w:val="0036797A"/>
    <w:rsid w:val="00371AFD"/>
    <w:rsid w:val="00374DB8"/>
    <w:rsid w:val="00385CB8"/>
    <w:rsid w:val="0038604F"/>
    <w:rsid w:val="00387CAF"/>
    <w:rsid w:val="003936DF"/>
    <w:rsid w:val="003A24D4"/>
    <w:rsid w:val="003A693E"/>
    <w:rsid w:val="003A70E2"/>
    <w:rsid w:val="003B3560"/>
    <w:rsid w:val="003B78C7"/>
    <w:rsid w:val="003C1BBA"/>
    <w:rsid w:val="003C1E58"/>
    <w:rsid w:val="003C4DFD"/>
    <w:rsid w:val="003C5B29"/>
    <w:rsid w:val="003C5D7A"/>
    <w:rsid w:val="003C791A"/>
    <w:rsid w:val="003D1A23"/>
    <w:rsid w:val="003E003A"/>
    <w:rsid w:val="003E0201"/>
    <w:rsid w:val="003E365F"/>
    <w:rsid w:val="003E3F99"/>
    <w:rsid w:val="003E5A4E"/>
    <w:rsid w:val="003F0545"/>
    <w:rsid w:val="003F31CD"/>
    <w:rsid w:val="003F4955"/>
    <w:rsid w:val="003F4AAD"/>
    <w:rsid w:val="003F60EA"/>
    <w:rsid w:val="004001BC"/>
    <w:rsid w:val="00403626"/>
    <w:rsid w:val="00410D62"/>
    <w:rsid w:val="004112C0"/>
    <w:rsid w:val="00413269"/>
    <w:rsid w:val="004216E3"/>
    <w:rsid w:val="0042183C"/>
    <w:rsid w:val="00421DC1"/>
    <w:rsid w:val="00422760"/>
    <w:rsid w:val="00423080"/>
    <w:rsid w:val="00426C7F"/>
    <w:rsid w:val="004274A1"/>
    <w:rsid w:val="004329C4"/>
    <w:rsid w:val="00432ACA"/>
    <w:rsid w:val="00435D4F"/>
    <w:rsid w:val="00436257"/>
    <w:rsid w:val="00436CE4"/>
    <w:rsid w:val="0043767F"/>
    <w:rsid w:val="00440D65"/>
    <w:rsid w:val="00443EFE"/>
    <w:rsid w:val="00451C25"/>
    <w:rsid w:val="00452FD6"/>
    <w:rsid w:val="00454311"/>
    <w:rsid w:val="00456C2D"/>
    <w:rsid w:val="00457041"/>
    <w:rsid w:val="00457545"/>
    <w:rsid w:val="00461B2F"/>
    <w:rsid w:val="00462B62"/>
    <w:rsid w:val="00464434"/>
    <w:rsid w:val="0046472E"/>
    <w:rsid w:val="00464B72"/>
    <w:rsid w:val="00466300"/>
    <w:rsid w:val="00466ABC"/>
    <w:rsid w:val="004678CA"/>
    <w:rsid w:val="004701AA"/>
    <w:rsid w:val="00471A22"/>
    <w:rsid w:val="0047755E"/>
    <w:rsid w:val="004900F3"/>
    <w:rsid w:val="004901B7"/>
    <w:rsid w:val="00490581"/>
    <w:rsid w:val="00491EA1"/>
    <w:rsid w:val="0049367E"/>
    <w:rsid w:val="004939D4"/>
    <w:rsid w:val="004972E1"/>
    <w:rsid w:val="00497908"/>
    <w:rsid w:val="004A01E8"/>
    <w:rsid w:val="004A19E7"/>
    <w:rsid w:val="004A5B66"/>
    <w:rsid w:val="004B045A"/>
    <w:rsid w:val="004B0979"/>
    <w:rsid w:val="004B3D1A"/>
    <w:rsid w:val="004B5A43"/>
    <w:rsid w:val="004C2C37"/>
    <w:rsid w:val="004C49CA"/>
    <w:rsid w:val="004D07CC"/>
    <w:rsid w:val="004D080E"/>
    <w:rsid w:val="004D16D5"/>
    <w:rsid w:val="004D68AD"/>
    <w:rsid w:val="004D6A3C"/>
    <w:rsid w:val="004D7C3B"/>
    <w:rsid w:val="004E0237"/>
    <w:rsid w:val="004E46E9"/>
    <w:rsid w:val="004E5A7E"/>
    <w:rsid w:val="004E7185"/>
    <w:rsid w:val="004F424E"/>
    <w:rsid w:val="00502E72"/>
    <w:rsid w:val="0050412F"/>
    <w:rsid w:val="00504405"/>
    <w:rsid w:val="00512047"/>
    <w:rsid w:val="00512ADF"/>
    <w:rsid w:val="0051329D"/>
    <w:rsid w:val="005136A0"/>
    <w:rsid w:val="0051644B"/>
    <w:rsid w:val="00517B59"/>
    <w:rsid w:val="00520076"/>
    <w:rsid w:val="00521CF3"/>
    <w:rsid w:val="005229AB"/>
    <w:rsid w:val="00526757"/>
    <w:rsid w:val="005303CC"/>
    <w:rsid w:val="00531CF4"/>
    <w:rsid w:val="00531D93"/>
    <w:rsid w:val="005323BE"/>
    <w:rsid w:val="005352C0"/>
    <w:rsid w:val="005369D7"/>
    <w:rsid w:val="00537747"/>
    <w:rsid w:val="00541459"/>
    <w:rsid w:val="00541D5B"/>
    <w:rsid w:val="0054604B"/>
    <w:rsid w:val="0054720B"/>
    <w:rsid w:val="00552477"/>
    <w:rsid w:val="00553B06"/>
    <w:rsid w:val="0055434C"/>
    <w:rsid w:val="00561829"/>
    <w:rsid w:val="005631C3"/>
    <w:rsid w:val="00566AB7"/>
    <w:rsid w:val="00566BCC"/>
    <w:rsid w:val="00577005"/>
    <w:rsid w:val="005806AC"/>
    <w:rsid w:val="00580A25"/>
    <w:rsid w:val="0058421C"/>
    <w:rsid w:val="00584862"/>
    <w:rsid w:val="00585A4F"/>
    <w:rsid w:val="005864F4"/>
    <w:rsid w:val="00587724"/>
    <w:rsid w:val="005878DD"/>
    <w:rsid w:val="00591DBB"/>
    <w:rsid w:val="00592299"/>
    <w:rsid w:val="00593E4C"/>
    <w:rsid w:val="005A4560"/>
    <w:rsid w:val="005A479B"/>
    <w:rsid w:val="005A703D"/>
    <w:rsid w:val="005B3C7F"/>
    <w:rsid w:val="005B4D77"/>
    <w:rsid w:val="005B5063"/>
    <w:rsid w:val="005B71DB"/>
    <w:rsid w:val="005C01D2"/>
    <w:rsid w:val="005C2765"/>
    <w:rsid w:val="005C3C3C"/>
    <w:rsid w:val="005C4360"/>
    <w:rsid w:val="005C6332"/>
    <w:rsid w:val="005C72CD"/>
    <w:rsid w:val="005D033F"/>
    <w:rsid w:val="005D05E5"/>
    <w:rsid w:val="005D06CC"/>
    <w:rsid w:val="005D1698"/>
    <w:rsid w:val="005D3204"/>
    <w:rsid w:val="005D3C92"/>
    <w:rsid w:val="005D4DD1"/>
    <w:rsid w:val="005D5EEB"/>
    <w:rsid w:val="005D7A44"/>
    <w:rsid w:val="005D7B39"/>
    <w:rsid w:val="005E14FE"/>
    <w:rsid w:val="005E2C9B"/>
    <w:rsid w:val="005E2EC7"/>
    <w:rsid w:val="005E36C1"/>
    <w:rsid w:val="005E49BA"/>
    <w:rsid w:val="005F709A"/>
    <w:rsid w:val="00600412"/>
    <w:rsid w:val="00601B86"/>
    <w:rsid w:val="006020AF"/>
    <w:rsid w:val="00603782"/>
    <w:rsid w:val="00606E7D"/>
    <w:rsid w:val="00606F29"/>
    <w:rsid w:val="00607408"/>
    <w:rsid w:val="00612A79"/>
    <w:rsid w:val="00612C9B"/>
    <w:rsid w:val="006151F1"/>
    <w:rsid w:val="006160F9"/>
    <w:rsid w:val="00617929"/>
    <w:rsid w:val="00620AD0"/>
    <w:rsid w:val="00624E73"/>
    <w:rsid w:val="00625117"/>
    <w:rsid w:val="00625DBC"/>
    <w:rsid w:val="00626706"/>
    <w:rsid w:val="00632797"/>
    <w:rsid w:val="00634853"/>
    <w:rsid w:val="00634A82"/>
    <w:rsid w:val="00635D7A"/>
    <w:rsid w:val="006367C0"/>
    <w:rsid w:val="00640038"/>
    <w:rsid w:val="00642515"/>
    <w:rsid w:val="00645954"/>
    <w:rsid w:val="006468A8"/>
    <w:rsid w:val="00647BF0"/>
    <w:rsid w:val="00653D04"/>
    <w:rsid w:val="00654588"/>
    <w:rsid w:val="00655594"/>
    <w:rsid w:val="00661892"/>
    <w:rsid w:val="00662194"/>
    <w:rsid w:val="00670CB1"/>
    <w:rsid w:val="006714A0"/>
    <w:rsid w:val="00674476"/>
    <w:rsid w:val="00674AAF"/>
    <w:rsid w:val="00675B1B"/>
    <w:rsid w:val="0067607F"/>
    <w:rsid w:val="006807CC"/>
    <w:rsid w:val="00680E8C"/>
    <w:rsid w:val="00682152"/>
    <w:rsid w:val="00682F1F"/>
    <w:rsid w:val="00683345"/>
    <w:rsid w:val="0068616F"/>
    <w:rsid w:val="00686CF4"/>
    <w:rsid w:val="0069258A"/>
    <w:rsid w:val="00695E5E"/>
    <w:rsid w:val="00697D3A"/>
    <w:rsid w:val="006A32B9"/>
    <w:rsid w:val="006B114D"/>
    <w:rsid w:val="006B3391"/>
    <w:rsid w:val="006B635B"/>
    <w:rsid w:val="006B6EBE"/>
    <w:rsid w:val="006C06EB"/>
    <w:rsid w:val="006C33CC"/>
    <w:rsid w:val="006C3D4A"/>
    <w:rsid w:val="006C449A"/>
    <w:rsid w:val="006C62BD"/>
    <w:rsid w:val="006C6343"/>
    <w:rsid w:val="006C7EF7"/>
    <w:rsid w:val="006D189F"/>
    <w:rsid w:val="006D1EF1"/>
    <w:rsid w:val="006D48DF"/>
    <w:rsid w:val="006D68E0"/>
    <w:rsid w:val="006E00D9"/>
    <w:rsid w:val="006E2861"/>
    <w:rsid w:val="006E2DCD"/>
    <w:rsid w:val="006E40B1"/>
    <w:rsid w:val="006E5816"/>
    <w:rsid w:val="006F06A0"/>
    <w:rsid w:val="006F1B8B"/>
    <w:rsid w:val="006F5276"/>
    <w:rsid w:val="007006B4"/>
    <w:rsid w:val="007014E6"/>
    <w:rsid w:val="00703171"/>
    <w:rsid w:val="007037B7"/>
    <w:rsid w:val="00706617"/>
    <w:rsid w:val="00710F25"/>
    <w:rsid w:val="00711651"/>
    <w:rsid w:val="00712ED4"/>
    <w:rsid w:val="00717324"/>
    <w:rsid w:val="00720D9F"/>
    <w:rsid w:val="00725E13"/>
    <w:rsid w:val="00730FCD"/>
    <w:rsid w:val="00730FFB"/>
    <w:rsid w:val="007326D4"/>
    <w:rsid w:val="00736158"/>
    <w:rsid w:val="00736585"/>
    <w:rsid w:val="00737C14"/>
    <w:rsid w:val="00742036"/>
    <w:rsid w:val="007434AC"/>
    <w:rsid w:val="00744CDB"/>
    <w:rsid w:val="0074628D"/>
    <w:rsid w:val="00747126"/>
    <w:rsid w:val="0075095C"/>
    <w:rsid w:val="00751E88"/>
    <w:rsid w:val="00753387"/>
    <w:rsid w:val="00754C88"/>
    <w:rsid w:val="00755FB3"/>
    <w:rsid w:val="00757A3F"/>
    <w:rsid w:val="007640FE"/>
    <w:rsid w:val="00770B4C"/>
    <w:rsid w:val="00771251"/>
    <w:rsid w:val="00772C4F"/>
    <w:rsid w:val="00773AAB"/>
    <w:rsid w:val="007749A3"/>
    <w:rsid w:val="00775E16"/>
    <w:rsid w:val="00781D70"/>
    <w:rsid w:val="00782A9B"/>
    <w:rsid w:val="00783672"/>
    <w:rsid w:val="007861CB"/>
    <w:rsid w:val="00787FC4"/>
    <w:rsid w:val="00790531"/>
    <w:rsid w:val="00790E9B"/>
    <w:rsid w:val="0079250E"/>
    <w:rsid w:val="00792ECE"/>
    <w:rsid w:val="007A231E"/>
    <w:rsid w:val="007A354E"/>
    <w:rsid w:val="007A6E6F"/>
    <w:rsid w:val="007B0283"/>
    <w:rsid w:val="007B1B45"/>
    <w:rsid w:val="007B20DD"/>
    <w:rsid w:val="007B2567"/>
    <w:rsid w:val="007B2741"/>
    <w:rsid w:val="007B54E0"/>
    <w:rsid w:val="007B6E2A"/>
    <w:rsid w:val="007B7F52"/>
    <w:rsid w:val="007C69D0"/>
    <w:rsid w:val="007D2192"/>
    <w:rsid w:val="007D4408"/>
    <w:rsid w:val="007D5933"/>
    <w:rsid w:val="007D6089"/>
    <w:rsid w:val="007E31AA"/>
    <w:rsid w:val="007E43DD"/>
    <w:rsid w:val="007E6CDD"/>
    <w:rsid w:val="007F13AB"/>
    <w:rsid w:val="007F2FE9"/>
    <w:rsid w:val="007F3CE5"/>
    <w:rsid w:val="007F5890"/>
    <w:rsid w:val="007F634B"/>
    <w:rsid w:val="007F69FA"/>
    <w:rsid w:val="007F6C67"/>
    <w:rsid w:val="008014DA"/>
    <w:rsid w:val="00802ECA"/>
    <w:rsid w:val="0081370C"/>
    <w:rsid w:val="00817318"/>
    <w:rsid w:val="0081778B"/>
    <w:rsid w:val="0082036C"/>
    <w:rsid w:val="00821380"/>
    <w:rsid w:val="00823F25"/>
    <w:rsid w:val="00824654"/>
    <w:rsid w:val="00824D18"/>
    <w:rsid w:val="00824F73"/>
    <w:rsid w:val="0083179A"/>
    <w:rsid w:val="00831B7D"/>
    <w:rsid w:val="00832C08"/>
    <w:rsid w:val="0083469F"/>
    <w:rsid w:val="0083535A"/>
    <w:rsid w:val="00836AD4"/>
    <w:rsid w:val="00837FAC"/>
    <w:rsid w:val="00842064"/>
    <w:rsid w:val="0084290C"/>
    <w:rsid w:val="00843BB8"/>
    <w:rsid w:val="008459FF"/>
    <w:rsid w:val="00845A7F"/>
    <w:rsid w:val="0085202E"/>
    <w:rsid w:val="00852645"/>
    <w:rsid w:val="00856BE4"/>
    <w:rsid w:val="00866DDD"/>
    <w:rsid w:val="00871766"/>
    <w:rsid w:val="00872092"/>
    <w:rsid w:val="00874BB3"/>
    <w:rsid w:val="008753CF"/>
    <w:rsid w:val="00876015"/>
    <w:rsid w:val="008772B7"/>
    <w:rsid w:val="0087786B"/>
    <w:rsid w:val="00880E20"/>
    <w:rsid w:val="00881769"/>
    <w:rsid w:val="00882E1D"/>
    <w:rsid w:val="008835B0"/>
    <w:rsid w:val="00884568"/>
    <w:rsid w:val="008848B1"/>
    <w:rsid w:val="00885E0C"/>
    <w:rsid w:val="00887B2F"/>
    <w:rsid w:val="00895739"/>
    <w:rsid w:val="00895809"/>
    <w:rsid w:val="00895F80"/>
    <w:rsid w:val="008972B1"/>
    <w:rsid w:val="008974F3"/>
    <w:rsid w:val="008A1F30"/>
    <w:rsid w:val="008A26A0"/>
    <w:rsid w:val="008A3F07"/>
    <w:rsid w:val="008A3FD1"/>
    <w:rsid w:val="008A55CD"/>
    <w:rsid w:val="008A6792"/>
    <w:rsid w:val="008B26B4"/>
    <w:rsid w:val="008B4539"/>
    <w:rsid w:val="008B5039"/>
    <w:rsid w:val="008C14E5"/>
    <w:rsid w:val="008C42CD"/>
    <w:rsid w:val="008C5675"/>
    <w:rsid w:val="008C6C53"/>
    <w:rsid w:val="008D009F"/>
    <w:rsid w:val="008D57E3"/>
    <w:rsid w:val="008E2829"/>
    <w:rsid w:val="008E3F83"/>
    <w:rsid w:val="008E5B6C"/>
    <w:rsid w:val="008F01FC"/>
    <w:rsid w:val="008F034B"/>
    <w:rsid w:val="008F0AAC"/>
    <w:rsid w:val="008F1B4D"/>
    <w:rsid w:val="008F2C02"/>
    <w:rsid w:val="008F2CFF"/>
    <w:rsid w:val="008F77DD"/>
    <w:rsid w:val="008F7EA7"/>
    <w:rsid w:val="00901841"/>
    <w:rsid w:val="00903E6D"/>
    <w:rsid w:val="00904E04"/>
    <w:rsid w:val="00911FF4"/>
    <w:rsid w:val="00914465"/>
    <w:rsid w:val="0091784B"/>
    <w:rsid w:val="00917C8E"/>
    <w:rsid w:val="00920635"/>
    <w:rsid w:val="00920BE7"/>
    <w:rsid w:val="00921FC7"/>
    <w:rsid w:val="00927365"/>
    <w:rsid w:val="0093261C"/>
    <w:rsid w:val="009337AC"/>
    <w:rsid w:val="00933A46"/>
    <w:rsid w:val="00935219"/>
    <w:rsid w:val="00936840"/>
    <w:rsid w:val="00936A3D"/>
    <w:rsid w:val="00941B66"/>
    <w:rsid w:val="00942BB2"/>
    <w:rsid w:val="00943336"/>
    <w:rsid w:val="00946C47"/>
    <w:rsid w:val="00951E2E"/>
    <w:rsid w:val="00953475"/>
    <w:rsid w:val="00953949"/>
    <w:rsid w:val="00956547"/>
    <w:rsid w:val="00962A05"/>
    <w:rsid w:val="00963ADE"/>
    <w:rsid w:val="00965609"/>
    <w:rsid w:val="0096608A"/>
    <w:rsid w:val="009668DE"/>
    <w:rsid w:val="00966D68"/>
    <w:rsid w:val="0096799A"/>
    <w:rsid w:val="00967B91"/>
    <w:rsid w:val="00971AF5"/>
    <w:rsid w:val="0097409A"/>
    <w:rsid w:val="009769D2"/>
    <w:rsid w:val="00976C95"/>
    <w:rsid w:val="00977641"/>
    <w:rsid w:val="00977AE0"/>
    <w:rsid w:val="0098288E"/>
    <w:rsid w:val="00986590"/>
    <w:rsid w:val="009902A1"/>
    <w:rsid w:val="00993D91"/>
    <w:rsid w:val="00994AF6"/>
    <w:rsid w:val="00997139"/>
    <w:rsid w:val="009A1D96"/>
    <w:rsid w:val="009A7442"/>
    <w:rsid w:val="009B0753"/>
    <w:rsid w:val="009B7F16"/>
    <w:rsid w:val="009C075D"/>
    <w:rsid w:val="009C5621"/>
    <w:rsid w:val="009C7F14"/>
    <w:rsid w:val="009D025D"/>
    <w:rsid w:val="009D233E"/>
    <w:rsid w:val="009D31EC"/>
    <w:rsid w:val="009E408E"/>
    <w:rsid w:val="009E4572"/>
    <w:rsid w:val="009E7575"/>
    <w:rsid w:val="009E7A3D"/>
    <w:rsid w:val="009F15E7"/>
    <w:rsid w:val="009F196F"/>
    <w:rsid w:val="009F274E"/>
    <w:rsid w:val="009F35CD"/>
    <w:rsid w:val="009F4E24"/>
    <w:rsid w:val="009F6820"/>
    <w:rsid w:val="00A01FCE"/>
    <w:rsid w:val="00A06149"/>
    <w:rsid w:val="00A0629B"/>
    <w:rsid w:val="00A10255"/>
    <w:rsid w:val="00A117E9"/>
    <w:rsid w:val="00A11D78"/>
    <w:rsid w:val="00A12517"/>
    <w:rsid w:val="00A12551"/>
    <w:rsid w:val="00A12BAB"/>
    <w:rsid w:val="00A13F0B"/>
    <w:rsid w:val="00A17001"/>
    <w:rsid w:val="00A176AA"/>
    <w:rsid w:val="00A201A3"/>
    <w:rsid w:val="00A23905"/>
    <w:rsid w:val="00A2466A"/>
    <w:rsid w:val="00A24875"/>
    <w:rsid w:val="00A2630D"/>
    <w:rsid w:val="00A27372"/>
    <w:rsid w:val="00A31C14"/>
    <w:rsid w:val="00A31F0C"/>
    <w:rsid w:val="00A32173"/>
    <w:rsid w:val="00A33731"/>
    <w:rsid w:val="00A33E4A"/>
    <w:rsid w:val="00A344ED"/>
    <w:rsid w:val="00A40D70"/>
    <w:rsid w:val="00A425AB"/>
    <w:rsid w:val="00A42E68"/>
    <w:rsid w:val="00A4481B"/>
    <w:rsid w:val="00A44A37"/>
    <w:rsid w:val="00A47FCD"/>
    <w:rsid w:val="00A54E85"/>
    <w:rsid w:val="00A54FA6"/>
    <w:rsid w:val="00A55BAF"/>
    <w:rsid w:val="00A63543"/>
    <w:rsid w:val="00A664F9"/>
    <w:rsid w:val="00A669E5"/>
    <w:rsid w:val="00A71CFC"/>
    <w:rsid w:val="00A7430D"/>
    <w:rsid w:val="00A74CD5"/>
    <w:rsid w:val="00A74D49"/>
    <w:rsid w:val="00A758B5"/>
    <w:rsid w:val="00A840D5"/>
    <w:rsid w:val="00A86B2E"/>
    <w:rsid w:val="00A91E08"/>
    <w:rsid w:val="00A93515"/>
    <w:rsid w:val="00A959F1"/>
    <w:rsid w:val="00A97129"/>
    <w:rsid w:val="00A97D53"/>
    <w:rsid w:val="00AA15B2"/>
    <w:rsid w:val="00AA2003"/>
    <w:rsid w:val="00AA2FAB"/>
    <w:rsid w:val="00AA3E59"/>
    <w:rsid w:val="00AA69D2"/>
    <w:rsid w:val="00AB1473"/>
    <w:rsid w:val="00AB1C5F"/>
    <w:rsid w:val="00AB6698"/>
    <w:rsid w:val="00AC0236"/>
    <w:rsid w:val="00AC15C2"/>
    <w:rsid w:val="00AC5B79"/>
    <w:rsid w:val="00AC6DF8"/>
    <w:rsid w:val="00AD1746"/>
    <w:rsid w:val="00AD1D8B"/>
    <w:rsid w:val="00AD30C6"/>
    <w:rsid w:val="00AD3963"/>
    <w:rsid w:val="00AD4DD9"/>
    <w:rsid w:val="00AF117D"/>
    <w:rsid w:val="00AF11EE"/>
    <w:rsid w:val="00AF254B"/>
    <w:rsid w:val="00AF3E86"/>
    <w:rsid w:val="00B00A44"/>
    <w:rsid w:val="00B01460"/>
    <w:rsid w:val="00B0179B"/>
    <w:rsid w:val="00B022DB"/>
    <w:rsid w:val="00B0311A"/>
    <w:rsid w:val="00B0477E"/>
    <w:rsid w:val="00B05EB8"/>
    <w:rsid w:val="00B077A8"/>
    <w:rsid w:val="00B07983"/>
    <w:rsid w:val="00B10699"/>
    <w:rsid w:val="00B133BB"/>
    <w:rsid w:val="00B14FED"/>
    <w:rsid w:val="00B15D9B"/>
    <w:rsid w:val="00B15EE3"/>
    <w:rsid w:val="00B1656B"/>
    <w:rsid w:val="00B2047D"/>
    <w:rsid w:val="00B22689"/>
    <w:rsid w:val="00B24EF6"/>
    <w:rsid w:val="00B27B61"/>
    <w:rsid w:val="00B3057C"/>
    <w:rsid w:val="00B32C6C"/>
    <w:rsid w:val="00B3629E"/>
    <w:rsid w:val="00B37EEB"/>
    <w:rsid w:val="00B44499"/>
    <w:rsid w:val="00B452C4"/>
    <w:rsid w:val="00B4631C"/>
    <w:rsid w:val="00B4722F"/>
    <w:rsid w:val="00B51A00"/>
    <w:rsid w:val="00B53CF6"/>
    <w:rsid w:val="00B56B37"/>
    <w:rsid w:val="00B57D96"/>
    <w:rsid w:val="00B60EBB"/>
    <w:rsid w:val="00B62C50"/>
    <w:rsid w:val="00B6594B"/>
    <w:rsid w:val="00B66E12"/>
    <w:rsid w:val="00B6706E"/>
    <w:rsid w:val="00B67758"/>
    <w:rsid w:val="00B70FF6"/>
    <w:rsid w:val="00B77802"/>
    <w:rsid w:val="00B77D91"/>
    <w:rsid w:val="00B807B3"/>
    <w:rsid w:val="00B807FC"/>
    <w:rsid w:val="00B812E5"/>
    <w:rsid w:val="00B83758"/>
    <w:rsid w:val="00B84A0E"/>
    <w:rsid w:val="00B84C11"/>
    <w:rsid w:val="00B86966"/>
    <w:rsid w:val="00B86C86"/>
    <w:rsid w:val="00B9397F"/>
    <w:rsid w:val="00B94515"/>
    <w:rsid w:val="00B95B93"/>
    <w:rsid w:val="00B968AA"/>
    <w:rsid w:val="00B970B4"/>
    <w:rsid w:val="00BA02B0"/>
    <w:rsid w:val="00BA03C4"/>
    <w:rsid w:val="00BA3159"/>
    <w:rsid w:val="00BB1585"/>
    <w:rsid w:val="00BB5E4C"/>
    <w:rsid w:val="00BC0DD4"/>
    <w:rsid w:val="00BC1E2F"/>
    <w:rsid w:val="00BC2537"/>
    <w:rsid w:val="00BC3FDB"/>
    <w:rsid w:val="00BC77DB"/>
    <w:rsid w:val="00BD1331"/>
    <w:rsid w:val="00BD14D7"/>
    <w:rsid w:val="00BD2944"/>
    <w:rsid w:val="00BD36A0"/>
    <w:rsid w:val="00BE0588"/>
    <w:rsid w:val="00BE1BE1"/>
    <w:rsid w:val="00BE3533"/>
    <w:rsid w:val="00BE4E4B"/>
    <w:rsid w:val="00BE5319"/>
    <w:rsid w:val="00BE65D4"/>
    <w:rsid w:val="00BE7960"/>
    <w:rsid w:val="00BF10D0"/>
    <w:rsid w:val="00BF4150"/>
    <w:rsid w:val="00BF43E9"/>
    <w:rsid w:val="00C00461"/>
    <w:rsid w:val="00C01F9F"/>
    <w:rsid w:val="00C02E1C"/>
    <w:rsid w:val="00C0604F"/>
    <w:rsid w:val="00C06706"/>
    <w:rsid w:val="00C10311"/>
    <w:rsid w:val="00C11029"/>
    <w:rsid w:val="00C11181"/>
    <w:rsid w:val="00C120D8"/>
    <w:rsid w:val="00C12505"/>
    <w:rsid w:val="00C125E8"/>
    <w:rsid w:val="00C15193"/>
    <w:rsid w:val="00C166DD"/>
    <w:rsid w:val="00C21303"/>
    <w:rsid w:val="00C22606"/>
    <w:rsid w:val="00C238C5"/>
    <w:rsid w:val="00C24305"/>
    <w:rsid w:val="00C247D4"/>
    <w:rsid w:val="00C26661"/>
    <w:rsid w:val="00C30255"/>
    <w:rsid w:val="00C303DB"/>
    <w:rsid w:val="00C308E0"/>
    <w:rsid w:val="00C31642"/>
    <w:rsid w:val="00C31B8E"/>
    <w:rsid w:val="00C33DDD"/>
    <w:rsid w:val="00C359BA"/>
    <w:rsid w:val="00C36AE4"/>
    <w:rsid w:val="00C40209"/>
    <w:rsid w:val="00C418F2"/>
    <w:rsid w:val="00C45FBA"/>
    <w:rsid w:val="00C473D1"/>
    <w:rsid w:val="00C50CBE"/>
    <w:rsid w:val="00C547C9"/>
    <w:rsid w:val="00C54EBE"/>
    <w:rsid w:val="00C566FF"/>
    <w:rsid w:val="00C57B80"/>
    <w:rsid w:val="00C61185"/>
    <w:rsid w:val="00C679F5"/>
    <w:rsid w:val="00C74B7D"/>
    <w:rsid w:val="00C75D9E"/>
    <w:rsid w:val="00C80B91"/>
    <w:rsid w:val="00C81736"/>
    <w:rsid w:val="00C8288B"/>
    <w:rsid w:val="00C84B50"/>
    <w:rsid w:val="00C84C63"/>
    <w:rsid w:val="00C85469"/>
    <w:rsid w:val="00C857C0"/>
    <w:rsid w:val="00C875B3"/>
    <w:rsid w:val="00C92A7E"/>
    <w:rsid w:val="00C96481"/>
    <w:rsid w:val="00CA19DF"/>
    <w:rsid w:val="00CA7AF0"/>
    <w:rsid w:val="00CB2FB2"/>
    <w:rsid w:val="00CB613F"/>
    <w:rsid w:val="00CB7946"/>
    <w:rsid w:val="00CB7A18"/>
    <w:rsid w:val="00CC60E7"/>
    <w:rsid w:val="00CC7487"/>
    <w:rsid w:val="00CD1E6A"/>
    <w:rsid w:val="00CD34FC"/>
    <w:rsid w:val="00CD706B"/>
    <w:rsid w:val="00CE1EF8"/>
    <w:rsid w:val="00CE213B"/>
    <w:rsid w:val="00CE6049"/>
    <w:rsid w:val="00CF0AA6"/>
    <w:rsid w:val="00CF5812"/>
    <w:rsid w:val="00CF5A63"/>
    <w:rsid w:val="00CF6633"/>
    <w:rsid w:val="00CF7130"/>
    <w:rsid w:val="00D013E9"/>
    <w:rsid w:val="00D076D0"/>
    <w:rsid w:val="00D11375"/>
    <w:rsid w:val="00D134B7"/>
    <w:rsid w:val="00D13894"/>
    <w:rsid w:val="00D15257"/>
    <w:rsid w:val="00D20FAA"/>
    <w:rsid w:val="00D21D09"/>
    <w:rsid w:val="00D25BD9"/>
    <w:rsid w:val="00D36A8C"/>
    <w:rsid w:val="00D428F4"/>
    <w:rsid w:val="00D43181"/>
    <w:rsid w:val="00D43EDE"/>
    <w:rsid w:val="00D4536C"/>
    <w:rsid w:val="00D45C41"/>
    <w:rsid w:val="00D461DE"/>
    <w:rsid w:val="00D50DE5"/>
    <w:rsid w:val="00D54B27"/>
    <w:rsid w:val="00D54CC0"/>
    <w:rsid w:val="00D55035"/>
    <w:rsid w:val="00D578D3"/>
    <w:rsid w:val="00D621B5"/>
    <w:rsid w:val="00D63DA8"/>
    <w:rsid w:val="00D73A86"/>
    <w:rsid w:val="00D74BA3"/>
    <w:rsid w:val="00D7555A"/>
    <w:rsid w:val="00D7748E"/>
    <w:rsid w:val="00D804D2"/>
    <w:rsid w:val="00D81E2F"/>
    <w:rsid w:val="00D83060"/>
    <w:rsid w:val="00D84A2D"/>
    <w:rsid w:val="00D85A2D"/>
    <w:rsid w:val="00D8749B"/>
    <w:rsid w:val="00D87DB9"/>
    <w:rsid w:val="00D90EAA"/>
    <w:rsid w:val="00D925A4"/>
    <w:rsid w:val="00DA0C9A"/>
    <w:rsid w:val="00DA3088"/>
    <w:rsid w:val="00DA4CF2"/>
    <w:rsid w:val="00DA68EF"/>
    <w:rsid w:val="00DB09A5"/>
    <w:rsid w:val="00DB11D4"/>
    <w:rsid w:val="00DB227F"/>
    <w:rsid w:val="00DC3AC1"/>
    <w:rsid w:val="00DC5105"/>
    <w:rsid w:val="00DD09EF"/>
    <w:rsid w:val="00DD20D1"/>
    <w:rsid w:val="00DD64C5"/>
    <w:rsid w:val="00DD675E"/>
    <w:rsid w:val="00DE14E2"/>
    <w:rsid w:val="00DE15AC"/>
    <w:rsid w:val="00DE2C36"/>
    <w:rsid w:val="00DE2F94"/>
    <w:rsid w:val="00DE4595"/>
    <w:rsid w:val="00DE4A91"/>
    <w:rsid w:val="00DE6B35"/>
    <w:rsid w:val="00DE70C2"/>
    <w:rsid w:val="00DE7DF4"/>
    <w:rsid w:val="00DF0675"/>
    <w:rsid w:val="00DF46A7"/>
    <w:rsid w:val="00DF4FE6"/>
    <w:rsid w:val="00DF580D"/>
    <w:rsid w:val="00DF6FDA"/>
    <w:rsid w:val="00DF7E2B"/>
    <w:rsid w:val="00E0314E"/>
    <w:rsid w:val="00E05885"/>
    <w:rsid w:val="00E10BFB"/>
    <w:rsid w:val="00E1249A"/>
    <w:rsid w:val="00E12880"/>
    <w:rsid w:val="00E1288F"/>
    <w:rsid w:val="00E14D9E"/>
    <w:rsid w:val="00E16DA6"/>
    <w:rsid w:val="00E21904"/>
    <w:rsid w:val="00E21E99"/>
    <w:rsid w:val="00E2228E"/>
    <w:rsid w:val="00E23E56"/>
    <w:rsid w:val="00E268D5"/>
    <w:rsid w:val="00E3060A"/>
    <w:rsid w:val="00E30FFC"/>
    <w:rsid w:val="00E327A1"/>
    <w:rsid w:val="00E33EF0"/>
    <w:rsid w:val="00E35957"/>
    <w:rsid w:val="00E370BF"/>
    <w:rsid w:val="00E377EE"/>
    <w:rsid w:val="00E37CB8"/>
    <w:rsid w:val="00E37E6B"/>
    <w:rsid w:val="00E4016D"/>
    <w:rsid w:val="00E510C4"/>
    <w:rsid w:val="00E51B49"/>
    <w:rsid w:val="00E530B7"/>
    <w:rsid w:val="00E54066"/>
    <w:rsid w:val="00E611A2"/>
    <w:rsid w:val="00E61BAB"/>
    <w:rsid w:val="00E63386"/>
    <w:rsid w:val="00E729CB"/>
    <w:rsid w:val="00E73C50"/>
    <w:rsid w:val="00E777C8"/>
    <w:rsid w:val="00E8011B"/>
    <w:rsid w:val="00E81EE4"/>
    <w:rsid w:val="00E82DCD"/>
    <w:rsid w:val="00E83444"/>
    <w:rsid w:val="00E83578"/>
    <w:rsid w:val="00E849E6"/>
    <w:rsid w:val="00E84DD9"/>
    <w:rsid w:val="00E85808"/>
    <w:rsid w:val="00E870C1"/>
    <w:rsid w:val="00E909E6"/>
    <w:rsid w:val="00E90B70"/>
    <w:rsid w:val="00E924EC"/>
    <w:rsid w:val="00EA27C3"/>
    <w:rsid w:val="00EA2BEE"/>
    <w:rsid w:val="00EA347E"/>
    <w:rsid w:val="00EA5F36"/>
    <w:rsid w:val="00EA7A70"/>
    <w:rsid w:val="00EB15F9"/>
    <w:rsid w:val="00EB2AAE"/>
    <w:rsid w:val="00EB2FED"/>
    <w:rsid w:val="00EB555F"/>
    <w:rsid w:val="00EB57CA"/>
    <w:rsid w:val="00EB76D8"/>
    <w:rsid w:val="00EC07F6"/>
    <w:rsid w:val="00EC07FA"/>
    <w:rsid w:val="00EC3FB8"/>
    <w:rsid w:val="00EC5B03"/>
    <w:rsid w:val="00EC6D9E"/>
    <w:rsid w:val="00EC77D0"/>
    <w:rsid w:val="00EC7EAE"/>
    <w:rsid w:val="00ED171F"/>
    <w:rsid w:val="00ED3B0C"/>
    <w:rsid w:val="00ED7B80"/>
    <w:rsid w:val="00EE087B"/>
    <w:rsid w:val="00EE0CC2"/>
    <w:rsid w:val="00EE18F8"/>
    <w:rsid w:val="00EE2204"/>
    <w:rsid w:val="00EE31D9"/>
    <w:rsid w:val="00EE33B8"/>
    <w:rsid w:val="00EF0C53"/>
    <w:rsid w:val="00EF0E92"/>
    <w:rsid w:val="00EF368A"/>
    <w:rsid w:val="00EF381B"/>
    <w:rsid w:val="00EF4795"/>
    <w:rsid w:val="00EF4FE0"/>
    <w:rsid w:val="00EF6F9D"/>
    <w:rsid w:val="00EF7495"/>
    <w:rsid w:val="00F038F0"/>
    <w:rsid w:val="00F04E2C"/>
    <w:rsid w:val="00F06CE8"/>
    <w:rsid w:val="00F0783D"/>
    <w:rsid w:val="00F12E5F"/>
    <w:rsid w:val="00F14E08"/>
    <w:rsid w:val="00F172EB"/>
    <w:rsid w:val="00F203B0"/>
    <w:rsid w:val="00F20CD7"/>
    <w:rsid w:val="00F210E9"/>
    <w:rsid w:val="00F2150A"/>
    <w:rsid w:val="00F22AF0"/>
    <w:rsid w:val="00F23D0D"/>
    <w:rsid w:val="00F23FE6"/>
    <w:rsid w:val="00F25A65"/>
    <w:rsid w:val="00F32A60"/>
    <w:rsid w:val="00F33929"/>
    <w:rsid w:val="00F35BB4"/>
    <w:rsid w:val="00F36E8E"/>
    <w:rsid w:val="00F424C2"/>
    <w:rsid w:val="00F42C1C"/>
    <w:rsid w:val="00F4744B"/>
    <w:rsid w:val="00F47E0F"/>
    <w:rsid w:val="00F504FB"/>
    <w:rsid w:val="00F55691"/>
    <w:rsid w:val="00F55B87"/>
    <w:rsid w:val="00F6361F"/>
    <w:rsid w:val="00F65724"/>
    <w:rsid w:val="00F66561"/>
    <w:rsid w:val="00F70B21"/>
    <w:rsid w:val="00F71390"/>
    <w:rsid w:val="00F72F62"/>
    <w:rsid w:val="00F737D1"/>
    <w:rsid w:val="00F73E1F"/>
    <w:rsid w:val="00F77459"/>
    <w:rsid w:val="00F809EE"/>
    <w:rsid w:val="00F83CC3"/>
    <w:rsid w:val="00F844E6"/>
    <w:rsid w:val="00F849DE"/>
    <w:rsid w:val="00F84BE4"/>
    <w:rsid w:val="00F865A3"/>
    <w:rsid w:val="00F9026E"/>
    <w:rsid w:val="00F909DB"/>
    <w:rsid w:val="00F9314E"/>
    <w:rsid w:val="00F9432D"/>
    <w:rsid w:val="00F9475F"/>
    <w:rsid w:val="00FA192F"/>
    <w:rsid w:val="00FA3D05"/>
    <w:rsid w:val="00FA4C1B"/>
    <w:rsid w:val="00FA5355"/>
    <w:rsid w:val="00FA6BF1"/>
    <w:rsid w:val="00FB4542"/>
    <w:rsid w:val="00FB6C2F"/>
    <w:rsid w:val="00FC0091"/>
    <w:rsid w:val="00FC10E9"/>
    <w:rsid w:val="00FC1E43"/>
    <w:rsid w:val="00FC4FF0"/>
    <w:rsid w:val="00FC57BC"/>
    <w:rsid w:val="00FC5D7E"/>
    <w:rsid w:val="00FD01DC"/>
    <w:rsid w:val="00FD01E1"/>
    <w:rsid w:val="00FD0755"/>
    <w:rsid w:val="00FD13B2"/>
    <w:rsid w:val="00FD16EA"/>
    <w:rsid w:val="00FD3EA0"/>
    <w:rsid w:val="00FD4DFC"/>
    <w:rsid w:val="00FD6173"/>
    <w:rsid w:val="00FE19A7"/>
    <w:rsid w:val="00FE3132"/>
    <w:rsid w:val="00FE47F2"/>
    <w:rsid w:val="00FE6C0D"/>
    <w:rsid w:val="00FF10DD"/>
    <w:rsid w:val="00FF1194"/>
    <w:rsid w:val="00FF25B5"/>
    <w:rsid w:val="00FF2F68"/>
    <w:rsid w:val="00FF3C70"/>
    <w:rsid w:val="00FF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89817EE"/>
  <w15:docId w15:val="{E74CE97A-50E6-4BCC-AC12-AFDA3263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A2D"/>
    <w:pPr>
      <w:spacing w:after="200" w:line="276" w:lineRule="auto"/>
    </w:pPr>
    <w:rPr>
      <w:rFonts w:ascii="Arial" w:eastAsia="Arial" w:hAnsi="Arial" w:cs="Arial"/>
      <w:lang w:eastAsia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4A2D"/>
    <w:pPr>
      <w:keepNext/>
      <w:keepLines/>
      <w:spacing w:after="100"/>
      <w:outlineLvl w:val="1"/>
    </w:pPr>
    <w:rPr>
      <w:rFonts w:ascii="Calibri" w:eastAsia="Calibri" w:hAnsi="Calibri" w:cs="Calibri"/>
      <w:b/>
      <w:smallCaps/>
      <w:color w:val="008B98"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4A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4A2D"/>
    <w:rPr>
      <w:rFonts w:ascii="Calibri" w:eastAsia="Calibri" w:hAnsi="Calibri" w:cs="Calibri"/>
      <w:b/>
      <w:smallCaps/>
      <w:color w:val="008B98"/>
      <w:sz w:val="18"/>
      <w:szCs w:val="18"/>
      <w:lang w:eastAsia="pl-PL"/>
    </w:rPr>
  </w:style>
  <w:style w:type="paragraph" w:styleId="Footer">
    <w:name w:val="footer"/>
    <w:basedOn w:val="Normal"/>
    <w:link w:val="FooterChar"/>
    <w:uiPriority w:val="99"/>
    <w:unhideWhenUsed/>
    <w:rsid w:val="00D84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A2D"/>
    <w:rPr>
      <w:rFonts w:ascii="Arial" w:eastAsia="Arial" w:hAnsi="Arial" w:cs="Arial"/>
      <w:lang w:eastAsia="pl-PL"/>
    </w:rPr>
  </w:style>
  <w:style w:type="character" w:styleId="Hyperlink">
    <w:name w:val="Hyperlink"/>
    <w:basedOn w:val="DefaultParagraphFont"/>
    <w:unhideWhenUsed/>
    <w:qFormat/>
    <w:rsid w:val="00D84A2D"/>
    <w:rPr>
      <w:color w:val="4472C4" w:themeColor="accent1"/>
      <w:u w:val="single"/>
    </w:rPr>
  </w:style>
  <w:style w:type="table" w:styleId="TableGrid">
    <w:name w:val="Table Grid"/>
    <w:basedOn w:val="TableNormal"/>
    <w:uiPriority w:val="59"/>
    <w:rsid w:val="00D84A2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Name">
    <w:name w:val="ContactName"/>
    <w:basedOn w:val="Heading3"/>
    <w:qFormat/>
    <w:rsid w:val="00D84A2D"/>
    <w:pPr>
      <w:spacing w:before="0" w:line="216" w:lineRule="atLeast"/>
    </w:pPr>
    <w:rPr>
      <w:rFonts w:ascii="Calibri" w:eastAsia="Times New Roman" w:hAnsi="Calibri" w:cs="Times New Roman"/>
      <w:b/>
      <w:bCs/>
      <w:color w:val="008B98"/>
      <w:sz w:val="18"/>
      <w:lang w:val="en-GB" w:eastAsia="en-GB"/>
    </w:rPr>
  </w:style>
  <w:style w:type="paragraph" w:customStyle="1" w:styleId="ContactDetail">
    <w:name w:val="ContactDetail"/>
    <w:basedOn w:val="Normal"/>
    <w:rsid w:val="00D84A2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val="en-GB" w:eastAsia="en-GB"/>
    </w:rPr>
  </w:style>
  <w:style w:type="character" w:customStyle="1" w:styleId="Brak">
    <w:name w:val="Brak"/>
    <w:rsid w:val="00D84A2D"/>
  </w:style>
  <w:style w:type="character" w:customStyle="1" w:styleId="Hyperlink0">
    <w:name w:val="Hyperlink.0"/>
    <w:basedOn w:val="Brak"/>
    <w:rsid w:val="00D84A2D"/>
  </w:style>
  <w:style w:type="table" w:customStyle="1" w:styleId="PlainTable41">
    <w:name w:val="Plain Table 41"/>
    <w:basedOn w:val="TableNormal"/>
    <w:uiPriority w:val="44"/>
    <w:rsid w:val="00D84A2D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D84A2D"/>
    <w:pPr>
      <w:spacing w:after="0" w:line="240" w:lineRule="auto"/>
    </w:pPr>
    <w:rPr>
      <w:rFonts w:ascii="Calibri" w:eastAsia="Times New Roman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84A2D"/>
    <w:rPr>
      <w:rFonts w:ascii="Calibri" w:eastAsia="Times New Roman" w:hAnsi="Calibri" w:cs="Consolas"/>
      <w:szCs w:val="21"/>
      <w:lang w:eastAsia="pl-PL"/>
    </w:rPr>
  </w:style>
  <w:style w:type="character" w:customStyle="1" w:styleId="Heading3Char">
    <w:name w:val="Heading 3 Char"/>
    <w:basedOn w:val="DefaultParagraphFont"/>
    <w:link w:val="Heading3"/>
    <w:uiPriority w:val="9"/>
    <w:rsid w:val="00D84A2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CB2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2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2FB2"/>
    <w:rPr>
      <w:rFonts w:ascii="Arial" w:eastAsia="Arial" w:hAnsi="Arial" w:cs="Arial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FB2"/>
    <w:rPr>
      <w:rFonts w:ascii="Arial" w:eastAsia="Arial" w:hAnsi="Arial" w:cs="Arial"/>
      <w:b/>
      <w:bCs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B2"/>
    <w:rPr>
      <w:rFonts w:ascii="Segoe UI" w:eastAsia="Arial" w:hAnsi="Segoe UI" w:cs="Segoe UI"/>
      <w:sz w:val="18"/>
      <w:szCs w:val="18"/>
      <w:lang w:eastAsia="pl-PL"/>
    </w:rPr>
  </w:style>
  <w:style w:type="paragraph" w:styleId="Revision">
    <w:name w:val="Revision"/>
    <w:hidden/>
    <w:uiPriority w:val="99"/>
    <w:semiHidden/>
    <w:rsid w:val="005323BE"/>
    <w:pPr>
      <w:spacing w:after="0" w:line="240" w:lineRule="auto"/>
    </w:pPr>
    <w:rPr>
      <w:rFonts w:ascii="Arial" w:eastAsia="Arial" w:hAnsi="Arial" w:cs="Arial"/>
      <w:lang w:eastAsia="pl-P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6C9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6C95"/>
    <w:rPr>
      <w:rFonts w:ascii="Arial" w:eastAsia="Arial" w:hAnsi="Arial" w:cs="Arial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unhideWhenUsed/>
    <w:rsid w:val="00976C9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77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D91"/>
    <w:rPr>
      <w:rFonts w:ascii="Arial" w:eastAsia="Arial" w:hAnsi="Arial" w:cs="Arial"/>
      <w:lang w:eastAsia="pl-PL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B77D9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efaultParagraphFont"/>
    <w:uiPriority w:val="99"/>
    <w:semiHidden/>
    <w:unhideWhenUsed/>
    <w:rsid w:val="006B635B"/>
    <w:rPr>
      <w:color w:val="605E5C"/>
      <w:shd w:val="clear" w:color="auto" w:fill="E1DFDD"/>
    </w:rPr>
  </w:style>
  <w:style w:type="paragraph" w:customStyle="1" w:styleId="western">
    <w:name w:val="western"/>
    <w:basedOn w:val="Normal"/>
    <w:rsid w:val="00FE3132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Strong">
    <w:name w:val="Strong"/>
    <w:basedOn w:val="DefaultParagraphFont"/>
    <w:uiPriority w:val="22"/>
    <w:qFormat/>
    <w:rsid w:val="00FE313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E31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Emphasis">
    <w:name w:val="Emphasis"/>
    <w:basedOn w:val="DefaultParagraphFont"/>
    <w:uiPriority w:val="20"/>
    <w:qFormat/>
    <w:rsid w:val="00E909E6"/>
    <w:rPr>
      <w:i/>
      <w:iCs/>
    </w:rPr>
  </w:style>
  <w:style w:type="character" w:customStyle="1" w:styleId="cf01">
    <w:name w:val="cf01"/>
    <w:basedOn w:val="DefaultParagraphFont"/>
    <w:rsid w:val="00167436"/>
    <w:rPr>
      <w:rFonts w:ascii="Segoe UI" w:hAnsi="Segoe UI" w:cs="Segoe UI" w:hint="default"/>
      <w:sz w:val="18"/>
      <w:szCs w:val="18"/>
    </w:rPr>
  </w:style>
  <w:style w:type="character" w:customStyle="1" w:styleId="apple-converted-space">
    <w:name w:val="apple-converted-space"/>
    <w:basedOn w:val="DefaultParagraphFont"/>
    <w:rsid w:val="00775E16"/>
  </w:style>
  <w:style w:type="paragraph" w:styleId="ListParagraph">
    <w:name w:val="List Paragraph"/>
    <w:basedOn w:val="Normal"/>
    <w:uiPriority w:val="34"/>
    <w:qFormat/>
    <w:rsid w:val="00AF11EE"/>
    <w:pPr>
      <w:spacing w:after="0" w:line="240" w:lineRule="auto"/>
      <w:ind w:left="720"/>
    </w:pPr>
    <w:rPr>
      <w:rFonts w:ascii="Calibri" w:eastAsiaTheme="minorHAnsi" w:hAnsi="Calibri" w:cs="Calibri"/>
      <w:lang w:val="en-GB" w:eastAsia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AF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11E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11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11EE"/>
    <w:rPr>
      <w:vertAlign w:val="superscript"/>
    </w:rPr>
  </w:style>
  <w:style w:type="character" w:customStyle="1" w:styleId="normaltextrun">
    <w:name w:val="normaltextrun"/>
    <w:basedOn w:val="DefaultParagraphFont"/>
    <w:rsid w:val="00C0604F"/>
  </w:style>
  <w:style w:type="character" w:customStyle="1" w:styleId="eop">
    <w:name w:val="eop"/>
    <w:basedOn w:val="DefaultParagraphFont"/>
    <w:rsid w:val="00C0604F"/>
  </w:style>
  <w:style w:type="paragraph" w:customStyle="1" w:styleId="pf0">
    <w:name w:val="pf0"/>
    <w:basedOn w:val="Normal"/>
    <w:rsid w:val="00A12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62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0FF6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0431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4310E"/>
    <w:rPr>
      <w:rFonts w:ascii="Arial" w:eastAsia="Arial" w:hAnsi="Arial" w:cs="Arial"/>
      <w:lang w:eastAsia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642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19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10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67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384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08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266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91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95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581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1578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5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1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ushmanwakefield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rolina.samczynska@cushwak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irst.last@cushwa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09ED7BA2763A478EDE0130F91B5123" ma:contentTypeVersion="15" ma:contentTypeDescription="Create a new document." ma:contentTypeScope="" ma:versionID="f0827b97c411c567ea7b6231876734c3">
  <xsd:schema xmlns:xsd="http://www.w3.org/2001/XMLSchema" xmlns:xs="http://www.w3.org/2001/XMLSchema" xmlns:p="http://schemas.microsoft.com/office/2006/metadata/properties" xmlns:ns2="ad0eda28-077b-48b4-981d-21104f8134f6" xmlns:ns3="9e8c748b-9673-4c43-b9e9-f6f47eed6137" targetNamespace="http://schemas.microsoft.com/office/2006/metadata/properties" ma:root="true" ma:fieldsID="b88f6f328498e53ec5465a59d7175b84" ns2:_="" ns3:_="">
    <xsd:import namespace="ad0eda28-077b-48b4-981d-21104f8134f6"/>
    <xsd:import namespace="9e8c748b-9673-4c43-b9e9-f6f47eed61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eda28-077b-48b4-981d-21104f813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8603ae-3637-436a-adfc-4f3f468c9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c748b-9673-4c43-b9e9-f6f47eed61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de1b-057e-4a17-a9b6-2fa292d2b0ef}" ma:internalName="TaxCatchAll" ma:showField="CatchAllData" ma:web="9e8c748b-9673-4c43-b9e9-f6f47eed6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8c748b-9673-4c43-b9e9-f6f47eed6137" xsi:nil="true"/>
    <lcf76f155ced4ddcb4097134ff3c332f xmlns="ad0eda28-077b-48b4-981d-21104f8134f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7DE266-5DC0-4843-A4A2-35C1C25F4D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1A7165-7933-4207-B555-4CFBF4C92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0eda28-077b-48b4-981d-21104f8134f6"/>
    <ds:schemaRef ds:uri="9e8c748b-9673-4c43-b9e9-f6f47eed6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22DD7A-76A6-40A8-8556-74F891675D7E}">
  <ds:schemaRefs>
    <ds:schemaRef ds:uri="http://schemas.microsoft.com/office/2006/metadata/properties"/>
    <ds:schemaRef ds:uri="http://schemas.microsoft.com/office/infopath/2007/PartnerControls"/>
    <ds:schemaRef ds:uri="9e8c748b-9673-4c43-b9e9-f6f47eed6137"/>
    <ds:schemaRef ds:uri="ad0eda28-077b-48b4-981d-21104f8134f6"/>
  </ds:schemaRefs>
</ds:datastoreItem>
</file>

<file path=customXml/itemProps4.xml><?xml version="1.0" encoding="utf-8"?>
<ds:datastoreItem xmlns:ds="http://schemas.openxmlformats.org/officeDocument/2006/customXml" ds:itemID="{8C303DC5-36C3-4D01-A699-677E7E9556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1125</Words>
  <Characters>6414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magdalena ossowska</cp:lastModifiedBy>
  <cp:revision>2</cp:revision>
  <dcterms:created xsi:type="dcterms:W3CDTF">2026-10-27T08:56:00Z</dcterms:created>
  <dcterms:modified xsi:type="dcterms:W3CDTF">2026-10-27T08:56:00Z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01c4386eb9a1dc9de2fec12738f87015bcc4ef4c8803dccae430c9e60e042de1</vt:lpwstr>
  </property>
  <property fmtid="{D5CDD505-2E9C-101B-9397-08002B2CF9AE}" pid="3" name="ContentTypeId">
    <vt:lpwstr>0x010100C609ED7BA2763A478EDE0130F91B5123</vt:lpwstr>
  </property>
</Properties>
</file>