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DEB078" w14:textId="77777777" w:rsidR="009B7D42" w:rsidRDefault="009B7D42" w:rsidP="009B7D42">
      <w:pPr>
        <w:rPr>
          <w:lang w:val="en-GB"/>
        </w:rPr>
      </w:pPr>
    </w:p>
    <w:p w14:paraId="74B0C2B9" w14:textId="77777777" w:rsidR="009B7D42" w:rsidRDefault="009B7D42" w:rsidP="009B7D42">
      <w:pPr>
        <w:rPr>
          <w:lang w:val="en-GB"/>
        </w:rPr>
      </w:pPr>
    </w:p>
    <w:p w14:paraId="79B6C4D8" w14:textId="677575C3" w:rsidR="009B7D42" w:rsidRPr="004105C4" w:rsidRDefault="009B7D42" w:rsidP="009B7D42">
      <w:pPr>
        <w:jc w:val="center"/>
        <w:rPr>
          <w:rFonts w:asciiTheme="majorHAnsi" w:eastAsiaTheme="majorEastAsia" w:hAnsiTheme="majorHAnsi" w:cs="Arial (Headings)"/>
          <w:b/>
          <w:caps/>
          <w:noProof/>
          <w:color w:val="219CDC" w:themeColor="accent5"/>
          <w:sz w:val="40"/>
          <w:szCs w:val="40"/>
          <w:lang w:val="pl-PL"/>
          <w14:textFill>
            <w14:gradFill>
              <w14:gsLst>
                <w14:gs w14:pos="50000">
                  <w14:schemeClr w14:val="accent5"/>
                </w14:gs>
                <w14:gs w14:pos="0">
                  <w14:schemeClr w14:val="accent1"/>
                </w14:gs>
                <w14:gs w14:pos="100000">
                  <w14:schemeClr w14:val="accent4"/>
                </w14:gs>
              </w14:gsLst>
              <w14:lin w14:ang="0" w14:scaled="0"/>
            </w14:gradFill>
          </w14:textFill>
        </w:rPr>
      </w:pPr>
      <w:r w:rsidRPr="004105C4">
        <w:rPr>
          <w:rFonts w:asciiTheme="majorHAnsi" w:eastAsiaTheme="majorEastAsia" w:hAnsiTheme="majorHAnsi" w:cs="Arial (Headings)"/>
          <w:b/>
          <w:caps/>
          <w:noProof/>
          <w:color w:val="219CDC" w:themeColor="accent5"/>
          <w:sz w:val="40"/>
          <w:szCs w:val="40"/>
          <w:lang w:val="pl-PL"/>
          <w14:textFill>
            <w14:gradFill>
              <w14:gsLst>
                <w14:gs w14:pos="50000">
                  <w14:schemeClr w14:val="accent5"/>
                </w14:gs>
                <w14:gs w14:pos="0">
                  <w14:schemeClr w14:val="accent1"/>
                </w14:gs>
                <w14:gs w14:pos="100000">
                  <w14:schemeClr w14:val="accent4"/>
                </w14:gs>
              </w14:gsLst>
              <w14:lin w14:ang="0" w14:scaled="0"/>
            </w14:gradFill>
          </w14:textFill>
        </w:rPr>
        <w:t>Szpital dobrze zaprojektowany.</w:t>
      </w:r>
    </w:p>
    <w:p w14:paraId="73AA8EEC" w14:textId="19E27706" w:rsidR="009B7D42" w:rsidRPr="004105C4" w:rsidRDefault="009B7D42" w:rsidP="009B7D42">
      <w:pPr>
        <w:jc w:val="center"/>
        <w:rPr>
          <w:rFonts w:asciiTheme="majorHAnsi" w:eastAsiaTheme="majorEastAsia" w:hAnsiTheme="majorHAnsi" w:cs="Arial (Headings)"/>
          <w:b/>
          <w:caps/>
          <w:noProof/>
          <w:color w:val="219CDC" w:themeColor="accent5"/>
          <w:sz w:val="40"/>
          <w:szCs w:val="40"/>
          <w:lang w:val="pl-PL"/>
          <w14:textFill>
            <w14:gradFill>
              <w14:gsLst>
                <w14:gs w14:pos="50000">
                  <w14:schemeClr w14:val="accent5"/>
                </w14:gs>
                <w14:gs w14:pos="0">
                  <w14:schemeClr w14:val="accent1"/>
                </w14:gs>
                <w14:gs w14:pos="100000">
                  <w14:schemeClr w14:val="accent4"/>
                </w14:gs>
              </w14:gsLst>
              <w14:lin w14:ang="0" w14:scaled="0"/>
            </w14:gradFill>
          </w14:textFill>
        </w:rPr>
      </w:pPr>
      <w:r w:rsidRPr="004105C4">
        <w:rPr>
          <w:rFonts w:asciiTheme="majorHAnsi" w:eastAsiaTheme="majorEastAsia" w:hAnsiTheme="majorHAnsi" w:cs="Arial (Headings)"/>
          <w:b/>
          <w:caps/>
          <w:noProof/>
          <w:color w:val="219CDC" w:themeColor="accent5"/>
          <w:sz w:val="40"/>
          <w:szCs w:val="40"/>
          <w:lang w:val="pl-PL"/>
          <w14:textFill>
            <w14:gradFill>
              <w14:gsLst>
                <w14:gs w14:pos="50000">
                  <w14:schemeClr w14:val="accent5"/>
                </w14:gs>
                <w14:gs w14:pos="0">
                  <w14:schemeClr w14:val="accent1"/>
                </w14:gs>
                <w14:gs w14:pos="100000">
                  <w14:schemeClr w14:val="accent4"/>
                </w14:gs>
              </w14:gsLst>
              <w14:lin w14:ang="0" w14:scaled="0"/>
            </w14:gradFill>
          </w14:textFill>
        </w:rPr>
        <w:t>Jak tworzyć przestrzeń, która wspiera powrót do zdrowia</w:t>
      </w:r>
      <w:r w:rsidR="004C67AD">
        <w:rPr>
          <w:rFonts w:asciiTheme="majorHAnsi" w:eastAsiaTheme="majorEastAsia" w:hAnsiTheme="majorHAnsi" w:cs="Arial (Headings)"/>
          <w:b/>
          <w:caps/>
          <w:noProof/>
          <w:color w:val="219CDC" w:themeColor="accent5"/>
          <w:sz w:val="40"/>
          <w:szCs w:val="40"/>
          <w:lang w:val="pl-PL"/>
          <w14:textFill>
            <w14:gradFill>
              <w14:gsLst>
                <w14:gs w14:pos="50000">
                  <w14:schemeClr w14:val="accent5"/>
                </w14:gs>
                <w14:gs w14:pos="0">
                  <w14:schemeClr w14:val="accent1"/>
                </w14:gs>
                <w14:gs w14:pos="100000">
                  <w14:schemeClr w14:val="accent4"/>
                </w14:gs>
              </w14:gsLst>
              <w14:lin w14:ang="0" w14:scaled="0"/>
            </w14:gradFill>
          </w14:textFill>
        </w:rPr>
        <w:t>?</w:t>
      </w:r>
    </w:p>
    <w:p w14:paraId="7A97B39F" w14:textId="77777777" w:rsidR="009B7D42" w:rsidRDefault="009B7D42" w:rsidP="009B7D42">
      <w:pPr>
        <w:rPr>
          <w:lang w:val="pl-PL"/>
        </w:rPr>
      </w:pPr>
    </w:p>
    <w:p w14:paraId="526C8B56" w14:textId="2033B446" w:rsidR="009B7D42" w:rsidRPr="003276DE" w:rsidRDefault="009B7D42" w:rsidP="003276DE">
      <w:pPr>
        <w:jc w:val="both"/>
        <w:rPr>
          <w:b/>
          <w:bCs/>
          <w:color w:val="17428C" w:themeColor="accent6"/>
          <w:lang w:val="pl-PL"/>
        </w:rPr>
      </w:pPr>
      <w:r w:rsidRPr="003276DE">
        <w:rPr>
          <w:b/>
          <w:bCs/>
          <w:color w:val="17428C" w:themeColor="accent6"/>
          <w:lang w:val="pl-PL"/>
        </w:rPr>
        <w:t>Szpital jest jednym z najbardziej wymagających typów budynków. Musi jednocześnie zapewniać bezpieczeństwo i higienę, odpowiednie warunki akustyczne i świetlne, dostępność, komfort cieplny, efektywność energetyczną, a przy tym sprostać intensywnej, wieloletniej eksploatacji. Dlatego jego projektowanie i modernizacja wymagają czegoś więcej niż właściwego doboru pojedynczych materiałów. Kluczowe jest spojrzenie na budynek jako całość oraz na potrzeby ludzi, którzy będą z niego korzystać każdego dnia.</w:t>
      </w:r>
    </w:p>
    <w:p w14:paraId="292A4A05" w14:textId="23C6B736" w:rsidR="009B7D42" w:rsidRPr="003276DE" w:rsidRDefault="009B7D42" w:rsidP="003276DE">
      <w:pPr>
        <w:jc w:val="both"/>
        <w:rPr>
          <w:color w:val="17428C" w:themeColor="accent6"/>
          <w:lang w:val="pl-PL"/>
        </w:rPr>
      </w:pPr>
      <w:r w:rsidRPr="003276DE">
        <w:rPr>
          <w:color w:val="17428C" w:themeColor="accent6"/>
          <w:lang w:val="pl-PL"/>
        </w:rPr>
        <w:t xml:space="preserve">Takie podejście stoi za nowym </w:t>
      </w:r>
      <w:r w:rsidR="00E70157" w:rsidRPr="003276DE">
        <w:rPr>
          <w:color w:val="17428C" w:themeColor="accent6"/>
          <w:lang w:val="pl-PL"/>
        </w:rPr>
        <w:t>k</w:t>
      </w:r>
      <w:r w:rsidR="00E70157">
        <w:rPr>
          <w:color w:val="17428C" w:themeColor="accent6"/>
          <w:lang w:val="pl-PL"/>
        </w:rPr>
        <w:t>atalogiem</w:t>
      </w:r>
      <w:r w:rsidR="006960EA" w:rsidRPr="003276DE">
        <w:rPr>
          <w:color w:val="17428C" w:themeColor="accent6"/>
          <w:lang w:val="pl-PL"/>
        </w:rPr>
        <w:t xml:space="preserve"> </w:t>
      </w:r>
      <w:r w:rsidRPr="003276DE">
        <w:rPr>
          <w:b/>
          <w:bCs/>
          <w:color w:val="17428C" w:themeColor="accent6"/>
          <w:lang w:val="pl-PL"/>
        </w:rPr>
        <w:t>„Rozwiązania Saint-Gobain dla ochrony zdrowia”</w:t>
      </w:r>
      <w:r w:rsidRPr="003276DE">
        <w:rPr>
          <w:color w:val="17428C" w:themeColor="accent6"/>
          <w:lang w:val="pl-PL"/>
        </w:rPr>
        <w:t xml:space="preserve">, </w:t>
      </w:r>
      <w:r w:rsidR="00C34B18" w:rsidRPr="00C34B18">
        <w:rPr>
          <w:color w:val="17428C" w:themeColor="accent6"/>
          <w:lang w:val="pl-PL"/>
        </w:rPr>
        <w:t xml:space="preserve">który pomaga projektantom i inwestorom przekładać potrzeby użytkowników oraz wymagania prawne na konkretne rozwiązania techniczne. </w:t>
      </w:r>
      <w:r w:rsidRPr="003276DE">
        <w:rPr>
          <w:color w:val="17428C" w:themeColor="accent6"/>
          <w:lang w:val="pl-PL"/>
        </w:rPr>
        <w:t xml:space="preserve">Łączy wiedzę dotyczącą bryły budynku, jego wnętrz i wyposażenia technicznego oraz pokazuje, jak poszczególne decyzje projektowe wpływają na komfort pacjentów, warunki pracy personelu, bezpieczeństwo i późniejszą eksploatację obiektu. </w:t>
      </w:r>
    </w:p>
    <w:p w14:paraId="56666B3F" w14:textId="77777777" w:rsidR="009B7D42" w:rsidRPr="003276DE" w:rsidRDefault="009B7D42" w:rsidP="003276DE">
      <w:pPr>
        <w:jc w:val="both"/>
        <w:rPr>
          <w:b/>
          <w:bCs/>
          <w:color w:val="17428C" w:themeColor="accent6"/>
          <w:lang w:val="pl-PL"/>
        </w:rPr>
      </w:pPr>
      <w:r w:rsidRPr="003276DE">
        <w:rPr>
          <w:b/>
          <w:bCs/>
          <w:color w:val="17428C" w:themeColor="accent6"/>
          <w:lang w:val="pl-PL"/>
        </w:rPr>
        <w:t>Jeden szpital, wiele różnych potrzeb</w:t>
      </w:r>
    </w:p>
    <w:p w14:paraId="322D2A07" w14:textId="0C9DA980" w:rsidR="009B7D42" w:rsidRPr="003276DE" w:rsidRDefault="009B7D42" w:rsidP="003276DE">
      <w:pPr>
        <w:jc w:val="both"/>
        <w:rPr>
          <w:color w:val="17428C" w:themeColor="accent6"/>
          <w:lang w:val="pl-PL"/>
        </w:rPr>
      </w:pPr>
      <w:r w:rsidRPr="003276DE">
        <w:rPr>
          <w:color w:val="17428C" w:themeColor="accent6"/>
          <w:lang w:val="pl-PL"/>
        </w:rPr>
        <w:t xml:space="preserve">Sala operacyjna, pracownia RTG, oddział łóżkowy, gabinet, poczekalnia czy ciąg komunikacyjny pełnią zupełnie inne funkcje. W każdej z tych przestrzeni inaczej rozkładają się priorytety: higiena, bezpieczeństwo, prywatność, akustyka, dostęp do światła dziennego czy odporność zastosowanych rozwiązań na intensywną eksploatację. Dlatego nawet w obrębie jednego oddziału mogą być potrzebne materiały i systemy o </w:t>
      </w:r>
      <w:r w:rsidR="00966370">
        <w:rPr>
          <w:color w:val="17428C" w:themeColor="accent6"/>
          <w:lang w:val="pl-PL"/>
        </w:rPr>
        <w:t>odmiennych</w:t>
      </w:r>
      <w:r w:rsidRPr="003276DE">
        <w:rPr>
          <w:color w:val="17428C" w:themeColor="accent6"/>
          <w:lang w:val="pl-PL"/>
        </w:rPr>
        <w:t xml:space="preserve"> właściwościach. </w:t>
      </w:r>
    </w:p>
    <w:p w14:paraId="09B215BA" w14:textId="6F4CA97C" w:rsidR="009B7D42" w:rsidRPr="003276DE" w:rsidRDefault="009B7D42" w:rsidP="003276DE">
      <w:pPr>
        <w:jc w:val="both"/>
        <w:rPr>
          <w:color w:val="17428C" w:themeColor="accent6"/>
          <w:lang w:val="pl-PL"/>
        </w:rPr>
      </w:pPr>
      <w:r w:rsidRPr="003276DE">
        <w:rPr>
          <w:color w:val="17428C" w:themeColor="accent6"/>
          <w:lang w:val="pl-PL"/>
        </w:rPr>
        <w:t xml:space="preserve">Publikacja </w:t>
      </w:r>
      <w:r w:rsidR="00F70426" w:rsidRPr="003276DE">
        <w:rPr>
          <w:color w:val="17428C" w:themeColor="accent6"/>
          <w:lang w:val="pl-PL"/>
        </w:rPr>
        <w:t xml:space="preserve">Grupy </w:t>
      </w:r>
      <w:r w:rsidRPr="003276DE">
        <w:rPr>
          <w:color w:val="17428C" w:themeColor="accent6"/>
          <w:lang w:val="pl-PL"/>
        </w:rPr>
        <w:t xml:space="preserve">Saint-Gobain porządkuje te zagadnienia, prowadząc od skali całego budynku do jego wnętrza: od bezpieczeństwa konstrukcji, ochrony pożarowej i efektywności energetycznej przez odporność na wilgoć, higienę i dostępność aż po akustykę, światło dzienne oraz specjalistyczne wymagania, takie jak ochrona radiologiczna. Dzięki temu projektant może patrzeć na obiekt nie jako zbiór oddzielnych pomieszczeń i produktów, lecz jako </w:t>
      </w:r>
      <w:r w:rsidR="00BB2733" w:rsidRPr="00BB2733">
        <w:rPr>
          <w:b/>
          <w:bCs/>
          <w:color w:val="17428C" w:themeColor="accent6"/>
          <w:lang w:val="pl-PL"/>
        </w:rPr>
        <w:t>całość odpowiadającą na</w:t>
      </w:r>
      <w:r w:rsidR="00BB2733">
        <w:rPr>
          <w:color w:val="17428C" w:themeColor="accent6"/>
          <w:lang w:val="pl-PL"/>
        </w:rPr>
        <w:t xml:space="preserve"> </w:t>
      </w:r>
      <w:r w:rsidR="00966370">
        <w:rPr>
          <w:b/>
          <w:bCs/>
          <w:color w:val="17428C" w:themeColor="accent6"/>
          <w:lang w:val="pl-PL"/>
        </w:rPr>
        <w:t>po</w:t>
      </w:r>
      <w:r w:rsidR="00BB2733">
        <w:rPr>
          <w:b/>
          <w:bCs/>
          <w:color w:val="17428C" w:themeColor="accent6"/>
          <w:lang w:val="pl-PL"/>
        </w:rPr>
        <w:t>trzeby różnych grup użytkowników.</w:t>
      </w:r>
      <w:r w:rsidRPr="003276DE">
        <w:rPr>
          <w:color w:val="17428C" w:themeColor="accent6"/>
          <w:lang w:val="pl-PL"/>
        </w:rPr>
        <w:t xml:space="preserve"> </w:t>
      </w:r>
    </w:p>
    <w:p w14:paraId="0FF8497B" w14:textId="635F4788" w:rsidR="009B7D42" w:rsidRPr="00E70157" w:rsidRDefault="009B7D42" w:rsidP="003276DE">
      <w:pPr>
        <w:jc w:val="both"/>
        <w:rPr>
          <w:b/>
          <w:bCs/>
          <w:color w:val="17428C" w:themeColor="accent6"/>
          <w:lang w:val="pl-PL"/>
        </w:rPr>
      </w:pPr>
      <w:r w:rsidRPr="003276DE">
        <w:rPr>
          <w:color w:val="17428C" w:themeColor="accent6"/>
          <w:lang w:val="pl-PL"/>
        </w:rPr>
        <w:t xml:space="preserve">– </w:t>
      </w:r>
      <w:r w:rsidRPr="003276DE">
        <w:rPr>
          <w:i/>
          <w:iCs/>
          <w:color w:val="17428C" w:themeColor="accent6"/>
          <w:lang w:val="pl-PL"/>
        </w:rPr>
        <w:t>Dobrze zaprojektowany szpital wspiera leczenie nie tylko dzięki sprawnej organizacji, lecz także poprzez jakość przestrzeni. Pacjent nie wie, jakie rozwiązania zastosowano w ścianach czy sufitach, ale odczuwa ich efekt: może odpocząć, korzystać ze światła dziennego i zachować prywatność. Dlatego punktem wyjścia dla architekta powinny być potrzeby człowieka, a dopiero potem dobór materiałów i technologii. Spełnienie norm to podstawa, lecz miarą dobrego projektu jest również to, jak budynek służy ludziom na co dzień</w:t>
      </w:r>
      <w:r w:rsidRPr="003276DE">
        <w:rPr>
          <w:color w:val="17428C" w:themeColor="accent6"/>
          <w:lang w:val="pl-PL"/>
        </w:rPr>
        <w:t xml:space="preserve"> – mówi </w:t>
      </w:r>
      <w:r w:rsidRPr="003276DE">
        <w:rPr>
          <w:b/>
          <w:bCs/>
          <w:color w:val="17428C" w:themeColor="accent6"/>
          <w:lang w:val="pl-PL"/>
        </w:rPr>
        <w:t xml:space="preserve">Katarzyna Kita, </w:t>
      </w:r>
      <w:proofErr w:type="spellStart"/>
      <w:r w:rsidR="009C7D0F" w:rsidRPr="009C7D0F">
        <w:rPr>
          <w:b/>
          <w:bCs/>
          <w:color w:val="17428C" w:themeColor="accent6"/>
          <w:lang w:val="pl-PL"/>
        </w:rPr>
        <w:t>Architect’s</w:t>
      </w:r>
      <w:proofErr w:type="spellEnd"/>
      <w:r w:rsidR="009C7D0F" w:rsidRPr="009C7D0F">
        <w:rPr>
          <w:b/>
          <w:bCs/>
          <w:color w:val="17428C" w:themeColor="accent6"/>
          <w:lang w:val="pl-PL"/>
        </w:rPr>
        <w:t xml:space="preserve"> Technical </w:t>
      </w:r>
      <w:proofErr w:type="spellStart"/>
      <w:r w:rsidR="009C7D0F" w:rsidRPr="009C7D0F">
        <w:rPr>
          <w:b/>
          <w:bCs/>
          <w:color w:val="17428C" w:themeColor="accent6"/>
          <w:lang w:val="pl-PL"/>
        </w:rPr>
        <w:t>Advisory</w:t>
      </w:r>
      <w:proofErr w:type="spellEnd"/>
      <w:r w:rsidR="009C7D0F" w:rsidRPr="009C7D0F">
        <w:rPr>
          <w:b/>
          <w:bCs/>
          <w:color w:val="17428C" w:themeColor="accent6"/>
          <w:lang w:val="pl-PL"/>
        </w:rPr>
        <w:t xml:space="preserve"> Manager</w:t>
      </w:r>
      <w:r w:rsidR="009C7D0F">
        <w:rPr>
          <w:b/>
          <w:bCs/>
          <w:color w:val="17428C" w:themeColor="accent6"/>
          <w:lang w:val="pl-PL"/>
        </w:rPr>
        <w:t xml:space="preserve"> </w:t>
      </w:r>
      <w:r w:rsidRPr="003276DE">
        <w:rPr>
          <w:b/>
          <w:bCs/>
          <w:color w:val="17428C" w:themeColor="accent6"/>
          <w:lang w:val="pl-PL"/>
        </w:rPr>
        <w:t>w Saint-Gobain</w:t>
      </w:r>
      <w:r w:rsidRPr="003276DE">
        <w:rPr>
          <w:color w:val="17428C" w:themeColor="accent6"/>
          <w:lang w:val="pl-PL"/>
        </w:rPr>
        <w:t xml:space="preserve">. </w:t>
      </w:r>
    </w:p>
    <w:p w14:paraId="43279D0B" w14:textId="77777777" w:rsidR="009B7D42" w:rsidRPr="003276DE" w:rsidRDefault="009B7D42" w:rsidP="003276DE">
      <w:pPr>
        <w:jc w:val="both"/>
        <w:rPr>
          <w:b/>
          <w:bCs/>
          <w:color w:val="17428C" w:themeColor="accent6"/>
          <w:lang w:val="pl-PL"/>
        </w:rPr>
      </w:pPr>
      <w:r w:rsidRPr="003276DE">
        <w:rPr>
          <w:b/>
          <w:bCs/>
          <w:color w:val="17428C" w:themeColor="accent6"/>
          <w:lang w:val="pl-PL"/>
        </w:rPr>
        <w:t>Liczy się cały system, nie pojedynczy produkt</w:t>
      </w:r>
    </w:p>
    <w:p w14:paraId="61C09306" w14:textId="6B0EE3EB" w:rsidR="009B7D42" w:rsidRPr="003276DE" w:rsidRDefault="009B7D42" w:rsidP="003276DE">
      <w:pPr>
        <w:jc w:val="both"/>
        <w:rPr>
          <w:color w:val="17428C" w:themeColor="accent6"/>
          <w:lang w:val="pl-PL"/>
        </w:rPr>
      </w:pPr>
      <w:r w:rsidRPr="003276DE">
        <w:rPr>
          <w:color w:val="17428C" w:themeColor="accent6"/>
          <w:lang w:val="pl-PL"/>
        </w:rPr>
        <w:t xml:space="preserve">W </w:t>
      </w:r>
      <w:r w:rsidR="00C34B18">
        <w:rPr>
          <w:color w:val="17428C" w:themeColor="accent6"/>
          <w:lang w:val="pl-PL"/>
        </w:rPr>
        <w:t>placówkach</w:t>
      </w:r>
      <w:r w:rsidR="009948BE" w:rsidRPr="003276DE">
        <w:rPr>
          <w:color w:val="17428C" w:themeColor="accent6"/>
          <w:lang w:val="pl-PL"/>
        </w:rPr>
        <w:t xml:space="preserve"> </w:t>
      </w:r>
      <w:r w:rsidRPr="003276DE">
        <w:rPr>
          <w:color w:val="17428C" w:themeColor="accent6"/>
          <w:lang w:val="pl-PL"/>
        </w:rPr>
        <w:t xml:space="preserve">medycznych wiele wymagań musi zostać spełnionych jednocześnie. Ta sama ściana, podłoga czy sufit mogą odpowiadać równocześnie za bezpieczeństwo, higienę, trwałość, </w:t>
      </w:r>
      <w:r w:rsidRPr="003276DE">
        <w:rPr>
          <w:color w:val="17428C" w:themeColor="accent6"/>
          <w:lang w:val="pl-PL"/>
        </w:rPr>
        <w:lastRenderedPageBreak/>
        <w:t xml:space="preserve">akustykę czy komfort użytkowników. Dlatego parametry pojedynczego materiału nie są wystarczającą odpowiedzią. Równie istotne są sposób jego zastosowania, połączenie z innymi elementami i jakość wykonania. </w:t>
      </w:r>
    </w:p>
    <w:p w14:paraId="33D539D4" w14:textId="7B2E0C2F" w:rsidR="009B7D42" w:rsidRPr="003276DE" w:rsidRDefault="009B7D42" w:rsidP="003276DE">
      <w:pPr>
        <w:jc w:val="both"/>
        <w:rPr>
          <w:color w:val="17428C" w:themeColor="accent6"/>
          <w:lang w:val="pl-PL"/>
        </w:rPr>
      </w:pPr>
      <w:r w:rsidRPr="003276DE">
        <w:rPr>
          <w:color w:val="17428C" w:themeColor="accent6"/>
          <w:lang w:val="pl-PL"/>
        </w:rPr>
        <w:t xml:space="preserve">Szczególnie dobrze widać to w przestrzeniach o specjalistycznych wymaganiach. </w:t>
      </w:r>
      <w:r w:rsidR="00AA7061" w:rsidRPr="003276DE">
        <w:rPr>
          <w:color w:val="17428C" w:themeColor="accent6"/>
          <w:lang w:val="pl-PL"/>
        </w:rPr>
        <w:t>Dla przykładu, w</w:t>
      </w:r>
      <w:r w:rsidRPr="003276DE">
        <w:rPr>
          <w:color w:val="17428C" w:themeColor="accent6"/>
          <w:lang w:val="pl-PL"/>
        </w:rPr>
        <w:t xml:space="preserve"> pracowniach RTG skuteczność ochrony radiologicznej zależy nie tylko od właściwości zastosowanej osłony. Znaczenie ma </w:t>
      </w:r>
      <w:r w:rsidR="00BC0C57">
        <w:rPr>
          <w:color w:val="17428C" w:themeColor="accent6"/>
          <w:lang w:val="pl-PL"/>
        </w:rPr>
        <w:t>też</w:t>
      </w:r>
      <w:r w:rsidR="00BC0C57" w:rsidRPr="003276DE">
        <w:rPr>
          <w:color w:val="17428C" w:themeColor="accent6"/>
          <w:lang w:val="pl-PL"/>
        </w:rPr>
        <w:t xml:space="preserve"> </w:t>
      </w:r>
      <w:r w:rsidRPr="003276DE">
        <w:rPr>
          <w:color w:val="17428C" w:themeColor="accent6"/>
          <w:lang w:val="pl-PL"/>
        </w:rPr>
        <w:t>zachowanie jej ciągłości w narożach, połączeniach</w:t>
      </w:r>
      <w:r w:rsidR="00BC0C57">
        <w:rPr>
          <w:color w:val="17428C" w:themeColor="accent6"/>
          <w:lang w:val="pl-PL"/>
        </w:rPr>
        <w:t xml:space="preserve"> i </w:t>
      </w:r>
      <w:r w:rsidRPr="003276DE">
        <w:rPr>
          <w:color w:val="17428C" w:themeColor="accent6"/>
          <w:lang w:val="pl-PL"/>
        </w:rPr>
        <w:t xml:space="preserve">przejściach instalacyjnych. To właśnie takie detale pokazują, dlaczego projektowanie obiektów ochrony zdrowia wymaga specjalistycznej wiedzy i </w:t>
      </w:r>
      <w:r w:rsidR="00BB2733" w:rsidRPr="00BB2733">
        <w:rPr>
          <w:color w:val="17428C" w:themeColor="accent6"/>
          <w:lang w:val="pl-PL"/>
        </w:rPr>
        <w:t>uwzględnienia wszystkich elementów zastosowanego systemu</w:t>
      </w:r>
      <w:r w:rsidR="00BB2733">
        <w:rPr>
          <w:color w:val="17428C" w:themeColor="accent6"/>
          <w:lang w:val="pl-PL"/>
        </w:rPr>
        <w:t>.</w:t>
      </w:r>
    </w:p>
    <w:p w14:paraId="6459C6CA" w14:textId="30966315" w:rsidR="00E70157" w:rsidRDefault="00E70157" w:rsidP="003276DE">
      <w:pPr>
        <w:jc w:val="both"/>
        <w:rPr>
          <w:color w:val="17428C" w:themeColor="accent6"/>
          <w:lang w:val="pl-PL"/>
        </w:rPr>
      </w:pPr>
      <w:r w:rsidRPr="00E70157">
        <w:rPr>
          <w:color w:val="17428C" w:themeColor="accent6"/>
          <w:lang w:val="pl-PL"/>
        </w:rPr>
        <w:t xml:space="preserve">– </w:t>
      </w:r>
      <w:r w:rsidRPr="00E70157">
        <w:rPr>
          <w:i/>
          <w:iCs/>
          <w:color w:val="17428C" w:themeColor="accent6"/>
          <w:lang w:val="pl-PL"/>
        </w:rPr>
        <w:t>W budynku o charakterze medycznym wymagania nie występują osobno. Bezpieczeństwo pożarowe, higiena, trwałość i komfort muszą być zapewnione jednocześnie, a ich spełnienie zależy od właściwego doboru materiałów i przemyślanego połączenia ich w spójne rozwiązanie. Dlatego dobór pojedynczego produktu o dobrych parametrach to za mało: liczy się cały system, sposób jego zastosowania, dopracowane detale i zachowanie podczas wieloletniej eksploatacji.</w:t>
      </w:r>
      <w:r w:rsidR="00BC0C57">
        <w:rPr>
          <w:i/>
          <w:iCs/>
          <w:color w:val="17428C" w:themeColor="accent6"/>
          <w:lang w:val="pl-PL"/>
        </w:rPr>
        <w:t xml:space="preserve"> W </w:t>
      </w:r>
      <w:r w:rsidRPr="00E70157">
        <w:rPr>
          <w:i/>
          <w:iCs/>
          <w:color w:val="17428C" w:themeColor="accent6"/>
          <w:lang w:val="pl-PL"/>
        </w:rPr>
        <w:t xml:space="preserve">katalogu prezentujemy technologie w kontekście konkretnych pomieszczeń i ich potrzeb, by ułatwić projektantom podejmowanie świadomych decyzji. Zależy nam, by proponowane rozwiązania sprawdzały się nie tylko na papierze, lecz także w codziennej pracy szpitala </w:t>
      </w:r>
      <w:r w:rsidRPr="00E70157">
        <w:rPr>
          <w:color w:val="17428C" w:themeColor="accent6"/>
          <w:lang w:val="pl-PL"/>
        </w:rPr>
        <w:t xml:space="preserve">– podkreśla </w:t>
      </w:r>
      <w:r w:rsidRPr="00BB2733">
        <w:rPr>
          <w:b/>
          <w:bCs/>
          <w:color w:val="17428C" w:themeColor="accent6"/>
          <w:lang w:val="pl-PL"/>
        </w:rPr>
        <w:t>Mateusz Chyła, Business Project Development Manager w Saint-Gobain</w:t>
      </w:r>
      <w:r w:rsidRPr="00E70157">
        <w:rPr>
          <w:color w:val="17428C" w:themeColor="accent6"/>
          <w:lang w:val="pl-PL"/>
        </w:rPr>
        <w:t>.</w:t>
      </w:r>
    </w:p>
    <w:p w14:paraId="3AC3B35B" w14:textId="2E433BCC" w:rsidR="009B7D42" w:rsidRPr="003276DE" w:rsidRDefault="009B7D42" w:rsidP="003276DE">
      <w:pPr>
        <w:jc w:val="both"/>
        <w:rPr>
          <w:b/>
          <w:bCs/>
          <w:color w:val="17428C" w:themeColor="accent6"/>
          <w:lang w:val="pl-PL"/>
        </w:rPr>
      </w:pPr>
      <w:r w:rsidRPr="003276DE">
        <w:rPr>
          <w:b/>
          <w:bCs/>
          <w:color w:val="17428C" w:themeColor="accent6"/>
          <w:lang w:val="pl-PL"/>
        </w:rPr>
        <w:t>Komfort pacjenta, warunki pracy personelu</w:t>
      </w:r>
    </w:p>
    <w:p w14:paraId="00C48999" w14:textId="57BFC49D" w:rsidR="009B7D42" w:rsidRPr="003276DE" w:rsidRDefault="009B7D42" w:rsidP="003276DE">
      <w:pPr>
        <w:jc w:val="both"/>
        <w:rPr>
          <w:color w:val="17428C" w:themeColor="accent6"/>
          <w:lang w:val="pl-PL"/>
        </w:rPr>
      </w:pPr>
      <w:r w:rsidRPr="003276DE">
        <w:rPr>
          <w:color w:val="17428C" w:themeColor="accent6"/>
          <w:lang w:val="pl-PL"/>
        </w:rPr>
        <w:t>Właściwa przestrzeń może wspierać codzienne funkcjonowanie zarówno pacjentów, jak</w:t>
      </w:r>
      <w:r w:rsidR="00BC0C57">
        <w:rPr>
          <w:color w:val="17428C" w:themeColor="accent6"/>
          <w:lang w:val="pl-PL"/>
        </w:rPr>
        <w:t xml:space="preserve"> i </w:t>
      </w:r>
      <w:r w:rsidR="00C051BB">
        <w:rPr>
          <w:color w:val="17428C" w:themeColor="accent6"/>
          <w:lang w:val="pl-PL"/>
        </w:rPr>
        <w:t>pracowników placówek ochrony zdrowia</w:t>
      </w:r>
      <w:r w:rsidRPr="003276DE">
        <w:rPr>
          <w:color w:val="17428C" w:themeColor="accent6"/>
          <w:lang w:val="pl-PL"/>
        </w:rPr>
        <w:t xml:space="preserve">. </w:t>
      </w:r>
    </w:p>
    <w:p w14:paraId="0EDF5667" w14:textId="362C0870" w:rsidR="009B7D42" w:rsidRPr="003276DE" w:rsidRDefault="009B7D42" w:rsidP="003276DE">
      <w:pPr>
        <w:jc w:val="both"/>
        <w:rPr>
          <w:color w:val="17428C" w:themeColor="accent6"/>
          <w:lang w:val="pl-PL"/>
        </w:rPr>
      </w:pPr>
      <w:r w:rsidRPr="003276DE">
        <w:rPr>
          <w:color w:val="17428C" w:themeColor="accent6"/>
          <w:lang w:val="pl-PL"/>
        </w:rPr>
        <w:t xml:space="preserve">Saint-Gobain pokazuje </w:t>
      </w:r>
      <w:r w:rsidRPr="003276DE">
        <w:rPr>
          <w:b/>
          <w:bCs/>
          <w:color w:val="17428C" w:themeColor="accent6"/>
          <w:lang w:val="pl-PL"/>
        </w:rPr>
        <w:t>funkcje, które muszą zostać zapewnione</w:t>
      </w:r>
      <w:r w:rsidR="00E70157">
        <w:rPr>
          <w:b/>
          <w:bCs/>
          <w:color w:val="17428C" w:themeColor="accent6"/>
          <w:lang w:val="pl-PL"/>
        </w:rPr>
        <w:t>, aby to osiągnąć</w:t>
      </w:r>
      <w:r w:rsidRPr="003276DE">
        <w:rPr>
          <w:color w:val="17428C" w:themeColor="accent6"/>
          <w:lang w:val="pl-PL"/>
        </w:rPr>
        <w:t xml:space="preserve">: ograniczenie przenikania hałasu pomiędzy pomieszczeniami, redukcję pogłosu, ochronę radiologiczną, bezpieczeństwo pożarowe, odporność na wilgoć, możliwość skutecznego czyszczenia i dezynfekcji czy zapewnienie prywatności przy zachowaniu dostępu do światła. </w:t>
      </w:r>
      <w:r w:rsidR="00BB2733" w:rsidRPr="00BB2733">
        <w:rPr>
          <w:color w:val="17428C" w:themeColor="accent6"/>
          <w:lang w:val="pl-PL"/>
        </w:rPr>
        <w:t>Technologie marek Grupy można następnie dopasować</w:t>
      </w:r>
      <w:r w:rsidR="00BB2733">
        <w:rPr>
          <w:color w:val="17428C" w:themeColor="accent6"/>
          <w:lang w:val="pl-PL"/>
        </w:rPr>
        <w:t xml:space="preserve"> </w:t>
      </w:r>
      <w:r w:rsidRPr="003276DE">
        <w:rPr>
          <w:color w:val="17428C" w:themeColor="accent6"/>
          <w:lang w:val="pl-PL"/>
        </w:rPr>
        <w:t xml:space="preserve">do specyfiki konkretnej strefy, jej warunków użytkowania i wreszcie do obowiązujących norm i przepisów. </w:t>
      </w:r>
    </w:p>
    <w:p w14:paraId="29025A27" w14:textId="77777777" w:rsidR="009B7D42" w:rsidRPr="003276DE" w:rsidRDefault="009B7D42" w:rsidP="003276DE">
      <w:pPr>
        <w:jc w:val="both"/>
        <w:rPr>
          <w:b/>
          <w:bCs/>
          <w:color w:val="17428C" w:themeColor="accent6"/>
          <w:lang w:val="pl-PL"/>
        </w:rPr>
      </w:pPr>
      <w:r w:rsidRPr="003276DE">
        <w:rPr>
          <w:b/>
          <w:bCs/>
          <w:color w:val="17428C" w:themeColor="accent6"/>
          <w:lang w:val="pl-PL"/>
        </w:rPr>
        <w:t>Dostępność na każdym kroku</w:t>
      </w:r>
    </w:p>
    <w:p w14:paraId="5A495A01" w14:textId="29761585" w:rsidR="009B7D42" w:rsidRPr="003276DE" w:rsidRDefault="009B7D42" w:rsidP="003276DE">
      <w:pPr>
        <w:jc w:val="both"/>
        <w:rPr>
          <w:color w:val="17428C" w:themeColor="accent6"/>
          <w:lang w:val="pl-PL"/>
        </w:rPr>
      </w:pPr>
      <w:r w:rsidRPr="003276DE">
        <w:rPr>
          <w:color w:val="17428C" w:themeColor="accent6"/>
          <w:lang w:val="pl-PL"/>
        </w:rPr>
        <w:t>Projektowanie placówki bez barier zaczyna się jeszcze przed wejściem do budynku. K</w:t>
      </w:r>
      <w:r w:rsidR="00E70157">
        <w:rPr>
          <w:color w:val="17428C" w:themeColor="accent6"/>
          <w:lang w:val="pl-PL"/>
        </w:rPr>
        <w:t>atalog</w:t>
      </w:r>
      <w:r w:rsidRPr="003276DE">
        <w:rPr>
          <w:color w:val="17428C" w:themeColor="accent6"/>
          <w:lang w:val="pl-PL"/>
        </w:rPr>
        <w:t xml:space="preserve"> ujmuje dostępność jako cały „łańcuch”: od zdobycia informacji i dotarcia do placówki, przez wejście i samodzielne poruszanie się po jej wnętrzu, aż po opuszczenie obiektu. Uwzględnia m.in. rozwiązania wspierające bezpieczne przemieszczanie się, takie jak antypoślizgowe nawierzchnie i </w:t>
      </w:r>
      <w:r w:rsidR="00E175B9">
        <w:rPr>
          <w:color w:val="17428C" w:themeColor="accent6"/>
          <w:lang w:val="pl-PL"/>
        </w:rPr>
        <w:t>informuj</w:t>
      </w:r>
      <w:r w:rsidR="00E70157">
        <w:rPr>
          <w:color w:val="17428C" w:themeColor="accent6"/>
          <w:lang w:val="pl-PL"/>
        </w:rPr>
        <w:t>e</w:t>
      </w:r>
      <w:r w:rsidR="00E175B9">
        <w:rPr>
          <w:color w:val="17428C" w:themeColor="accent6"/>
          <w:lang w:val="pl-PL"/>
        </w:rPr>
        <w:t xml:space="preserve"> o </w:t>
      </w:r>
      <w:r w:rsidRPr="003276DE">
        <w:rPr>
          <w:color w:val="17428C" w:themeColor="accent6"/>
          <w:lang w:val="pl-PL"/>
        </w:rPr>
        <w:t>oznaczenia</w:t>
      </w:r>
      <w:r w:rsidR="00E175B9">
        <w:rPr>
          <w:color w:val="17428C" w:themeColor="accent6"/>
          <w:lang w:val="pl-PL"/>
        </w:rPr>
        <w:t>ch</w:t>
      </w:r>
      <w:r w:rsidRPr="003276DE">
        <w:rPr>
          <w:color w:val="17428C" w:themeColor="accent6"/>
          <w:lang w:val="pl-PL"/>
        </w:rPr>
        <w:t xml:space="preserve"> kontrastow</w:t>
      </w:r>
      <w:r w:rsidR="00E175B9">
        <w:rPr>
          <w:color w:val="17428C" w:themeColor="accent6"/>
          <w:lang w:val="pl-PL"/>
        </w:rPr>
        <w:t>ych</w:t>
      </w:r>
      <w:r w:rsidRPr="003276DE">
        <w:rPr>
          <w:color w:val="17428C" w:themeColor="accent6"/>
          <w:lang w:val="pl-PL"/>
        </w:rPr>
        <w:t xml:space="preserve">, </w:t>
      </w:r>
      <w:r w:rsidR="00C051BB">
        <w:rPr>
          <w:color w:val="17428C" w:themeColor="accent6"/>
          <w:lang w:val="pl-PL"/>
        </w:rPr>
        <w:t>ale też</w:t>
      </w:r>
      <w:r w:rsidR="00E175B9">
        <w:rPr>
          <w:color w:val="17428C" w:themeColor="accent6"/>
          <w:lang w:val="pl-PL"/>
        </w:rPr>
        <w:t xml:space="preserve"> </w:t>
      </w:r>
      <w:r w:rsidRPr="003276DE">
        <w:rPr>
          <w:color w:val="17428C" w:themeColor="accent6"/>
          <w:lang w:val="pl-PL"/>
        </w:rPr>
        <w:t>potrzeb</w:t>
      </w:r>
      <w:r w:rsidR="00C051BB">
        <w:rPr>
          <w:color w:val="17428C" w:themeColor="accent6"/>
          <w:lang w:val="pl-PL"/>
        </w:rPr>
        <w:t>y</w:t>
      </w:r>
      <w:r w:rsidRPr="003276DE">
        <w:rPr>
          <w:color w:val="17428C" w:themeColor="accent6"/>
          <w:lang w:val="pl-PL"/>
        </w:rPr>
        <w:t xml:space="preserve"> osób o różnym stopniu sprawności ruchowej i sensorycznej. </w:t>
      </w:r>
    </w:p>
    <w:p w14:paraId="4B0EB3AA" w14:textId="77777777" w:rsidR="009B7D42" w:rsidRPr="003276DE" w:rsidRDefault="009B7D42" w:rsidP="003276DE">
      <w:pPr>
        <w:jc w:val="both"/>
        <w:rPr>
          <w:color w:val="17428C" w:themeColor="accent6"/>
          <w:lang w:val="pl-PL"/>
        </w:rPr>
      </w:pPr>
      <w:r w:rsidRPr="003276DE">
        <w:rPr>
          <w:color w:val="17428C" w:themeColor="accent6"/>
          <w:lang w:val="pl-PL"/>
        </w:rPr>
        <w:t xml:space="preserve">Takie spojrzenie pozwala potraktować dostępność nie jako pojedynczy wymóg do spełnienia, ale jako </w:t>
      </w:r>
      <w:r w:rsidRPr="003276DE">
        <w:rPr>
          <w:b/>
          <w:bCs/>
          <w:color w:val="17428C" w:themeColor="accent6"/>
          <w:lang w:val="pl-PL"/>
        </w:rPr>
        <w:t>element całego doświadczenia pacjenta korzystającego z placówki medycznej</w:t>
      </w:r>
      <w:r w:rsidRPr="003276DE">
        <w:rPr>
          <w:color w:val="17428C" w:themeColor="accent6"/>
          <w:lang w:val="pl-PL"/>
        </w:rPr>
        <w:t>.</w:t>
      </w:r>
    </w:p>
    <w:p w14:paraId="0E0F5415" w14:textId="2F6293DE" w:rsidR="009B7D42" w:rsidRPr="003276DE" w:rsidRDefault="009B7D42" w:rsidP="003276DE">
      <w:pPr>
        <w:jc w:val="both"/>
        <w:rPr>
          <w:b/>
          <w:bCs/>
          <w:color w:val="17428C" w:themeColor="accent6"/>
          <w:lang w:val="pl-PL"/>
        </w:rPr>
      </w:pPr>
      <w:r w:rsidRPr="003276DE">
        <w:rPr>
          <w:b/>
          <w:bCs/>
          <w:color w:val="17428C" w:themeColor="accent6"/>
          <w:lang w:val="pl-PL"/>
        </w:rPr>
        <w:t>Od potrzeby do konkretnego rozwiązania</w:t>
      </w:r>
    </w:p>
    <w:p w14:paraId="7D195C80" w14:textId="388724DA" w:rsidR="009B7D42" w:rsidRPr="003276DE" w:rsidRDefault="009B7D42" w:rsidP="003276DE">
      <w:pPr>
        <w:jc w:val="both"/>
        <w:rPr>
          <w:color w:val="17428C" w:themeColor="accent6"/>
          <w:lang w:val="pl-PL"/>
        </w:rPr>
      </w:pPr>
      <w:r w:rsidRPr="003276DE">
        <w:rPr>
          <w:color w:val="17428C" w:themeColor="accent6"/>
          <w:lang w:val="pl-PL"/>
        </w:rPr>
        <w:t xml:space="preserve">To </w:t>
      </w:r>
      <w:r w:rsidR="00792F64" w:rsidRPr="003276DE">
        <w:rPr>
          <w:color w:val="17428C" w:themeColor="accent6"/>
          <w:lang w:val="pl-PL"/>
        </w:rPr>
        <w:t xml:space="preserve">kompleksowe </w:t>
      </w:r>
      <w:r w:rsidRPr="003276DE">
        <w:rPr>
          <w:color w:val="17428C" w:themeColor="accent6"/>
          <w:lang w:val="pl-PL"/>
        </w:rPr>
        <w:t xml:space="preserve">podejście przekłada się na szerokie portfolio rozwiązań Saint-Gobain, obejmujące zarówno bryłę budynku, jak i jego wnętrza: izolacje, systemy ścienne i sufitowe, </w:t>
      </w:r>
      <w:r w:rsidR="00BB2733">
        <w:rPr>
          <w:color w:val="17428C" w:themeColor="accent6"/>
          <w:lang w:val="pl-PL"/>
        </w:rPr>
        <w:t xml:space="preserve">technologie podłogowe i akustyczne, </w:t>
      </w:r>
      <w:r w:rsidRPr="003276DE">
        <w:rPr>
          <w:color w:val="17428C" w:themeColor="accent6"/>
          <w:lang w:val="pl-PL"/>
        </w:rPr>
        <w:t xml:space="preserve">przeszklenia bezpieczne i ogniochronne, szkło zapewniające prywatność, systemy hydroizolacji czy materiały stosowane w miejscach o podwyższonych wymaganiach higienicznych i dużej intensywności użytkowania. </w:t>
      </w:r>
    </w:p>
    <w:p w14:paraId="50FEA784" w14:textId="6F250F5B" w:rsidR="009B7D42" w:rsidRPr="003276DE" w:rsidRDefault="009B7D42" w:rsidP="003276DE">
      <w:pPr>
        <w:jc w:val="both"/>
        <w:rPr>
          <w:color w:val="17428C" w:themeColor="accent6"/>
          <w:lang w:val="pl-PL"/>
        </w:rPr>
      </w:pPr>
      <w:r w:rsidRPr="003276DE">
        <w:rPr>
          <w:color w:val="17428C" w:themeColor="accent6"/>
          <w:lang w:val="pl-PL"/>
        </w:rPr>
        <w:lastRenderedPageBreak/>
        <w:t xml:space="preserve">Ich dobór wynika jednak nie z samej kategorii produktu, lecz z </w:t>
      </w:r>
      <w:r w:rsidRPr="003276DE">
        <w:rPr>
          <w:b/>
          <w:bCs/>
          <w:color w:val="17428C" w:themeColor="accent6"/>
          <w:lang w:val="pl-PL"/>
        </w:rPr>
        <w:t>konkretnego problemu projektowego i sposobu użytkowania danej przestrzeni</w:t>
      </w:r>
      <w:r w:rsidRPr="003276DE">
        <w:rPr>
          <w:color w:val="17428C" w:themeColor="accent6"/>
          <w:lang w:val="pl-PL"/>
        </w:rPr>
        <w:t>. Innych parametrów wymaga przecież poczekalnia, innych sala pacjenta, pracownia diagnostyczna czy pomieszczenie podlegające częstemu czyszczeniu i dezynfekcji.</w:t>
      </w:r>
      <w:r w:rsidR="00BB2733">
        <w:rPr>
          <w:color w:val="17428C" w:themeColor="accent6"/>
          <w:lang w:val="pl-PL"/>
        </w:rPr>
        <w:t xml:space="preserve"> </w:t>
      </w:r>
      <w:r w:rsidR="00BB2733" w:rsidRPr="00BB2733">
        <w:rPr>
          <w:color w:val="17428C" w:themeColor="accent6"/>
          <w:lang w:val="pl-PL"/>
        </w:rPr>
        <w:t>Taki układ pomaga projektantom przełożyć wymagania funkcjonalne na dobór odpowiednich technologii</w:t>
      </w:r>
      <w:r w:rsidRPr="003276DE">
        <w:rPr>
          <w:color w:val="17428C" w:themeColor="accent6"/>
          <w:lang w:val="pl-PL"/>
        </w:rPr>
        <w:t xml:space="preserve">, a inwestorom pozwala spojrzeć na decyzje </w:t>
      </w:r>
      <w:r w:rsidR="00BB2733">
        <w:rPr>
          <w:color w:val="17428C" w:themeColor="accent6"/>
          <w:lang w:val="pl-PL"/>
        </w:rPr>
        <w:t>wykonawcze</w:t>
      </w:r>
      <w:r w:rsidR="00BB2733" w:rsidRPr="003276DE">
        <w:rPr>
          <w:color w:val="17428C" w:themeColor="accent6"/>
          <w:lang w:val="pl-PL"/>
        </w:rPr>
        <w:t xml:space="preserve"> </w:t>
      </w:r>
      <w:r w:rsidRPr="003276DE">
        <w:rPr>
          <w:color w:val="17428C" w:themeColor="accent6"/>
          <w:lang w:val="pl-PL"/>
        </w:rPr>
        <w:t xml:space="preserve">przez pryzmat późniejszego funkcjonowania </w:t>
      </w:r>
      <w:r w:rsidR="00C051BB">
        <w:rPr>
          <w:color w:val="17428C" w:themeColor="accent6"/>
          <w:lang w:val="pl-PL"/>
        </w:rPr>
        <w:t>budynku</w:t>
      </w:r>
      <w:r w:rsidRPr="003276DE">
        <w:rPr>
          <w:color w:val="17428C" w:themeColor="accent6"/>
          <w:lang w:val="pl-PL"/>
        </w:rPr>
        <w:t>.</w:t>
      </w:r>
    </w:p>
    <w:p w14:paraId="546D4719" w14:textId="7BCAFA76" w:rsidR="009B7D42" w:rsidRPr="003276DE" w:rsidRDefault="009B7D42" w:rsidP="003276DE">
      <w:pPr>
        <w:jc w:val="both"/>
        <w:rPr>
          <w:b/>
          <w:bCs/>
          <w:color w:val="17428C" w:themeColor="accent6"/>
          <w:lang w:val="pl-PL"/>
        </w:rPr>
      </w:pPr>
      <w:r w:rsidRPr="003276DE">
        <w:rPr>
          <w:b/>
          <w:bCs/>
          <w:color w:val="17428C" w:themeColor="accent6"/>
          <w:lang w:val="pl-PL"/>
        </w:rPr>
        <w:t xml:space="preserve">Szpital </w:t>
      </w:r>
      <w:r w:rsidR="00BB2733">
        <w:rPr>
          <w:b/>
          <w:bCs/>
          <w:color w:val="17428C" w:themeColor="accent6"/>
          <w:lang w:val="pl-PL"/>
        </w:rPr>
        <w:t>tworzony</w:t>
      </w:r>
      <w:r w:rsidR="00BB2733" w:rsidRPr="003276DE">
        <w:rPr>
          <w:b/>
          <w:bCs/>
          <w:color w:val="17428C" w:themeColor="accent6"/>
          <w:lang w:val="pl-PL"/>
        </w:rPr>
        <w:t xml:space="preserve"> </w:t>
      </w:r>
      <w:r w:rsidRPr="003276DE">
        <w:rPr>
          <w:b/>
          <w:bCs/>
          <w:color w:val="17428C" w:themeColor="accent6"/>
          <w:lang w:val="pl-PL"/>
        </w:rPr>
        <w:t>na lata</w:t>
      </w:r>
    </w:p>
    <w:p w14:paraId="7F4D633E" w14:textId="5612F1D0" w:rsidR="009B7D42" w:rsidRPr="00604D76" w:rsidRDefault="009B7D42" w:rsidP="00604D76">
      <w:pPr>
        <w:jc w:val="both"/>
        <w:rPr>
          <w:b/>
          <w:bCs/>
          <w:color w:val="17428C" w:themeColor="accent6"/>
          <w:lang w:val="pl-PL"/>
        </w:rPr>
      </w:pPr>
      <w:r w:rsidRPr="003276DE">
        <w:rPr>
          <w:color w:val="17428C" w:themeColor="accent6"/>
          <w:lang w:val="pl-PL"/>
        </w:rPr>
        <w:t xml:space="preserve">Obiekty ochrony zdrowia funkcjonują intensywnie, często przez całą dobę, dlatego decyzje podjęte na etapie projektu lub modernizacji </w:t>
      </w:r>
      <w:r w:rsidR="00604D76" w:rsidRPr="00604D76">
        <w:rPr>
          <w:color w:val="17428C" w:themeColor="accent6"/>
          <w:lang w:val="pl-PL"/>
        </w:rPr>
        <w:t>oddziałują długo po</w:t>
      </w:r>
      <w:r w:rsidR="00604D76">
        <w:rPr>
          <w:b/>
          <w:bCs/>
          <w:color w:val="17428C" w:themeColor="accent6"/>
          <w:lang w:val="pl-PL"/>
        </w:rPr>
        <w:t xml:space="preserve"> </w:t>
      </w:r>
      <w:r w:rsidRPr="003276DE">
        <w:rPr>
          <w:color w:val="17428C" w:themeColor="accent6"/>
          <w:lang w:val="pl-PL"/>
        </w:rPr>
        <w:t>oddani</w:t>
      </w:r>
      <w:r w:rsidR="00604D76">
        <w:rPr>
          <w:color w:val="17428C" w:themeColor="accent6"/>
          <w:lang w:val="pl-PL"/>
        </w:rPr>
        <w:t>u</w:t>
      </w:r>
      <w:r w:rsidRPr="003276DE">
        <w:rPr>
          <w:color w:val="17428C" w:themeColor="accent6"/>
          <w:lang w:val="pl-PL"/>
        </w:rPr>
        <w:t xml:space="preserve"> budynku do użytkowania. Izolacyjność cieplna przegród, efektywność energetyczna, trwałość zastosowanych rozwiązań czy możliwość ich prawidłowego utrzymania wpływają na późniejszą eksploatację placówki. </w:t>
      </w:r>
      <w:r w:rsidR="00E70157" w:rsidRPr="00E70157">
        <w:rPr>
          <w:color w:val="17428C" w:themeColor="accent6"/>
          <w:lang w:val="pl-PL"/>
        </w:rPr>
        <w:t>Katalog</w:t>
      </w:r>
      <w:r w:rsidR="00E70157" w:rsidRPr="003276DE">
        <w:rPr>
          <w:color w:val="17428C" w:themeColor="accent6"/>
          <w:lang w:val="pl-PL"/>
        </w:rPr>
        <w:t xml:space="preserve"> </w:t>
      </w:r>
      <w:r w:rsidRPr="003276DE">
        <w:rPr>
          <w:color w:val="17428C" w:themeColor="accent6"/>
          <w:lang w:val="pl-PL"/>
        </w:rPr>
        <w:t>uwzględnia również deklaracje środowiskowe EPD, wspierające świadomy dobór materiałów</w:t>
      </w:r>
      <w:r w:rsidR="00C34B18">
        <w:rPr>
          <w:color w:val="17428C" w:themeColor="accent6"/>
          <w:lang w:val="pl-PL"/>
        </w:rPr>
        <w:t xml:space="preserve"> z </w:t>
      </w:r>
      <w:r w:rsidRPr="003276DE">
        <w:rPr>
          <w:color w:val="17428C" w:themeColor="accent6"/>
          <w:lang w:val="pl-PL"/>
        </w:rPr>
        <w:t xml:space="preserve">uwzględnieniem ich oddziaływania na środowisko. </w:t>
      </w:r>
    </w:p>
    <w:p w14:paraId="7687C1C0" w14:textId="3B28F02A" w:rsidR="00160377" w:rsidRDefault="009B7D42" w:rsidP="003276DE">
      <w:pPr>
        <w:jc w:val="both"/>
        <w:rPr>
          <w:color w:val="17428C" w:themeColor="accent6"/>
          <w:lang w:val="pl-PL"/>
        </w:rPr>
      </w:pPr>
      <w:r w:rsidRPr="003276DE">
        <w:rPr>
          <w:color w:val="17428C" w:themeColor="accent6"/>
          <w:lang w:val="pl-PL"/>
        </w:rPr>
        <w:t xml:space="preserve">Nowa publikacja Saint-Gobain może być punktem odniesienia zarówno przy projektowaniu nowych placówek medycznych, jak i modernizacji istniejących obiektów. Jej wartość polega przede wszystkim na </w:t>
      </w:r>
      <w:r w:rsidRPr="003276DE">
        <w:rPr>
          <w:b/>
          <w:bCs/>
          <w:color w:val="17428C" w:themeColor="accent6"/>
          <w:lang w:val="pl-PL"/>
        </w:rPr>
        <w:t>połączeniu perspektywy architekta, inwestora i użytkownika oraz przełożeniu wielu złożonych wymagań na</w:t>
      </w:r>
      <w:r w:rsidR="00966370">
        <w:rPr>
          <w:b/>
          <w:bCs/>
          <w:color w:val="17428C" w:themeColor="accent6"/>
          <w:lang w:val="pl-PL"/>
        </w:rPr>
        <w:t xml:space="preserve"> </w:t>
      </w:r>
      <w:r w:rsidR="00966370" w:rsidRPr="00966370">
        <w:rPr>
          <w:b/>
          <w:bCs/>
          <w:color w:val="17428C" w:themeColor="accent6"/>
          <w:lang w:val="pl-PL"/>
        </w:rPr>
        <w:t>konkretne decyzje dotyczące doboru materiałów i technologii</w:t>
      </w:r>
      <w:r w:rsidRPr="003276DE">
        <w:rPr>
          <w:color w:val="17428C" w:themeColor="accent6"/>
          <w:lang w:val="pl-PL"/>
        </w:rPr>
        <w:t xml:space="preserve">. </w:t>
      </w:r>
    </w:p>
    <w:p w14:paraId="56E54792" w14:textId="47B7B1EF" w:rsidR="009B7D42" w:rsidRPr="009B7D42" w:rsidRDefault="003276DE" w:rsidP="00C34B18">
      <w:pPr>
        <w:jc w:val="both"/>
        <w:rPr>
          <w:lang w:val="pl-PL"/>
        </w:rPr>
      </w:pPr>
      <w:r>
        <w:rPr>
          <w:color w:val="17428C" w:themeColor="accent6"/>
          <w:lang w:val="pl-PL"/>
        </w:rPr>
        <w:t xml:space="preserve">Bo </w:t>
      </w:r>
      <w:r>
        <w:rPr>
          <w:b/>
          <w:bCs/>
          <w:color w:val="17428C" w:themeColor="accent6"/>
          <w:lang w:val="pl-PL"/>
        </w:rPr>
        <w:t>d</w:t>
      </w:r>
      <w:r w:rsidR="007C5A0E" w:rsidRPr="003276DE">
        <w:rPr>
          <w:b/>
          <w:bCs/>
          <w:color w:val="17428C" w:themeColor="accent6"/>
          <w:lang w:val="pl-PL"/>
        </w:rPr>
        <w:t>obra przestrzeń ma lepsze wyniki</w:t>
      </w:r>
      <w:r>
        <w:rPr>
          <w:color w:val="17428C" w:themeColor="accent6"/>
          <w:lang w:val="pl-PL"/>
        </w:rPr>
        <w:t xml:space="preserve"> </w:t>
      </w:r>
      <w:r w:rsidR="00966370">
        <w:rPr>
          <w:color w:val="17428C" w:themeColor="accent6"/>
          <w:lang w:val="pl-PL"/>
        </w:rPr>
        <w:t>–</w:t>
      </w:r>
      <w:r>
        <w:rPr>
          <w:color w:val="17428C" w:themeColor="accent6"/>
          <w:lang w:val="pl-PL"/>
        </w:rPr>
        <w:t xml:space="preserve"> </w:t>
      </w:r>
      <w:r w:rsidR="007C5A0E" w:rsidRPr="003276DE">
        <w:rPr>
          <w:color w:val="17428C" w:themeColor="accent6"/>
          <w:lang w:val="pl-PL"/>
        </w:rPr>
        <w:t>kiedy światło, cisza i komfort pracują na rzecz człowieka, przestrzeń staje się częścią procesu powrotu do zdrowia.</w:t>
      </w:r>
    </w:p>
    <w:p w14:paraId="6B905EB2" w14:textId="77777777" w:rsidR="004105C4" w:rsidRPr="002F5CEE" w:rsidRDefault="004105C4" w:rsidP="004105C4">
      <w:pPr>
        <w:jc w:val="both"/>
        <w:rPr>
          <w:rFonts w:asciiTheme="majorHAnsi" w:eastAsiaTheme="majorEastAsia" w:hAnsiTheme="majorHAnsi" w:cstheme="majorBidi"/>
          <w:b/>
          <w:bCs/>
          <w:noProof/>
          <w:color w:val="17428C" w:themeColor="accent1"/>
          <w:szCs w:val="26"/>
          <w:lang w:val="pl-PL"/>
        </w:rPr>
      </w:pPr>
      <w:r w:rsidRPr="002F5CEE">
        <w:rPr>
          <w:rFonts w:asciiTheme="majorHAnsi" w:eastAsiaTheme="majorEastAsia" w:hAnsiTheme="majorHAnsi" w:cstheme="majorBidi"/>
          <w:b/>
          <w:bCs/>
          <w:noProof/>
          <w:color w:val="17428C" w:themeColor="accent1"/>
          <w:szCs w:val="26"/>
          <w:lang w:val="pl-PL"/>
        </w:rPr>
        <w:t xml:space="preserve">Więcej informacji: </w:t>
      </w:r>
      <w:hyperlink r:id="rId10" w:history="1">
        <w:r w:rsidRPr="002F5CEE">
          <w:rPr>
            <w:rStyle w:val="Hipercze"/>
            <w:rFonts w:asciiTheme="majorHAnsi" w:eastAsiaTheme="majorEastAsia" w:hAnsiTheme="majorHAnsi" w:cstheme="majorBidi"/>
            <w:b/>
            <w:bCs/>
            <w:noProof/>
            <w:szCs w:val="26"/>
            <w:lang w:val="pl-PL"/>
          </w:rPr>
          <w:t>https://www.saint-gobain.pl/rozwiazania/ochrona-zdrowia</w:t>
        </w:r>
      </w:hyperlink>
      <w:r w:rsidRPr="002F5CEE">
        <w:rPr>
          <w:rFonts w:asciiTheme="majorHAnsi" w:eastAsiaTheme="majorEastAsia" w:hAnsiTheme="majorHAnsi" w:cstheme="majorBidi"/>
          <w:b/>
          <w:bCs/>
          <w:noProof/>
          <w:color w:val="17428C" w:themeColor="accent1"/>
          <w:szCs w:val="26"/>
          <w:lang w:val="pl-PL"/>
        </w:rPr>
        <w:t xml:space="preserve"> </w:t>
      </w:r>
    </w:p>
    <w:p w14:paraId="30C9002E" w14:textId="77777777" w:rsidR="003276DE" w:rsidRDefault="003276DE" w:rsidP="004105C4">
      <w:pPr>
        <w:rPr>
          <w:b/>
          <w:bCs/>
          <w:noProof/>
          <w:color w:val="67B9B0" w:themeColor="accent4"/>
          <w:lang w:val="pl-PL"/>
        </w:rPr>
      </w:pPr>
    </w:p>
    <w:p w14:paraId="036D139D" w14:textId="77777777" w:rsidR="004105C4" w:rsidRPr="000D264E" w:rsidRDefault="004105C4" w:rsidP="004105C4">
      <w:pPr>
        <w:rPr>
          <w:b/>
          <w:bCs/>
          <w:noProof/>
          <w:color w:val="67B9B0" w:themeColor="accent4"/>
          <w:lang w:val="pl-PL"/>
        </w:rPr>
      </w:pPr>
      <w:r w:rsidRPr="000D264E">
        <w:rPr>
          <w:b/>
          <w:bCs/>
          <w:noProof/>
          <w:color w:val="67B9B0" w:themeColor="accent4"/>
          <w:lang w:val="pl-PL"/>
        </w:rPr>
        <w:t>O Saint-Gobain</w:t>
      </w:r>
    </w:p>
    <w:p w14:paraId="0A96165A" w14:textId="77777777" w:rsidR="004105C4" w:rsidRDefault="004105C4" w:rsidP="004105C4">
      <w:pPr>
        <w:pStyle w:val="Nagwek2"/>
      </w:pPr>
      <w:r w:rsidRPr="008939A6">
        <w:t>Saint-Gobain, światowy lider w dziedzinie lekkiego i zrównoważonego budownictwa, projektuje, produkuje i dystrybuuje materiały oraz świadczy usługi dostosowane do potrzeb rynku budowlanego w segmencie budynków mieszkalnych, użyteczności publicznej oraz infrastruktury. Zintegrowane i innowacyjne rozwiązania firmy zapewniają klientom zrównoważony rozwój, wydajność oraz komfort. Grupa kieruje się swoim celem nadrzędnym: „MAKING THE WORLD</w:t>
      </w:r>
      <w:r>
        <w:t xml:space="preserve"> A </w:t>
      </w:r>
      <w:r w:rsidRPr="008939A6">
        <w:t>BETTER HOME".</w:t>
      </w:r>
    </w:p>
    <w:p w14:paraId="3AE42388" w14:textId="77777777" w:rsidR="004105C4" w:rsidRPr="00AB0483" w:rsidRDefault="004105C4" w:rsidP="004105C4">
      <w:pPr>
        <w:pStyle w:val="Nagwek2"/>
        <w:rPr>
          <w:lang w:val="pl-PL"/>
        </w:rPr>
      </w:pPr>
    </w:p>
    <w:p w14:paraId="5D33F205" w14:textId="77777777" w:rsidR="004105C4" w:rsidRPr="000D264E" w:rsidRDefault="004105C4" w:rsidP="004105C4">
      <w:pPr>
        <w:pStyle w:val="Nagwek2"/>
        <w:rPr>
          <w:b/>
          <w:bCs/>
          <w:noProof/>
          <w:lang w:val="pl-PL"/>
        </w:rPr>
      </w:pPr>
      <w:r w:rsidRPr="000D264E">
        <w:rPr>
          <w:b/>
          <w:bCs/>
          <w:noProof/>
          <w:lang w:val="pl-PL"/>
        </w:rPr>
        <w:t>Wartość sprzedaży w 202</w:t>
      </w:r>
      <w:r>
        <w:rPr>
          <w:b/>
          <w:bCs/>
          <w:noProof/>
          <w:lang w:val="pl-PL"/>
        </w:rPr>
        <w:t>5</w:t>
      </w:r>
      <w:r w:rsidRPr="000D264E">
        <w:rPr>
          <w:b/>
          <w:bCs/>
          <w:noProof/>
          <w:lang w:val="pl-PL"/>
        </w:rPr>
        <w:t xml:space="preserve"> roku: 4</w:t>
      </w:r>
      <w:r>
        <w:rPr>
          <w:b/>
          <w:bCs/>
          <w:noProof/>
          <w:lang w:val="pl-PL"/>
        </w:rPr>
        <w:t>6,5</w:t>
      </w:r>
      <w:r w:rsidRPr="000D264E">
        <w:rPr>
          <w:b/>
          <w:bCs/>
          <w:noProof/>
          <w:lang w:val="pl-PL"/>
        </w:rPr>
        <w:t xml:space="preserve"> mld EUR.</w:t>
      </w:r>
    </w:p>
    <w:p w14:paraId="2CD88CF3" w14:textId="77777777" w:rsidR="004105C4" w:rsidRPr="000D264E" w:rsidRDefault="004105C4" w:rsidP="004105C4">
      <w:pPr>
        <w:pStyle w:val="Nagwek2"/>
        <w:rPr>
          <w:b/>
          <w:bCs/>
          <w:noProof/>
          <w:lang w:val="pl-PL"/>
        </w:rPr>
      </w:pPr>
      <w:r w:rsidRPr="000D264E">
        <w:rPr>
          <w:b/>
          <w:bCs/>
          <w:noProof/>
          <w:lang w:val="pl-PL"/>
        </w:rPr>
        <w:t>16</w:t>
      </w:r>
      <w:r>
        <w:rPr>
          <w:b/>
          <w:bCs/>
          <w:noProof/>
          <w:lang w:val="pl-PL"/>
        </w:rPr>
        <w:t>2</w:t>
      </w:r>
      <w:r w:rsidRPr="000D264E">
        <w:rPr>
          <w:b/>
          <w:bCs/>
          <w:noProof/>
          <w:lang w:val="pl-PL"/>
        </w:rPr>
        <w:t xml:space="preserve"> 000 pracowników w </w:t>
      </w:r>
      <w:r>
        <w:rPr>
          <w:b/>
          <w:bCs/>
          <w:noProof/>
          <w:lang w:val="pl-PL"/>
        </w:rPr>
        <w:t>80</w:t>
      </w:r>
      <w:r w:rsidRPr="000D264E">
        <w:rPr>
          <w:b/>
          <w:bCs/>
          <w:noProof/>
          <w:lang w:val="pl-PL"/>
        </w:rPr>
        <w:t xml:space="preserve"> krajach.</w:t>
      </w:r>
    </w:p>
    <w:p w14:paraId="0AA405AC" w14:textId="77777777" w:rsidR="004105C4" w:rsidRPr="000D264E" w:rsidRDefault="004105C4" w:rsidP="004105C4">
      <w:pPr>
        <w:pStyle w:val="Nagwek2"/>
        <w:rPr>
          <w:b/>
          <w:bCs/>
          <w:noProof/>
          <w:lang w:val="pl-PL"/>
        </w:rPr>
      </w:pPr>
      <w:r w:rsidRPr="000D264E">
        <w:rPr>
          <w:b/>
          <w:bCs/>
          <w:noProof/>
          <w:lang w:val="pl-PL"/>
        </w:rPr>
        <w:t>Firma podjęła zobowiązanie do osiągnięcia neutralności węglowej do 2050 roku.</w:t>
      </w:r>
    </w:p>
    <w:p w14:paraId="517A3E39" w14:textId="77777777" w:rsidR="004105C4" w:rsidRPr="000D264E" w:rsidRDefault="004105C4" w:rsidP="004105C4">
      <w:pPr>
        <w:pStyle w:val="Nagwek2"/>
        <w:rPr>
          <w:noProof/>
          <w:lang w:val="pl-PL"/>
        </w:rPr>
      </w:pPr>
    </w:p>
    <w:p w14:paraId="59B1E706" w14:textId="77777777" w:rsidR="004105C4" w:rsidRDefault="004105C4" w:rsidP="004105C4">
      <w:pPr>
        <w:spacing w:after="240" w:line="240" w:lineRule="auto"/>
        <w:rPr>
          <w:rFonts w:asciiTheme="majorHAnsi" w:eastAsiaTheme="majorEastAsia" w:hAnsiTheme="majorHAnsi" w:cstheme="majorBidi"/>
          <w:noProof/>
          <w:color w:val="17428C" w:themeColor="accent1"/>
          <w:szCs w:val="26"/>
          <w:lang w:val="pl-PL"/>
        </w:rPr>
      </w:pPr>
      <w:r w:rsidRPr="00AA59C3">
        <w:rPr>
          <w:rFonts w:asciiTheme="majorHAnsi" w:eastAsiaTheme="majorEastAsia" w:hAnsiTheme="majorHAnsi" w:cstheme="majorBidi"/>
          <w:noProof/>
          <w:color w:val="17428C" w:themeColor="accent1"/>
          <w:szCs w:val="26"/>
          <w:lang w:val="pl-PL"/>
        </w:rPr>
        <w:t xml:space="preserve">Więcej informacji o Saint-Gobain: </w:t>
      </w:r>
      <w:hyperlink r:id="rId11" w:history="1">
        <w:r w:rsidRPr="00AA59C3">
          <w:rPr>
            <w:rStyle w:val="Hipercze"/>
            <w:rFonts w:asciiTheme="majorHAnsi" w:eastAsiaTheme="majorEastAsia" w:hAnsiTheme="majorHAnsi" w:cstheme="majorBidi"/>
            <w:noProof/>
            <w:szCs w:val="26"/>
            <w:lang w:val="pl-PL"/>
          </w:rPr>
          <w:t>www.saint-gobain.pl</w:t>
        </w:r>
      </w:hyperlink>
      <w:r w:rsidRPr="00AA59C3">
        <w:rPr>
          <w:rFonts w:asciiTheme="majorHAnsi" w:eastAsiaTheme="majorEastAsia" w:hAnsiTheme="majorHAnsi" w:cstheme="majorBidi"/>
          <w:noProof/>
          <w:color w:val="17428C" w:themeColor="accent1"/>
          <w:szCs w:val="26"/>
          <w:lang w:val="pl-PL"/>
        </w:rPr>
        <w:t xml:space="preserve"> oraz na LinkedIn: </w:t>
      </w:r>
      <w:hyperlink r:id="rId12" w:history="1">
        <w:r w:rsidRPr="00AA59C3">
          <w:rPr>
            <w:rStyle w:val="Hipercze"/>
            <w:rFonts w:asciiTheme="majorHAnsi" w:eastAsiaTheme="majorEastAsia" w:hAnsiTheme="majorHAnsi" w:cstheme="majorBidi"/>
            <w:noProof/>
            <w:szCs w:val="26"/>
            <w:lang w:val="pl-PL"/>
          </w:rPr>
          <w:t>Saint-Gobain w Polsce</w:t>
        </w:r>
      </w:hyperlink>
      <w:r>
        <w:rPr>
          <w:rFonts w:asciiTheme="majorHAnsi" w:eastAsiaTheme="majorEastAsia" w:hAnsiTheme="majorHAnsi" w:cstheme="majorBidi"/>
          <w:noProof/>
          <w:color w:val="17428C" w:themeColor="accent1"/>
          <w:szCs w:val="26"/>
          <w:lang w:val="pl-PL"/>
        </w:rPr>
        <w:t>.</w:t>
      </w:r>
    </w:p>
    <w:p w14:paraId="18F8B49D" w14:textId="77777777" w:rsidR="004105C4" w:rsidRPr="000D264E" w:rsidRDefault="004105C4" w:rsidP="004105C4">
      <w:pPr>
        <w:spacing w:after="240" w:line="240" w:lineRule="auto"/>
        <w:rPr>
          <w:b/>
          <w:bCs/>
          <w:noProof/>
          <w:color w:val="67B9B0" w:themeColor="accent4"/>
          <w:lang w:val="pl-PL"/>
        </w:rPr>
      </w:pPr>
      <w:r w:rsidRPr="000D264E">
        <w:rPr>
          <w:b/>
          <w:bCs/>
          <w:noProof/>
          <w:color w:val="67B9B0" w:themeColor="accent4"/>
          <w:lang w:val="pl-PL"/>
        </w:rPr>
        <w:t>Dodatkowe informacje:</w:t>
      </w:r>
    </w:p>
    <w:p w14:paraId="18359FF0" w14:textId="77777777" w:rsidR="004105C4" w:rsidRPr="000D264E" w:rsidRDefault="004105C4" w:rsidP="004105C4">
      <w:pPr>
        <w:pStyle w:val="Nagwek2"/>
        <w:spacing w:line="240" w:lineRule="auto"/>
        <w:rPr>
          <w:noProof/>
          <w:lang w:val="pl-PL"/>
        </w:rPr>
      </w:pPr>
      <w:r w:rsidRPr="000D264E">
        <w:rPr>
          <w:noProof/>
          <w:lang w:val="pl-PL"/>
        </w:rPr>
        <w:t xml:space="preserve">Michał Ciesielski, dyrektor marki, komunikacji i </w:t>
      </w:r>
      <w:r>
        <w:rPr>
          <w:noProof/>
          <w:lang w:val="pl-PL"/>
        </w:rPr>
        <w:t>marketingu strategicznego</w:t>
      </w:r>
      <w:r w:rsidRPr="000D264E">
        <w:rPr>
          <w:noProof/>
          <w:lang w:val="pl-PL"/>
        </w:rPr>
        <w:t xml:space="preserve"> </w:t>
      </w:r>
    </w:p>
    <w:p w14:paraId="5C4576CE" w14:textId="77777777" w:rsidR="004105C4" w:rsidRPr="000D264E" w:rsidRDefault="004105C4" w:rsidP="004105C4">
      <w:pPr>
        <w:pStyle w:val="Nagwek2"/>
        <w:spacing w:after="240" w:line="240" w:lineRule="auto"/>
        <w:rPr>
          <w:noProof/>
          <w:lang w:val="pl-PL"/>
        </w:rPr>
      </w:pPr>
      <w:hyperlink r:id="rId13" w:history="1">
        <w:r w:rsidRPr="000D264E">
          <w:rPr>
            <w:rStyle w:val="Hipercze"/>
            <w:noProof/>
            <w:lang w:val="pl-PL"/>
          </w:rPr>
          <w:t>michal.ciesielski@saint-gobain.com</w:t>
        </w:r>
      </w:hyperlink>
    </w:p>
    <w:p w14:paraId="6FEB94A6" w14:textId="77777777" w:rsidR="004105C4" w:rsidRPr="000D264E" w:rsidRDefault="004105C4" w:rsidP="004105C4">
      <w:pPr>
        <w:pStyle w:val="Nagwek2"/>
        <w:spacing w:line="240" w:lineRule="auto"/>
        <w:rPr>
          <w:noProof/>
          <w:lang w:val="pl-PL"/>
        </w:rPr>
      </w:pPr>
      <w:r w:rsidRPr="000D264E">
        <w:rPr>
          <w:noProof/>
          <w:lang w:val="pl-PL"/>
        </w:rPr>
        <w:t>Monika Mazurek-Skrzekowska, kierownik marki i komunikacji</w:t>
      </w:r>
    </w:p>
    <w:p w14:paraId="3BB2A003" w14:textId="77777777" w:rsidR="004105C4" w:rsidRPr="006E7908" w:rsidRDefault="004105C4" w:rsidP="004105C4">
      <w:pPr>
        <w:pStyle w:val="Nagwek2"/>
        <w:spacing w:line="240" w:lineRule="auto"/>
        <w:rPr>
          <w:noProof/>
          <w:lang w:val="en-GB"/>
        </w:rPr>
      </w:pPr>
      <w:hyperlink r:id="rId14" w:history="1">
        <w:r w:rsidRPr="00AE42C8">
          <w:rPr>
            <w:rStyle w:val="Hipercze"/>
            <w:noProof/>
            <w:lang w:val="en-GB"/>
          </w:rPr>
          <w:t>monika.mazurek@saint-gobain.com</w:t>
        </w:r>
      </w:hyperlink>
      <w:r>
        <w:rPr>
          <w:noProof/>
          <w:lang w:val="en-GB"/>
        </w:rPr>
        <w:t xml:space="preserve"> </w:t>
      </w:r>
    </w:p>
    <w:p w14:paraId="5D9FD4A6" w14:textId="77777777" w:rsidR="009B7D42" w:rsidRPr="009B7D42" w:rsidRDefault="009B7D42" w:rsidP="009B7D42">
      <w:pPr>
        <w:rPr>
          <w:lang w:val="pl-PL"/>
        </w:rPr>
      </w:pPr>
    </w:p>
    <w:sectPr w:rsidR="009B7D42" w:rsidRPr="009B7D42" w:rsidSect="00741AF9">
      <w:headerReference w:type="default" r:id="rId15"/>
      <w:footerReference w:type="default" r:id="rId16"/>
      <w:headerReference w:type="first" r:id="rId17"/>
      <w:pgSz w:w="11906" w:h="16838" w:code="9"/>
      <w:pgMar w:top="2268" w:right="1276" w:bottom="1134" w:left="1134" w:header="567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434F10" w14:textId="77777777" w:rsidR="006D0848" w:rsidRDefault="006D0848" w:rsidP="000D2398">
      <w:pPr>
        <w:spacing w:after="0" w:line="240" w:lineRule="auto"/>
      </w:pPr>
      <w:r>
        <w:separator/>
      </w:r>
    </w:p>
  </w:endnote>
  <w:endnote w:type="continuationSeparator" w:id="0">
    <w:p w14:paraId="13283C8A" w14:textId="77777777" w:rsidR="006D0848" w:rsidRDefault="006D0848" w:rsidP="000D23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HG Mincho Light J">
    <w:panose1 w:val="00000000000000000000"/>
    <w:charset w:val="00"/>
    <w:family w:val="roman"/>
    <w:notTrueType/>
    <w:pitch w:val="default"/>
  </w:font>
  <w:font w:name="Arial (Headings)">
    <w:altName w:val="Arial"/>
    <w:panose1 w:val="00000000000000000000"/>
    <w:charset w:val="00"/>
    <w:family w:val="roman"/>
    <w:notTrueType/>
    <w:pitch w:val="default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152A01" w14:textId="77777777" w:rsidR="00FD3F98" w:rsidRPr="005F2BFA" w:rsidRDefault="00FD3F98" w:rsidP="00FD3F98">
    <w:pPr>
      <w:pStyle w:val="Nagwek2"/>
      <w:spacing w:line="240" w:lineRule="auto"/>
      <w:jc w:val="center"/>
      <w:rPr>
        <w:b/>
        <w:bCs/>
        <w:noProof/>
        <w:sz w:val="16"/>
        <w:szCs w:val="20"/>
      </w:rPr>
    </w:pPr>
    <w:r>
      <w:rPr>
        <w:b/>
        <w:bCs/>
        <w:noProof/>
        <w:sz w:val="16"/>
        <w:szCs w:val="20"/>
      </w:rPr>
      <w:t xml:space="preserve">Saint-Gobain w Polsce </w:t>
    </w:r>
    <w:r w:rsidRPr="00ED2DBB">
      <w:rPr>
        <w:b/>
        <w:bCs/>
        <w:noProof/>
        <w:sz w:val="16"/>
        <w:szCs w:val="20"/>
        <w:lang w:val="pl-PL"/>
      </w:rPr>
      <w:t>• www.saint-gobain.pl</w:t>
    </w:r>
  </w:p>
  <w:p w14:paraId="7B47FD22" w14:textId="7B026622" w:rsidR="008063BD" w:rsidRPr="00FD3F98" w:rsidRDefault="008063BD" w:rsidP="00FD3F98">
    <w:pPr>
      <w:pStyle w:val="Stopka"/>
      <w:rPr>
        <w:lang w:val="fr-F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F4D543" w14:textId="77777777" w:rsidR="006D0848" w:rsidRDefault="006D0848" w:rsidP="000D2398">
      <w:pPr>
        <w:spacing w:after="0" w:line="240" w:lineRule="auto"/>
      </w:pPr>
      <w:r>
        <w:separator/>
      </w:r>
    </w:p>
  </w:footnote>
  <w:footnote w:type="continuationSeparator" w:id="0">
    <w:p w14:paraId="013F5EDB" w14:textId="77777777" w:rsidR="006D0848" w:rsidRDefault="006D0848" w:rsidP="000D23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E0311B" w14:textId="20E2802E" w:rsidR="006B5242" w:rsidRPr="000D264E" w:rsidRDefault="006F2B82" w:rsidP="006B5242">
    <w:pPr>
      <w:pStyle w:val="Nagwek"/>
      <w:tabs>
        <w:tab w:val="clear" w:pos="4680"/>
        <w:tab w:val="clear" w:pos="9360"/>
        <w:tab w:val="left" w:pos="5745"/>
      </w:tabs>
      <w:ind w:left="-567"/>
      <w:rPr>
        <w:b/>
        <w:bCs/>
        <w:noProof/>
        <w:color w:val="17428C" w:themeColor="accent1"/>
        <w:sz w:val="40"/>
        <w:szCs w:val="40"/>
        <w:lang w:val="pl-PL"/>
      </w:rPr>
    </w:pPr>
    <w:r w:rsidRPr="00B272AB">
      <w:rPr>
        <w:b/>
        <w:bCs/>
        <w:noProof/>
        <w:sz w:val="28"/>
        <w:szCs w:val="28"/>
        <w:lang w:val="en-GB"/>
        <w14:textFill>
          <w14:gradFill>
            <w14:gsLst>
              <w14:gs w14:pos="0">
                <w14:schemeClr w14:val="accent4"/>
              </w14:gs>
              <w14:gs w14:pos="50000">
                <w14:schemeClr w14:val="accent5"/>
              </w14:gs>
              <w14:gs w14:pos="100000">
                <w14:schemeClr w14:val="accent1"/>
              </w14:gs>
            </w14:gsLst>
            <w14:lin w14:ang="0" w14:scaled="0"/>
          </w14:gradFill>
        </w14:textFill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2082D494" wp14:editId="15FEF474">
              <wp:simplePos x="0" y="0"/>
              <wp:positionH relativeFrom="page">
                <wp:align>left</wp:align>
              </wp:positionH>
              <wp:positionV relativeFrom="paragraph">
                <wp:posOffset>-361950</wp:posOffset>
              </wp:positionV>
              <wp:extent cx="7559675" cy="10194554"/>
              <wp:effectExtent l="0" t="0" r="3175" b="0"/>
              <wp:wrapNone/>
              <wp:docPr id="755820165" name="Freeform: Shap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59675" cy="10194554"/>
                      </a:xfrm>
                      <a:custGeom>
                        <a:avLst/>
                        <a:gdLst>
                          <a:gd name="connsiteX0" fmla="*/ 215837 w 7559675"/>
                          <a:gd name="connsiteY0" fmla="*/ 1488141 h 10194554"/>
                          <a:gd name="connsiteX1" fmla="*/ 215837 w 7559675"/>
                          <a:gd name="connsiteY1" fmla="*/ 10152448 h 10194554"/>
                          <a:gd name="connsiteX2" fmla="*/ 0 w 7559675"/>
                          <a:gd name="connsiteY2" fmla="*/ 10194554 h 10194554"/>
                          <a:gd name="connsiteX3" fmla="*/ 0 w 7559675"/>
                          <a:gd name="connsiteY3" fmla="*/ 1603031 h 10194554"/>
                          <a:gd name="connsiteX4" fmla="*/ 0 w 7559675"/>
                          <a:gd name="connsiteY4" fmla="*/ 0 h 10194554"/>
                          <a:gd name="connsiteX5" fmla="*/ 7559675 w 7559675"/>
                          <a:gd name="connsiteY5" fmla="*/ 0 h 10194554"/>
                          <a:gd name="connsiteX6" fmla="*/ 7559675 w 7559675"/>
                          <a:gd name="connsiteY6" fmla="*/ 8719795 h 10194554"/>
                          <a:gd name="connsiteX7" fmla="*/ 7343837 w 7559675"/>
                          <a:gd name="connsiteY7" fmla="*/ 8761901 h 10194554"/>
                          <a:gd name="connsiteX8" fmla="*/ 7343837 w 7559675"/>
                          <a:gd name="connsiteY8" fmla="*/ 215906 h 10194554"/>
                          <a:gd name="connsiteX9" fmla="*/ 2605910 w 7559675"/>
                          <a:gd name="connsiteY9" fmla="*/ 215906 h 10194554"/>
                          <a:gd name="connsiteX10" fmla="*/ 3008625 w 7559675"/>
                          <a:gd name="connsiteY10" fmla="*/ 1541 h 10194554"/>
                          <a:gd name="connsiteX11" fmla="*/ 0 w 7559675"/>
                          <a:gd name="connsiteY11" fmla="*/ 1541 h 10194554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  <a:cxn ang="0">
                            <a:pos x="connsiteX7" y="connsiteY7"/>
                          </a:cxn>
                          <a:cxn ang="0">
                            <a:pos x="connsiteX8" y="connsiteY8"/>
                          </a:cxn>
                          <a:cxn ang="0">
                            <a:pos x="connsiteX9" y="connsiteY9"/>
                          </a:cxn>
                          <a:cxn ang="0">
                            <a:pos x="connsiteX10" y="connsiteY10"/>
                          </a:cxn>
                          <a:cxn ang="0">
                            <a:pos x="connsiteX11" y="connsiteY11"/>
                          </a:cxn>
                        </a:cxnLst>
                        <a:rect l="l" t="t" r="r" b="b"/>
                        <a:pathLst>
                          <a:path w="7559675" h="10194554">
                            <a:moveTo>
                              <a:pt x="215837" y="1488141"/>
                            </a:moveTo>
                            <a:lnTo>
                              <a:pt x="215837" y="10152448"/>
                            </a:lnTo>
                            <a:lnTo>
                              <a:pt x="0" y="10194554"/>
                            </a:lnTo>
                            <a:lnTo>
                              <a:pt x="0" y="1603031"/>
                            </a:lnTo>
                            <a:close/>
                            <a:moveTo>
                              <a:pt x="0" y="0"/>
                            </a:moveTo>
                            <a:lnTo>
                              <a:pt x="7559675" y="0"/>
                            </a:lnTo>
                            <a:lnTo>
                              <a:pt x="7559675" y="8719795"/>
                            </a:lnTo>
                            <a:lnTo>
                              <a:pt x="7343837" y="8761901"/>
                            </a:lnTo>
                            <a:lnTo>
                              <a:pt x="7343837" y="215906"/>
                            </a:lnTo>
                            <a:lnTo>
                              <a:pt x="2605910" y="215906"/>
                            </a:lnTo>
                            <a:lnTo>
                              <a:pt x="3008625" y="1541"/>
                            </a:lnTo>
                            <a:lnTo>
                              <a:pt x="0" y="1541"/>
                            </a:lnTo>
                            <a:close/>
                          </a:path>
                        </a:pathLst>
                      </a:custGeom>
                      <a:gradFill flip="none" rotWithShape="1">
                        <a:gsLst>
                          <a:gs pos="0">
                            <a:schemeClr val="accent4"/>
                          </a:gs>
                          <a:gs pos="50000">
                            <a:schemeClr val="accent5"/>
                          </a:gs>
                          <a:gs pos="100000">
                            <a:schemeClr val="accent1"/>
                          </a:gs>
                        </a:gsLst>
                        <a:lin ang="0" scaled="1"/>
                        <a:tileRect/>
                      </a:gra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wrap="square" rtlCol="0" anchor="ctr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5994C63" id="Freeform: Shape 1" o:spid="_x0000_s1026" style="position:absolute;margin-left:0;margin-top:-28.5pt;width:595.25pt;height:802.7pt;z-index:251670528;visibility:visible;mso-wrap-style:square;mso-wrap-distance-left:9pt;mso-wrap-distance-top:0;mso-wrap-distance-right:9pt;mso-wrap-distance-bottom:0;mso-position-horizontal:left;mso-position-horizontal-relative:page;mso-position-vertical:absolute;mso-position-vertical-relative:text;v-text-anchor:middle" coordsize="7559675,101945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" path="m215837,1488141r,8664307l,10194554,,1603031,215837,1488141xm,l7559675,r,8719795l7343837,8761901r,-8545995l2605910,215906,3008625,1541,,1541,,xe" fillcolor="#67b9b0 [3207]" stroked="f" strokeweight="1pt">
              <v:fill color2="#17428c [3204]" rotate="t" angle="90" colors="0 #67b9b0;.5 #219cdc;1 #17428c" focus="100%" type="gradient"/>
              <v:stroke joinstyle="miter"/>
              <v:path arrowok="t" o:connecttype="custom" o:connectlocs="215837,1488141;215837,10152448;0,10194554;0,1603031;0,0;7559675,0;7559675,8719795;7343837,8761901;7343837,215906;2605910,215906;3008625,1541;0,1541" o:connectangles="0,0,0,0,0,0,0,0,0,0,0,0"/>
              <w10:wrap anchorx="page"/>
            </v:shape>
          </w:pict>
        </mc:Fallback>
      </mc:AlternateContent>
    </w:r>
    <w:r w:rsidR="00E15DCA" w:rsidRPr="00B272AB">
      <w:rPr>
        <w:b/>
        <w:bCs/>
        <w:noProof/>
        <w:color w:val="17428C" w:themeColor="accent1"/>
        <w:sz w:val="40"/>
        <w:szCs w:val="40"/>
        <w:lang w:val="en-GB"/>
      </w:rPr>
      <w:drawing>
        <wp:anchor distT="0" distB="0" distL="114300" distR="114300" simplePos="0" relativeHeight="251666432" behindDoc="0" locked="0" layoutInCell="1" allowOverlap="1" wp14:anchorId="362F3C16" wp14:editId="1E3C54C4">
          <wp:simplePos x="0" y="0"/>
          <wp:positionH relativeFrom="column">
            <wp:posOffset>4309110</wp:posOffset>
          </wp:positionH>
          <wp:positionV relativeFrom="paragraph">
            <wp:posOffset>144780</wp:posOffset>
          </wp:positionV>
          <wp:extent cx="1687830" cy="704215"/>
          <wp:effectExtent l="0" t="0" r="7620" b="635"/>
          <wp:wrapNone/>
          <wp:docPr id="755820163" name="Picture 755820163" descr="A logo with a city silhouett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55820163" name="Picture 755820163" descr="A logo with a city silhouette&#10;&#10;Description automatically generated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87830" cy="7042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0D264E" w:rsidRPr="000D264E">
      <w:rPr>
        <w:b/>
        <w:bCs/>
        <w:noProof/>
        <w:color w:val="17428C" w:themeColor="accent1"/>
        <w:sz w:val="40"/>
        <w:szCs w:val="40"/>
        <w:lang w:val="pl-PL"/>
      </w:rPr>
      <w:t>Warszawa</w:t>
    </w:r>
  </w:p>
  <w:p w14:paraId="2F30C3E5" w14:textId="51D59F4B" w:rsidR="00E15DCA" w:rsidRPr="000D264E" w:rsidRDefault="00E15DCA" w:rsidP="006B5242">
    <w:pPr>
      <w:pStyle w:val="Nagwek"/>
      <w:tabs>
        <w:tab w:val="clear" w:pos="4680"/>
        <w:tab w:val="clear" w:pos="9360"/>
        <w:tab w:val="left" w:pos="5745"/>
      </w:tabs>
      <w:ind w:left="-567"/>
      <w:rPr>
        <w:b/>
        <w:bCs/>
        <w:noProof/>
        <w:sz w:val="24"/>
        <w:szCs w:val="24"/>
        <w:lang w:val="pl-PL"/>
        <w14:textFill>
          <w14:gradFill>
            <w14:gsLst>
              <w14:gs w14:pos="0">
                <w14:schemeClr w14:val="accent4"/>
              </w14:gs>
              <w14:gs w14:pos="50000">
                <w14:schemeClr w14:val="accent5"/>
              </w14:gs>
              <w14:gs w14:pos="100000">
                <w14:schemeClr w14:val="accent1"/>
              </w14:gs>
            </w14:gsLst>
            <w14:lin w14:ang="0" w14:scaled="0"/>
          </w14:gradFill>
        </w14:textFill>
      </w:rPr>
    </w:pPr>
  </w:p>
  <w:p w14:paraId="01ECEA0A" w14:textId="114C2DC2" w:rsidR="00B272AB" w:rsidRPr="000D264E" w:rsidRDefault="000D264E" w:rsidP="00B272AB">
    <w:pPr>
      <w:pStyle w:val="Nagwek"/>
      <w:tabs>
        <w:tab w:val="clear" w:pos="4680"/>
        <w:tab w:val="clear" w:pos="9360"/>
        <w:tab w:val="left" w:pos="2025"/>
        <w:tab w:val="left" w:pos="4545"/>
      </w:tabs>
      <w:spacing w:after="120"/>
      <w:ind w:left="-567"/>
      <w:rPr>
        <w:b/>
        <w:bCs/>
        <w:noProof/>
        <w:sz w:val="28"/>
        <w:szCs w:val="28"/>
        <w:lang w:val="pl-PL"/>
        <w14:textFill>
          <w14:gradFill>
            <w14:gsLst>
              <w14:gs w14:pos="0">
                <w14:schemeClr w14:val="accent4"/>
              </w14:gs>
              <w14:gs w14:pos="50000">
                <w14:schemeClr w14:val="accent5"/>
              </w14:gs>
              <w14:gs w14:pos="100000">
                <w14:schemeClr w14:val="accent1"/>
              </w14:gs>
            </w14:gsLst>
            <w14:lin w14:ang="0" w14:scaled="0"/>
          </w14:gradFill>
        </w14:textFill>
      </w:rPr>
    </w:pPr>
    <w:r w:rsidRPr="000D264E">
      <w:rPr>
        <w:b/>
        <w:bCs/>
        <w:noProof/>
        <w:sz w:val="28"/>
        <w:szCs w:val="28"/>
        <w:lang w:val="pl-PL"/>
        <w14:textFill>
          <w14:gradFill>
            <w14:gsLst>
              <w14:gs w14:pos="0">
                <w14:schemeClr w14:val="accent4"/>
              </w14:gs>
              <w14:gs w14:pos="50000">
                <w14:schemeClr w14:val="accent5"/>
              </w14:gs>
              <w14:gs w14:pos="100000">
                <w14:schemeClr w14:val="accent1"/>
              </w14:gs>
            </w14:gsLst>
            <w14:lin w14:ang="0" w14:scaled="0"/>
          </w14:gradFill>
        </w14:textFill>
      </w:rPr>
      <w:t>Informacja prasowa</w:t>
    </w:r>
  </w:p>
  <w:p w14:paraId="7475479D" w14:textId="443CB1C4" w:rsidR="006B5242" w:rsidRPr="000D264E" w:rsidRDefault="00347DCA" w:rsidP="006B5242">
    <w:pPr>
      <w:pStyle w:val="Nagwek"/>
      <w:ind w:left="-567"/>
      <w:rPr>
        <w:lang w:val="pl-PL"/>
      </w:rPr>
    </w:pPr>
    <w:r>
      <w:rPr>
        <w:color w:val="17428C" w:themeColor="accent1"/>
        <w:sz w:val="24"/>
        <w:szCs w:val="24"/>
        <w:lang w:val="pl-PL"/>
      </w:rPr>
      <w:t>2</w:t>
    </w:r>
    <w:r w:rsidR="005A7DC6">
      <w:rPr>
        <w:color w:val="17428C" w:themeColor="accent1"/>
        <w:sz w:val="24"/>
        <w:szCs w:val="24"/>
        <w:lang w:val="pl-PL"/>
      </w:rPr>
      <w:t>7</w:t>
    </w:r>
    <w:r>
      <w:rPr>
        <w:color w:val="17428C" w:themeColor="accent1"/>
        <w:sz w:val="24"/>
        <w:szCs w:val="24"/>
        <w:lang w:val="pl-PL"/>
      </w:rPr>
      <w:t xml:space="preserve"> </w:t>
    </w:r>
    <w:r w:rsidR="002F5CEE">
      <w:rPr>
        <w:color w:val="17428C" w:themeColor="accent1"/>
        <w:sz w:val="24"/>
        <w:szCs w:val="24"/>
        <w:lang w:val="pl-PL"/>
      </w:rPr>
      <w:t>październik</w:t>
    </w:r>
    <w:r w:rsidR="000D264E" w:rsidRPr="000D264E">
      <w:rPr>
        <w:color w:val="17428C" w:themeColor="accent1"/>
        <w:sz w:val="24"/>
        <w:szCs w:val="24"/>
        <w:lang w:val="pl-PL"/>
      </w:rPr>
      <w:t xml:space="preserve"> 2</w:t>
    </w:r>
    <w:r w:rsidR="000D264E">
      <w:rPr>
        <w:color w:val="17428C" w:themeColor="accent1"/>
        <w:sz w:val="24"/>
        <w:szCs w:val="24"/>
        <w:lang w:val="pl-PL"/>
      </w:rPr>
      <w:t>026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D41491" w14:textId="601D399D" w:rsidR="00D135D6" w:rsidRPr="008063BD" w:rsidRDefault="003E687E" w:rsidP="00E319CA">
    <w:pPr>
      <w:pStyle w:val="Nagwek"/>
      <w:tabs>
        <w:tab w:val="clear" w:pos="4680"/>
        <w:tab w:val="clear" w:pos="9360"/>
        <w:tab w:val="left" w:pos="5745"/>
      </w:tabs>
      <w:ind w:left="-567"/>
      <w:rPr>
        <w:b/>
        <w:bCs/>
        <w:noProof/>
        <w:sz w:val="28"/>
        <w:szCs w:val="28"/>
        <w:lang w:val="fr-FR"/>
        <w14:textFill>
          <w14:gradFill>
            <w14:gsLst>
              <w14:gs w14:pos="0">
                <w14:schemeClr w14:val="accent4"/>
              </w14:gs>
              <w14:gs w14:pos="50000">
                <w14:schemeClr w14:val="accent5"/>
              </w14:gs>
              <w14:gs w14:pos="100000">
                <w14:schemeClr w14:val="accent1"/>
              </w14:gs>
            </w14:gsLst>
            <w14:lin w14:ang="0" w14:scaled="0"/>
          </w14:gradFill>
        </w14:textFill>
      </w:rPr>
    </w:pPr>
    <w:r>
      <w:rPr>
        <w:b/>
        <w:bCs/>
        <w:noProof/>
        <w:sz w:val="28"/>
        <w:szCs w:val="28"/>
      </w:rPr>
      <w:drawing>
        <wp:anchor distT="0" distB="0" distL="114300" distR="114300" simplePos="0" relativeHeight="251662336" behindDoc="0" locked="0" layoutInCell="1" allowOverlap="1" wp14:anchorId="31D5FF31" wp14:editId="7F2DAB10">
          <wp:simplePos x="0" y="0"/>
          <wp:positionH relativeFrom="column">
            <wp:posOffset>4302286</wp:posOffset>
          </wp:positionH>
          <wp:positionV relativeFrom="paragraph">
            <wp:posOffset>144780</wp:posOffset>
          </wp:positionV>
          <wp:extent cx="1687830" cy="704215"/>
          <wp:effectExtent l="0" t="0" r="7620" b="635"/>
          <wp:wrapNone/>
          <wp:docPr id="755820081" name="Picture 755820081" descr="A logo with a city silhouett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55820081" name="Picture 755820081" descr="A logo with a city silhouette&#10;&#10;Description automatically generated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87830" cy="7042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6F2B82" w:rsidRPr="006F2B82">
      <w:rPr>
        <w:b/>
        <w:bCs/>
        <w:noProof/>
        <w:sz w:val="28"/>
        <w:szCs w:val="28"/>
        <w14:textFill>
          <w14:gradFill>
            <w14:gsLst>
              <w14:gs w14:pos="0">
                <w14:schemeClr w14:val="accent4"/>
              </w14:gs>
              <w14:gs w14:pos="50000">
                <w14:schemeClr w14:val="accent5"/>
              </w14:gs>
              <w14:gs w14:pos="100000">
                <w14:schemeClr w14:val="accent1"/>
              </w14:gs>
            </w14:gsLst>
            <w14:lin w14:ang="0" w14:scaled="0"/>
          </w14:gradFill>
        </w14:textFill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69556025" wp14:editId="5C3816B2">
              <wp:simplePos x="0" y="0"/>
              <wp:positionH relativeFrom="page">
                <wp:align>left</wp:align>
              </wp:positionH>
              <wp:positionV relativeFrom="paragraph">
                <wp:posOffset>-361950</wp:posOffset>
              </wp:positionV>
              <wp:extent cx="7559675" cy="10194554"/>
              <wp:effectExtent l="0" t="0" r="3175" b="0"/>
              <wp:wrapNone/>
              <wp:docPr id="2" name="Freeform: Shape 1">
                <a:extLst xmlns:a="http://schemas.openxmlformats.org/drawingml/2006/main">
                  <a:ext uri="{FF2B5EF4-FFF2-40B4-BE49-F238E27FC236}">
                    <a16:creationId xmlns:a16="http://schemas.microsoft.com/office/drawing/2014/main" id="{2DE0B375-9CF8-FEE5-7466-F54F61ED7CA8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59675" cy="10194554"/>
                      </a:xfrm>
                      <a:custGeom>
                        <a:avLst/>
                        <a:gdLst>
                          <a:gd name="connsiteX0" fmla="*/ 215837 w 7559675"/>
                          <a:gd name="connsiteY0" fmla="*/ 1488141 h 10194554"/>
                          <a:gd name="connsiteX1" fmla="*/ 215837 w 7559675"/>
                          <a:gd name="connsiteY1" fmla="*/ 10152448 h 10194554"/>
                          <a:gd name="connsiteX2" fmla="*/ 0 w 7559675"/>
                          <a:gd name="connsiteY2" fmla="*/ 10194554 h 10194554"/>
                          <a:gd name="connsiteX3" fmla="*/ 0 w 7559675"/>
                          <a:gd name="connsiteY3" fmla="*/ 1603031 h 10194554"/>
                          <a:gd name="connsiteX4" fmla="*/ 0 w 7559675"/>
                          <a:gd name="connsiteY4" fmla="*/ 0 h 10194554"/>
                          <a:gd name="connsiteX5" fmla="*/ 7559675 w 7559675"/>
                          <a:gd name="connsiteY5" fmla="*/ 0 h 10194554"/>
                          <a:gd name="connsiteX6" fmla="*/ 7559675 w 7559675"/>
                          <a:gd name="connsiteY6" fmla="*/ 8719795 h 10194554"/>
                          <a:gd name="connsiteX7" fmla="*/ 7343837 w 7559675"/>
                          <a:gd name="connsiteY7" fmla="*/ 8761901 h 10194554"/>
                          <a:gd name="connsiteX8" fmla="*/ 7343837 w 7559675"/>
                          <a:gd name="connsiteY8" fmla="*/ 215906 h 10194554"/>
                          <a:gd name="connsiteX9" fmla="*/ 2605910 w 7559675"/>
                          <a:gd name="connsiteY9" fmla="*/ 215906 h 10194554"/>
                          <a:gd name="connsiteX10" fmla="*/ 3008625 w 7559675"/>
                          <a:gd name="connsiteY10" fmla="*/ 1541 h 10194554"/>
                          <a:gd name="connsiteX11" fmla="*/ 0 w 7559675"/>
                          <a:gd name="connsiteY11" fmla="*/ 1541 h 10194554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  <a:cxn ang="0">
                            <a:pos x="connsiteX7" y="connsiteY7"/>
                          </a:cxn>
                          <a:cxn ang="0">
                            <a:pos x="connsiteX8" y="connsiteY8"/>
                          </a:cxn>
                          <a:cxn ang="0">
                            <a:pos x="connsiteX9" y="connsiteY9"/>
                          </a:cxn>
                          <a:cxn ang="0">
                            <a:pos x="connsiteX10" y="connsiteY10"/>
                          </a:cxn>
                          <a:cxn ang="0">
                            <a:pos x="connsiteX11" y="connsiteY11"/>
                          </a:cxn>
                        </a:cxnLst>
                        <a:rect l="l" t="t" r="r" b="b"/>
                        <a:pathLst>
                          <a:path w="7559675" h="10194554">
                            <a:moveTo>
                              <a:pt x="215837" y="1488141"/>
                            </a:moveTo>
                            <a:lnTo>
                              <a:pt x="215837" y="10152448"/>
                            </a:lnTo>
                            <a:lnTo>
                              <a:pt x="0" y="10194554"/>
                            </a:lnTo>
                            <a:lnTo>
                              <a:pt x="0" y="1603031"/>
                            </a:lnTo>
                            <a:close/>
                            <a:moveTo>
                              <a:pt x="0" y="0"/>
                            </a:moveTo>
                            <a:lnTo>
                              <a:pt x="7559675" y="0"/>
                            </a:lnTo>
                            <a:lnTo>
                              <a:pt x="7559675" y="8719795"/>
                            </a:lnTo>
                            <a:lnTo>
                              <a:pt x="7343837" y="8761901"/>
                            </a:lnTo>
                            <a:lnTo>
                              <a:pt x="7343837" y="215906"/>
                            </a:lnTo>
                            <a:lnTo>
                              <a:pt x="2605910" y="215906"/>
                            </a:lnTo>
                            <a:lnTo>
                              <a:pt x="3008625" y="1541"/>
                            </a:lnTo>
                            <a:lnTo>
                              <a:pt x="0" y="1541"/>
                            </a:lnTo>
                            <a:close/>
                          </a:path>
                        </a:pathLst>
                      </a:custGeom>
                      <a:gradFill flip="none" rotWithShape="1">
                        <a:gsLst>
                          <a:gs pos="0">
                            <a:schemeClr val="accent4"/>
                          </a:gs>
                          <a:gs pos="50000">
                            <a:schemeClr val="accent5"/>
                          </a:gs>
                          <a:gs pos="100000">
                            <a:schemeClr val="accent1"/>
                          </a:gs>
                        </a:gsLst>
                        <a:lin ang="0" scaled="1"/>
                        <a:tileRect/>
                      </a:gra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wrap="square" rtlCol="0" anchor="ctr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D44A40D" id="Freeform: Shape 1" o:spid="_x0000_s1026" style="position:absolute;margin-left:0;margin-top:-28.5pt;width:595.25pt;height:802.7pt;z-index:251668480;visibility:visible;mso-wrap-style:square;mso-wrap-distance-left:9pt;mso-wrap-distance-top:0;mso-wrap-distance-right:9pt;mso-wrap-distance-bottom:0;mso-position-horizontal:left;mso-position-horizontal-relative:page;mso-position-vertical:absolute;mso-position-vertical-relative:text;v-text-anchor:middle" coordsize="7559675,101945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" path="m215837,1488141r,8664307l,10194554,,1603031,215837,1488141xm,l7559675,r,8719795l7343837,8761901r,-8545995l2605910,215906,3008625,1541,,1541,,xe" fillcolor="#67b9b0 [3207]" stroked="f" strokeweight="1pt">
              <v:fill color2="#17428c [3204]" rotate="t" angle="90" colors="0 #67b9b0;.5 #219cdc;1 #17428c" focus="100%" type="gradient"/>
              <v:stroke joinstyle="miter"/>
              <v:path arrowok="t" o:connecttype="custom" o:connectlocs="215837,1488141;215837,10152448;0,10194554;0,1603031;0,0;7559675,0;7559675,8719795;7343837,8761901;7343837,215906;2605910,215906;3008625,1541;0,1541" o:connectangles="0,0,0,0,0,0,0,0,0,0,0,0"/>
              <w10:wrap anchorx="page"/>
            </v:shape>
          </w:pict>
        </mc:Fallback>
      </mc:AlternateContent>
    </w:r>
    <w:r w:rsidR="00D135D6" w:rsidRPr="008063BD">
      <w:rPr>
        <w:b/>
        <w:bCs/>
        <w:noProof/>
        <w:sz w:val="28"/>
        <w:szCs w:val="28"/>
        <w:lang w:val="fr-FR"/>
        <w14:textFill>
          <w14:gradFill>
            <w14:gsLst>
              <w14:gs w14:pos="0">
                <w14:schemeClr w14:val="accent4"/>
              </w14:gs>
              <w14:gs w14:pos="50000">
                <w14:schemeClr w14:val="accent5"/>
              </w14:gs>
              <w14:gs w14:pos="100000">
                <w14:schemeClr w14:val="accent1"/>
              </w14:gs>
            </w14:gsLst>
            <w14:lin w14:ang="0" w14:scaled="0"/>
          </w14:gradFill>
        </w14:textFill>
      </w:rPr>
      <w:t>COMMUNIQUÉ</w:t>
    </w:r>
    <w:r w:rsidR="00E319CA" w:rsidRPr="008063BD">
      <w:rPr>
        <w:b/>
        <w:bCs/>
        <w:noProof/>
        <w:sz w:val="28"/>
        <w:szCs w:val="28"/>
        <w:lang w:val="fr-FR"/>
        <w14:textFill>
          <w14:gradFill>
            <w14:gsLst>
              <w14:gs w14:pos="0">
                <w14:schemeClr w14:val="accent4"/>
              </w14:gs>
              <w14:gs w14:pos="50000">
                <w14:schemeClr w14:val="accent5"/>
              </w14:gs>
              <w14:gs w14:pos="100000">
                <w14:schemeClr w14:val="accent1"/>
              </w14:gs>
            </w14:gsLst>
            <w14:lin w14:ang="0" w14:scaled="0"/>
          </w14:gradFill>
        </w14:textFill>
      </w:rPr>
      <w:tab/>
    </w:r>
  </w:p>
  <w:p w14:paraId="45258CF2" w14:textId="4151E4D1" w:rsidR="00D135D6" w:rsidRPr="008063BD" w:rsidRDefault="00D135D6" w:rsidP="00D135D6">
    <w:pPr>
      <w:pStyle w:val="Nagwek"/>
      <w:tabs>
        <w:tab w:val="clear" w:pos="4680"/>
        <w:tab w:val="clear" w:pos="9360"/>
        <w:tab w:val="left" w:pos="2025"/>
        <w:tab w:val="left" w:pos="4545"/>
      </w:tabs>
      <w:spacing w:after="120"/>
      <w:ind w:left="-567"/>
      <w:rPr>
        <w:b/>
        <w:bCs/>
        <w:noProof/>
        <w:sz w:val="28"/>
        <w:szCs w:val="28"/>
        <w:lang w:val="fr-FR"/>
        <w14:textFill>
          <w14:gradFill>
            <w14:gsLst>
              <w14:gs w14:pos="0">
                <w14:schemeClr w14:val="accent4"/>
              </w14:gs>
              <w14:gs w14:pos="50000">
                <w14:schemeClr w14:val="accent5"/>
              </w14:gs>
              <w14:gs w14:pos="100000">
                <w14:schemeClr w14:val="accent1"/>
              </w14:gs>
            </w14:gsLst>
            <w14:lin w14:ang="0" w14:scaled="0"/>
          </w14:gradFill>
        </w14:textFill>
      </w:rPr>
    </w:pPr>
    <w:r w:rsidRPr="008063BD">
      <w:rPr>
        <w:b/>
        <w:bCs/>
        <w:noProof/>
        <w:sz w:val="28"/>
        <w:szCs w:val="28"/>
        <w:lang w:val="fr-FR"/>
        <w14:textFill>
          <w14:gradFill>
            <w14:gsLst>
              <w14:gs w14:pos="0">
                <w14:schemeClr w14:val="accent4"/>
              </w14:gs>
              <w14:gs w14:pos="50000">
                <w14:schemeClr w14:val="accent5"/>
              </w14:gs>
              <w14:gs w14:pos="100000">
                <w14:schemeClr w14:val="accent1"/>
              </w14:gs>
            </w14:gsLst>
            <w14:lin w14:ang="0" w14:scaled="0"/>
          </w14:gradFill>
        </w14:textFill>
      </w:rPr>
      <w:t>DE PRESSE</w:t>
    </w:r>
  </w:p>
  <w:p w14:paraId="0BCBB615" w14:textId="33567E77" w:rsidR="005D111C" w:rsidRPr="008063BD" w:rsidRDefault="00D135D6" w:rsidP="00D135D6">
    <w:pPr>
      <w:pStyle w:val="Nagwek"/>
      <w:tabs>
        <w:tab w:val="clear" w:pos="4680"/>
        <w:tab w:val="clear" w:pos="9360"/>
        <w:tab w:val="left" w:pos="2025"/>
        <w:tab w:val="left" w:pos="4545"/>
      </w:tabs>
      <w:ind w:left="-567"/>
      <w:rPr>
        <w:lang w:val="fr-FR"/>
      </w:rPr>
    </w:pPr>
    <w:r w:rsidRPr="008063BD">
      <w:rPr>
        <w:color w:val="17428C" w:themeColor="accent1"/>
        <w:sz w:val="24"/>
        <w:szCs w:val="24"/>
        <w:lang w:val="fr-FR"/>
      </w:rPr>
      <w:t>XX Janvier XXXX à XXhXX</w:t>
    </w:r>
    <w:r w:rsidR="007B3273" w:rsidRPr="008063BD">
      <w:rPr>
        <w:lang w:val="fr-FR"/>
      </w:rPr>
      <w:tab/>
    </w:r>
    <w:r w:rsidR="007B3273" w:rsidRPr="008063BD">
      <w:rPr>
        <w:lang w:val="fr-FR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1985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2DF8"/>
    <w:rsid w:val="00002490"/>
    <w:rsid w:val="000073BA"/>
    <w:rsid w:val="000464FA"/>
    <w:rsid w:val="00053EDD"/>
    <w:rsid w:val="00067728"/>
    <w:rsid w:val="00076F9B"/>
    <w:rsid w:val="00085D20"/>
    <w:rsid w:val="000904C6"/>
    <w:rsid w:val="000B6694"/>
    <w:rsid w:val="000C5942"/>
    <w:rsid w:val="000D2286"/>
    <w:rsid w:val="000D2398"/>
    <w:rsid w:val="000D264E"/>
    <w:rsid w:val="000D275F"/>
    <w:rsid w:val="000D445D"/>
    <w:rsid w:val="000D584B"/>
    <w:rsid w:val="000D6E5C"/>
    <w:rsid w:val="000E4C8E"/>
    <w:rsid w:val="00104F98"/>
    <w:rsid w:val="00111786"/>
    <w:rsid w:val="00126FC6"/>
    <w:rsid w:val="00134056"/>
    <w:rsid w:val="00141A2C"/>
    <w:rsid w:val="00146184"/>
    <w:rsid w:val="00152859"/>
    <w:rsid w:val="00160377"/>
    <w:rsid w:val="00171DDD"/>
    <w:rsid w:val="001850FE"/>
    <w:rsid w:val="0019189C"/>
    <w:rsid w:val="001950E8"/>
    <w:rsid w:val="001B4BB0"/>
    <w:rsid w:val="001C2861"/>
    <w:rsid w:val="001D35E8"/>
    <w:rsid w:val="001D3669"/>
    <w:rsid w:val="001E20AB"/>
    <w:rsid w:val="001F012E"/>
    <w:rsid w:val="001F155B"/>
    <w:rsid w:val="001F1BEC"/>
    <w:rsid w:val="002001CB"/>
    <w:rsid w:val="00221096"/>
    <w:rsid w:val="0022357A"/>
    <w:rsid w:val="00226911"/>
    <w:rsid w:val="00227AA2"/>
    <w:rsid w:val="00265EBC"/>
    <w:rsid w:val="00274ACD"/>
    <w:rsid w:val="00285CDE"/>
    <w:rsid w:val="002A3687"/>
    <w:rsid w:val="002A3AA3"/>
    <w:rsid w:val="002B1EB4"/>
    <w:rsid w:val="002B36C2"/>
    <w:rsid w:val="002C0B79"/>
    <w:rsid w:val="002D3026"/>
    <w:rsid w:val="002D7BC2"/>
    <w:rsid w:val="002E3324"/>
    <w:rsid w:val="002F5CEE"/>
    <w:rsid w:val="00304B3F"/>
    <w:rsid w:val="0031507D"/>
    <w:rsid w:val="003224CF"/>
    <w:rsid w:val="003276DE"/>
    <w:rsid w:val="00327D26"/>
    <w:rsid w:val="00335363"/>
    <w:rsid w:val="0033556F"/>
    <w:rsid w:val="00337337"/>
    <w:rsid w:val="00347DCA"/>
    <w:rsid w:val="003532A6"/>
    <w:rsid w:val="003537A2"/>
    <w:rsid w:val="00363E79"/>
    <w:rsid w:val="00376C74"/>
    <w:rsid w:val="00381E2C"/>
    <w:rsid w:val="003A3158"/>
    <w:rsid w:val="003B405B"/>
    <w:rsid w:val="003C70CE"/>
    <w:rsid w:val="003E687E"/>
    <w:rsid w:val="004105C4"/>
    <w:rsid w:val="004310BC"/>
    <w:rsid w:val="00460ACD"/>
    <w:rsid w:val="00460CCC"/>
    <w:rsid w:val="004629C4"/>
    <w:rsid w:val="00462B52"/>
    <w:rsid w:val="0047007D"/>
    <w:rsid w:val="004C67AD"/>
    <w:rsid w:val="004D6FB6"/>
    <w:rsid w:val="0050039D"/>
    <w:rsid w:val="005060CE"/>
    <w:rsid w:val="00506ABC"/>
    <w:rsid w:val="005360D8"/>
    <w:rsid w:val="0054106F"/>
    <w:rsid w:val="0054661F"/>
    <w:rsid w:val="00570217"/>
    <w:rsid w:val="00587873"/>
    <w:rsid w:val="0059276A"/>
    <w:rsid w:val="005A7DC6"/>
    <w:rsid w:val="005B3361"/>
    <w:rsid w:val="005D111C"/>
    <w:rsid w:val="005D2C25"/>
    <w:rsid w:val="005E10C9"/>
    <w:rsid w:val="005E194F"/>
    <w:rsid w:val="005F2BFA"/>
    <w:rsid w:val="00604D76"/>
    <w:rsid w:val="00621B0D"/>
    <w:rsid w:val="0062613B"/>
    <w:rsid w:val="0063152D"/>
    <w:rsid w:val="006960EA"/>
    <w:rsid w:val="006B5242"/>
    <w:rsid w:val="006B7A90"/>
    <w:rsid w:val="006D0848"/>
    <w:rsid w:val="006D538A"/>
    <w:rsid w:val="006E7908"/>
    <w:rsid w:val="006E79F6"/>
    <w:rsid w:val="006F0C36"/>
    <w:rsid w:val="006F2B82"/>
    <w:rsid w:val="007130CA"/>
    <w:rsid w:val="0071396E"/>
    <w:rsid w:val="0073486D"/>
    <w:rsid w:val="00741AF9"/>
    <w:rsid w:val="00763358"/>
    <w:rsid w:val="00786E52"/>
    <w:rsid w:val="0079086A"/>
    <w:rsid w:val="00792F64"/>
    <w:rsid w:val="007A2591"/>
    <w:rsid w:val="007B3273"/>
    <w:rsid w:val="007C5A0E"/>
    <w:rsid w:val="007D43FD"/>
    <w:rsid w:val="007D6266"/>
    <w:rsid w:val="00805164"/>
    <w:rsid w:val="008063BD"/>
    <w:rsid w:val="00810AA6"/>
    <w:rsid w:val="00816182"/>
    <w:rsid w:val="00850238"/>
    <w:rsid w:val="008630D8"/>
    <w:rsid w:val="008C000A"/>
    <w:rsid w:val="008C41BB"/>
    <w:rsid w:val="008D4C1B"/>
    <w:rsid w:val="00900F0D"/>
    <w:rsid w:val="00904921"/>
    <w:rsid w:val="0090630E"/>
    <w:rsid w:val="0090778B"/>
    <w:rsid w:val="009139F1"/>
    <w:rsid w:val="00925C88"/>
    <w:rsid w:val="00926751"/>
    <w:rsid w:val="00926EA2"/>
    <w:rsid w:val="009602C3"/>
    <w:rsid w:val="00966370"/>
    <w:rsid w:val="009667DE"/>
    <w:rsid w:val="00985EB2"/>
    <w:rsid w:val="009948BE"/>
    <w:rsid w:val="009A7796"/>
    <w:rsid w:val="009B7D42"/>
    <w:rsid w:val="009C7264"/>
    <w:rsid w:val="009C7D0F"/>
    <w:rsid w:val="009F5427"/>
    <w:rsid w:val="009F5B44"/>
    <w:rsid w:val="00A0551A"/>
    <w:rsid w:val="00A15FB7"/>
    <w:rsid w:val="00A17A4D"/>
    <w:rsid w:val="00A261A9"/>
    <w:rsid w:val="00A4045A"/>
    <w:rsid w:val="00A73B43"/>
    <w:rsid w:val="00A83879"/>
    <w:rsid w:val="00AA59C3"/>
    <w:rsid w:val="00AA7061"/>
    <w:rsid w:val="00AB0483"/>
    <w:rsid w:val="00AB058D"/>
    <w:rsid w:val="00AB4AC7"/>
    <w:rsid w:val="00AC408F"/>
    <w:rsid w:val="00AD0AB9"/>
    <w:rsid w:val="00AD7EB6"/>
    <w:rsid w:val="00AE5577"/>
    <w:rsid w:val="00B045FD"/>
    <w:rsid w:val="00B272AB"/>
    <w:rsid w:val="00B31E6E"/>
    <w:rsid w:val="00B34F37"/>
    <w:rsid w:val="00B6218C"/>
    <w:rsid w:val="00BA19E2"/>
    <w:rsid w:val="00BB2362"/>
    <w:rsid w:val="00BB2733"/>
    <w:rsid w:val="00BB40E8"/>
    <w:rsid w:val="00BC0C57"/>
    <w:rsid w:val="00BC5A8E"/>
    <w:rsid w:val="00BC7E67"/>
    <w:rsid w:val="00BD4AA8"/>
    <w:rsid w:val="00BE4E4F"/>
    <w:rsid w:val="00BF7956"/>
    <w:rsid w:val="00C051BB"/>
    <w:rsid w:val="00C34B18"/>
    <w:rsid w:val="00C35C3B"/>
    <w:rsid w:val="00C423E1"/>
    <w:rsid w:val="00C42A76"/>
    <w:rsid w:val="00C461BA"/>
    <w:rsid w:val="00C463AF"/>
    <w:rsid w:val="00C52D8E"/>
    <w:rsid w:val="00C5604B"/>
    <w:rsid w:val="00C67995"/>
    <w:rsid w:val="00C75B08"/>
    <w:rsid w:val="00C86C52"/>
    <w:rsid w:val="00C94FA4"/>
    <w:rsid w:val="00CA6E59"/>
    <w:rsid w:val="00CB01DC"/>
    <w:rsid w:val="00CD630C"/>
    <w:rsid w:val="00CE24F5"/>
    <w:rsid w:val="00CE5B53"/>
    <w:rsid w:val="00CE7358"/>
    <w:rsid w:val="00D07B37"/>
    <w:rsid w:val="00D12B0B"/>
    <w:rsid w:val="00D135D6"/>
    <w:rsid w:val="00D222D6"/>
    <w:rsid w:val="00D350A4"/>
    <w:rsid w:val="00D40E26"/>
    <w:rsid w:val="00D4410F"/>
    <w:rsid w:val="00D459BA"/>
    <w:rsid w:val="00D7798A"/>
    <w:rsid w:val="00D976F0"/>
    <w:rsid w:val="00DD366B"/>
    <w:rsid w:val="00DD70DB"/>
    <w:rsid w:val="00DE3293"/>
    <w:rsid w:val="00DE576A"/>
    <w:rsid w:val="00E15DCA"/>
    <w:rsid w:val="00E175B9"/>
    <w:rsid w:val="00E25EFB"/>
    <w:rsid w:val="00E319CA"/>
    <w:rsid w:val="00E33E1B"/>
    <w:rsid w:val="00E53BEA"/>
    <w:rsid w:val="00E61CBA"/>
    <w:rsid w:val="00E70157"/>
    <w:rsid w:val="00E75FB4"/>
    <w:rsid w:val="00E848DB"/>
    <w:rsid w:val="00E8652F"/>
    <w:rsid w:val="00EB17E4"/>
    <w:rsid w:val="00EC1D65"/>
    <w:rsid w:val="00EE46CD"/>
    <w:rsid w:val="00EF5B0F"/>
    <w:rsid w:val="00F0092A"/>
    <w:rsid w:val="00F02214"/>
    <w:rsid w:val="00F078A4"/>
    <w:rsid w:val="00F143E8"/>
    <w:rsid w:val="00F25606"/>
    <w:rsid w:val="00F2616C"/>
    <w:rsid w:val="00F266B3"/>
    <w:rsid w:val="00F32176"/>
    <w:rsid w:val="00F41628"/>
    <w:rsid w:val="00F42DF8"/>
    <w:rsid w:val="00F674BB"/>
    <w:rsid w:val="00F70426"/>
    <w:rsid w:val="00F823C5"/>
    <w:rsid w:val="00F97D04"/>
    <w:rsid w:val="00FD1458"/>
    <w:rsid w:val="00FD3F98"/>
    <w:rsid w:val="00FD4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0BD4E0"/>
  <w15:chartTrackingRefBased/>
  <w15:docId w15:val="{603F5327-37CB-454B-9383-2E11043A2D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</w:style>
  <w:style w:type="paragraph" w:styleId="Nagwek1">
    <w:name w:val="heading 1"/>
    <w:basedOn w:val="Normalny"/>
    <w:next w:val="Normalny"/>
    <w:link w:val="Nagwek1Znak"/>
    <w:uiPriority w:val="9"/>
    <w:qFormat/>
    <w:rsid w:val="00C423E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b/>
      <w:color w:val="17428C" w:themeColor="accent1"/>
      <w:sz w:val="32"/>
      <w:szCs w:val="32"/>
    </w:rPr>
  </w:style>
  <w:style w:type="paragraph" w:styleId="Nagwek2">
    <w:name w:val="heading 2"/>
    <w:aliases w:val="Body text"/>
    <w:basedOn w:val="Normalny"/>
    <w:next w:val="Normalny"/>
    <w:link w:val="Nagwek2Znak"/>
    <w:uiPriority w:val="9"/>
    <w:unhideWhenUsed/>
    <w:qFormat/>
    <w:rsid w:val="008063BD"/>
    <w:pPr>
      <w:keepNext/>
      <w:keepLines/>
      <w:spacing w:after="0" w:line="280" w:lineRule="exact"/>
      <w:jc w:val="both"/>
      <w:outlineLvl w:val="1"/>
    </w:pPr>
    <w:rPr>
      <w:rFonts w:asciiTheme="majorHAnsi" w:eastAsiaTheme="majorEastAsia" w:hAnsiTheme="majorHAnsi" w:cstheme="majorBidi"/>
      <w:color w:val="17428C" w:themeColor="accent1"/>
      <w:szCs w:val="26"/>
      <w:lang w:val="fr-FR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0D239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B2045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423E1"/>
    <w:rPr>
      <w:rFonts w:asciiTheme="majorHAnsi" w:eastAsiaTheme="majorEastAsia" w:hAnsiTheme="majorHAnsi" w:cstheme="majorBidi"/>
      <w:b/>
      <w:color w:val="17428C" w:themeColor="accent1"/>
      <w:sz w:val="32"/>
      <w:szCs w:val="32"/>
    </w:rPr>
  </w:style>
  <w:style w:type="character" w:customStyle="1" w:styleId="Nagwek2Znak">
    <w:name w:val="Nagłówek 2 Znak"/>
    <w:aliases w:val="Body text Znak"/>
    <w:basedOn w:val="Domylnaczcionkaakapitu"/>
    <w:link w:val="Nagwek2"/>
    <w:uiPriority w:val="9"/>
    <w:rsid w:val="008063BD"/>
    <w:rPr>
      <w:rFonts w:asciiTheme="majorHAnsi" w:eastAsiaTheme="majorEastAsia" w:hAnsiTheme="majorHAnsi" w:cstheme="majorBidi"/>
      <w:color w:val="17428C" w:themeColor="accent1"/>
      <w:szCs w:val="26"/>
      <w:lang w:val="fr-FR"/>
    </w:rPr>
  </w:style>
  <w:style w:type="paragraph" w:styleId="Nagwek">
    <w:name w:val="header"/>
    <w:basedOn w:val="Normalny"/>
    <w:link w:val="NagwekZnak"/>
    <w:uiPriority w:val="99"/>
    <w:unhideWhenUsed/>
    <w:rsid w:val="000D239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D2398"/>
  </w:style>
  <w:style w:type="paragraph" w:styleId="Stopka">
    <w:name w:val="footer"/>
    <w:basedOn w:val="Normalny"/>
    <w:link w:val="StopkaZnak"/>
    <w:uiPriority w:val="99"/>
    <w:unhideWhenUsed/>
    <w:rsid w:val="000D239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D2398"/>
  </w:style>
  <w:style w:type="character" w:customStyle="1" w:styleId="Nagwek3Znak">
    <w:name w:val="Nagłówek 3 Znak"/>
    <w:basedOn w:val="Domylnaczcionkaakapitu"/>
    <w:link w:val="Nagwek3"/>
    <w:uiPriority w:val="9"/>
    <w:rsid w:val="000D2398"/>
    <w:rPr>
      <w:rFonts w:asciiTheme="majorHAnsi" w:eastAsiaTheme="majorEastAsia" w:hAnsiTheme="majorHAnsi" w:cstheme="majorBidi"/>
      <w:color w:val="0B2045" w:themeColor="accent1" w:themeShade="7F"/>
      <w:sz w:val="24"/>
      <w:szCs w:val="24"/>
    </w:rPr>
  </w:style>
  <w:style w:type="paragraph" w:customStyle="1" w:styleId="BasicParagraph">
    <w:name w:val="[Basic Paragraph]"/>
    <w:basedOn w:val="Normalny"/>
    <w:uiPriority w:val="99"/>
    <w:rsid w:val="00BB40E8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  <w:lang w:val="fr-FR"/>
    </w:rPr>
  </w:style>
  <w:style w:type="character" w:styleId="Numerwiersza">
    <w:name w:val="line number"/>
    <w:basedOn w:val="Domylnaczcionkaakapitu"/>
    <w:uiPriority w:val="99"/>
    <w:semiHidden/>
    <w:unhideWhenUsed/>
    <w:rsid w:val="00E319CA"/>
  </w:style>
  <w:style w:type="character" w:styleId="Hipercze">
    <w:name w:val="Hyperlink"/>
    <w:basedOn w:val="Domylnaczcionkaakapitu"/>
    <w:uiPriority w:val="99"/>
    <w:unhideWhenUsed/>
    <w:rsid w:val="0047007D"/>
    <w:rPr>
      <w:color w:val="CE142E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222D6"/>
    <w:rPr>
      <w:color w:val="605E5C"/>
      <w:shd w:val="clear" w:color="auto" w:fill="E1DFDD"/>
    </w:rPr>
  </w:style>
  <w:style w:type="character" w:styleId="Pogrubienie">
    <w:name w:val="Strong"/>
    <w:uiPriority w:val="22"/>
    <w:qFormat/>
    <w:rsid w:val="00EC1D65"/>
    <w:rPr>
      <w:b/>
    </w:rPr>
  </w:style>
  <w:style w:type="paragraph" w:styleId="NormalnyWeb">
    <w:name w:val="Normal (Web)"/>
    <w:basedOn w:val="Normalny"/>
    <w:uiPriority w:val="99"/>
    <w:rsid w:val="00EC1D65"/>
    <w:pPr>
      <w:widowControl w:val="0"/>
      <w:suppressAutoHyphens/>
      <w:spacing w:before="120" w:after="120" w:line="360" w:lineRule="auto"/>
      <w:jc w:val="both"/>
    </w:pPr>
    <w:rPr>
      <w:rFonts w:ascii="Times New Roman" w:eastAsia="HG Mincho Light J" w:hAnsi="Times New Roman" w:cs="Times New Roman"/>
      <w:color w:val="000000"/>
      <w:sz w:val="24"/>
      <w:szCs w:val="24"/>
      <w:lang w:eastAsia="ar-SA"/>
    </w:rPr>
  </w:style>
  <w:style w:type="paragraph" w:styleId="Poprawka">
    <w:name w:val="Revision"/>
    <w:hidden/>
    <w:uiPriority w:val="99"/>
    <w:semiHidden/>
    <w:rsid w:val="000904C6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0904C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904C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0904C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904C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904C6"/>
    <w:rPr>
      <w:b/>
      <w:bCs/>
      <w:sz w:val="20"/>
      <w:szCs w:val="20"/>
    </w:rPr>
  </w:style>
  <w:style w:type="paragraph" w:styleId="Tekstpodstawowy">
    <w:name w:val="Body Text"/>
    <w:basedOn w:val="Normalny"/>
    <w:link w:val="TekstpodstawowyZnak"/>
    <w:uiPriority w:val="1"/>
    <w:qFormat/>
    <w:rsid w:val="001C2861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1C2861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2761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michal.ciesielski@saint-gobain.com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ww.linkedin.com/company/saint-gobain-poland" TargetMode="Externa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file:///C:\Users\M7209693\AppData\Local\Microsoft\Windows\INetCache\Content.Outlook\GA4U4BHO\www.saint-gobain.pl" TargetMode="External"/><Relationship Id="rId5" Type="http://schemas.openxmlformats.org/officeDocument/2006/relationships/styles" Target="styles.xml"/><Relationship Id="rId15" Type="http://schemas.openxmlformats.org/officeDocument/2006/relationships/header" Target="header1.xml"/><Relationship Id="rId10" Type="http://schemas.openxmlformats.org/officeDocument/2006/relationships/hyperlink" Target="https://www.saint-gobain.pl/rozwiazania/ochrona-zdrowia" TargetMode="Externa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yperlink" Target="mailto:monika.mazurek@saint-gobain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SGB to Word">
      <a:dk1>
        <a:sysClr val="windowText" lastClr="000000"/>
      </a:dk1>
      <a:lt1>
        <a:sysClr val="window" lastClr="FFFFFF"/>
      </a:lt1>
      <a:dk2>
        <a:srgbClr val="3F3F3F"/>
      </a:dk2>
      <a:lt2>
        <a:srgbClr val="FFFFFF"/>
      </a:lt2>
      <a:accent1>
        <a:srgbClr val="17428C"/>
      </a:accent1>
      <a:accent2>
        <a:srgbClr val="CE142E"/>
      </a:accent2>
      <a:accent3>
        <a:srgbClr val="E5531A"/>
      </a:accent3>
      <a:accent4>
        <a:srgbClr val="67B9B0"/>
      </a:accent4>
      <a:accent5>
        <a:srgbClr val="219CDC"/>
      </a:accent5>
      <a:accent6>
        <a:srgbClr val="17428C"/>
      </a:accent6>
      <a:hlink>
        <a:srgbClr val="CE142E"/>
      </a:hlink>
      <a:folHlink>
        <a:srgbClr val="E5531A"/>
      </a:folHlink>
    </a:clrScheme>
    <a:fontScheme name="SGB to words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7f9057e-7b35-4e8c-b6e9-f0ae99fecf78">
      <Terms xmlns="http://schemas.microsoft.com/office/infopath/2007/PartnerControls"/>
    </lcf76f155ced4ddcb4097134ff3c332f>
    <TaxCatchAll xmlns="1e876612-20a0-4a84-bef3-a221432ae682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CDB73DB3F46A4EB699A50866D51C7A" ma:contentTypeVersion="10" ma:contentTypeDescription="Utwórz nowy dokument." ma:contentTypeScope="" ma:versionID="830a37ec3d0e817c577f72310356375c">
  <xsd:schema xmlns:xsd="http://www.w3.org/2001/XMLSchema" xmlns:xs="http://www.w3.org/2001/XMLSchema" xmlns:p="http://schemas.microsoft.com/office/2006/metadata/properties" xmlns:ns2="f7f9057e-7b35-4e8c-b6e9-f0ae99fecf78" xmlns:ns3="1e876612-20a0-4a84-bef3-a221432ae682" targetNamespace="http://schemas.microsoft.com/office/2006/metadata/properties" ma:root="true" ma:fieldsID="f90354498334539d878fe874eea44a5d" ns2:_="" ns3:_="">
    <xsd:import namespace="f7f9057e-7b35-4e8c-b6e9-f0ae99fecf78"/>
    <xsd:import namespace="1e876612-20a0-4a84-bef3-a221432ae68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f9057e-7b35-4e8c-b6e9-f0ae99fecf7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Tagi obrazów" ma:readOnly="false" ma:fieldId="{5cf76f15-5ced-4ddc-b409-7134ff3c332f}" ma:taxonomyMulti="true" ma:sspId="8a8e937e-a000-4b8d-b995-2f10e0fc07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876612-20a0-4a84-bef3-a221432ae682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064e8c27-52ed-4f46-bfbb-c0cad9d4aadf}" ma:internalName="TaxCatchAll" ma:showField="CatchAllData" ma:web="1e876612-20a0-4a84-bef3-a221432ae68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10CBFE5-15A6-4465-B7BD-C5FC4261DBB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6AAF291-C320-4D55-A0C0-D879C6ABC5CB}">
  <ds:schemaRefs>
    <ds:schemaRef ds:uri="http://schemas.microsoft.com/office/2006/metadata/properties"/>
    <ds:schemaRef ds:uri="http://schemas.microsoft.com/office/infopath/2007/PartnerControls"/>
    <ds:schemaRef ds:uri="f7f9057e-7b35-4e8c-b6e9-f0ae99fecf78"/>
    <ds:schemaRef ds:uri="1e876612-20a0-4a84-bef3-a221432ae682"/>
  </ds:schemaRefs>
</ds:datastoreItem>
</file>

<file path=customXml/itemProps3.xml><?xml version="1.0" encoding="utf-8"?>
<ds:datastoreItem xmlns:ds="http://schemas.openxmlformats.org/officeDocument/2006/customXml" ds:itemID="{6C4A08A9-C8BC-4169-B8AF-8AEE21196C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7f9057e-7b35-4e8c-b6e9-f0ae99fecf78"/>
    <ds:schemaRef ds:uri="1e876612-20a0-4a84-bef3-a221432ae68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76604C2-A2BE-401E-8BF7-1C1B748F54AD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ced06422-c515-4a4e-a1f2-e6a0c0200eae}" enabled="1" method="Standard" siteId="{e339bd4b-2e3b-4035-a452-2112d502f2ff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3</Pages>
  <Words>1297</Words>
  <Characters>7782</Characters>
  <Application>Microsoft Office Word</Application>
  <DocSecurity>0</DocSecurity>
  <Lines>64</Lines>
  <Paragraphs>18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Pokeslide</dc:creator>
  <cp:keywords/>
  <dc:description/>
  <cp:lastModifiedBy>Tower Group 2</cp:lastModifiedBy>
  <cp:revision>7</cp:revision>
  <cp:lastPrinted>2026-10-26T11:04:00Z</cp:lastPrinted>
  <dcterms:created xsi:type="dcterms:W3CDTF">2026-10-22T10:13:00Z</dcterms:created>
  <dcterms:modified xsi:type="dcterms:W3CDTF">2026-10-27T08:06:00Z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ced06422-c515-4a4e-a1f2-e6a0c0200eae_Enabled">
    <vt:lpwstr>true</vt:lpwstr>
  </property>
  <property fmtid="{D5CDD505-2E9C-101B-9397-08002B2CF9AE}" pid="3" name="MSIP_Label_ced06422-c515-4a4e-a1f2-e6a0c0200eae_SetDate">
    <vt:lpwstr>2023-08-03T12:58:00Z</vt:lpwstr>
  </property>
  <property fmtid="{D5CDD505-2E9C-101B-9397-08002B2CF9AE}" pid="4" name="MSIP_Label_ced06422-c515-4a4e-a1f2-e6a0c0200eae_Method">
    <vt:lpwstr>Standard</vt:lpwstr>
  </property>
  <property fmtid="{D5CDD505-2E9C-101B-9397-08002B2CF9AE}" pid="5" name="MSIP_Label_ced06422-c515-4a4e-a1f2-e6a0c0200eae_Name">
    <vt:lpwstr>Unclassifed</vt:lpwstr>
  </property>
  <property fmtid="{D5CDD505-2E9C-101B-9397-08002B2CF9AE}" pid="6" name="MSIP_Label_ced06422-c515-4a4e-a1f2-e6a0c0200eae_SiteId">
    <vt:lpwstr>e339bd4b-2e3b-4035-a452-2112d502f2ff</vt:lpwstr>
  </property>
  <property fmtid="{D5CDD505-2E9C-101B-9397-08002B2CF9AE}" pid="7" name="MSIP_Label_ced06422-c515-4a4e-a1f2-e6a0c0200eae_ActionId">
    <vt:lpwstr>e2aaf951-d1f1-4a61-9ac5-f5e5c1df91a8</vt:lpwstr>
  </property>
  <property fmtid="{D5CDD505-2E9C-101B-9397-08002B2CF9AE}" pid="8" name="MSIP_Label_ced06422-c515-4a4e-a1f2-e6a0c0200eae_ContentBits">
    <vt:lpwstr>0</vt:lpwstr>
  </property>
  <property fmtid="{D5CDD505-2E9C-101B-9397-08002B2CF9AE}" pid="9" name="ContentTypeId">
    <vt:lpwstr>0x01010018CDB73DB3F46A4EB699A50866D51C7A</vt:lpwstr>
  </property>
</Properties>
</file>