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CAC72" w14:textId="77777777" w:rsidR="003A0F6E" w:rsidRPr="00446240" w:rsidRDefault="003A0F6E" w:rsidP="003A0F6E">
      <w:pPr>
        <w:spacing w:line="276" w:lineRule="auto"/>
        <w:jc w:val="both"/>
        <w:rPr>
          <w:rFonts w:ascii="Aptos Display" w:hAnsi="Aptos Display"/>
          <w:b/>
          <w:bCs/>
          <w:sz w:val="28"/>
          <w:szCs w:val="28"/>
        </w:rPr>
      </w:pPr>
      <w:r w:rsidRPr="00446240">
        <w:rPr>
          <w:rFonts w:ascii="Aptos Display" w:hAnsi="Aptos Display"/>
          <w:b/>
          <w:bCs/>
          <w:sz w:val="28"/>
          <w:szCs w:val="28"/>
        </w:rPr>
        <w:t>Nowe progi PIT od 2027 roku – rozbudzone nadzieje pracowników na wyższe wynagrodzenia netto, wyzwanie dla strategii budżetów płacowych i presja wdrożeniowa dla pracodawców </w:t>
      </w:r>
    </w:p>
    <w:p w14:paraId="0A108B67" w14:textId="77777777" w:rsidR="003A0F6E" w:rsidRPr="00446240" w:rsidRDefault="003A0F6E" w:rsidP="003A0F6E">
      <w:pPr>
        <w:spacing w:line="276" w:lineRule="auto"/>
        <w:jc w:val="both"/>
        <w:rPr>
          <w:rFonts w:ascii="Aptos Display" w:hAnsi="Aptos Display"/>
          <w:b/>
          <w:bCs/>
        </w:rPr>
      </w:pPr>
      <w:r w:rsidRPr="00446240">
        <w:rPr>
          <w:rFonts w:ascii="Aptos Display" w:hAnsi="Aptos Display"/>
          <w:b/>
          <w:bCs/>
        </w:rPr>
        <w:t>22 października 2026 r. Sejm uchwalił zmiany w skali podatkowej PIT, które według rządowych szacunków mogą przynieść korzyści finansowe dla około 3,5 mln podatników. Wyższe progi podatkowe i nowa stawka 24% mają obowiązywać już od 1 stycznia 2027 r. Dla pracodawców oznacza to jednak wyzwanie związane z krótkim terminem dostosowania systemów kadrowo-płacowych, edukacją podatkową pracowników i planowaniem przyszłorocznych budżetów wynagrodzeń. Co istotne, przewidywany wzrost wynagrodzeń netto części lepiej zarabiających pracowników może wpłynąć na ich oczekiwania płacowe i przebieg rozmów o podwyżkach. Tymczasem proces legislacyjny nadal trwa, a ostateczny kształt regulacji nie jest jeszcze przesądzony. </w:t>
      </w:r>
    </w:p>
    <w:p w14:paraId="37C096CE" w14:textId="77777777" w:rsidR="003A0F6E" w:rsidRPr="00446240" w:rsidRDefault="003A0F6E" w:rsidP="003A0F6E">
      <w:pPr>
        <w:spacing w:line="276" w:lineRule="auto"/>
        <w:jc w:val="both"/>
        <w:rPr>
          <w:rFonts w:ascii="Aptos Display" w:hAnsi="Aptos Display"/>
          <w:b/>
          <w:bCs/>
        </w:rPr>
      </w:pPr>
      <w:r w:rsidRPr="00446240">
        <w:rPr>
          <w:rFonts w:ascii="Aptos Display" w:hAnsi="Aptos Display"/>
          <w:b/>
          <w:bCs/>
        </w:rPr>
        <w:t>Nowa skala PIT – kto i ile zyska na zmianach? </w:t>
      </w:r>
    </w:p>
    <w:p w14:paraId="72663300"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Uchwalony przez Sejm pakiet zmian w ustawie o podatku dochodowym od osób fizycznych, ustawy o podatku dochodowym od osób prawnych oraz ustawy o zryczałtowanym podatku dochodowym od niektórych przychodów osiąganych przez osoby fizyczne (druk sejmowy nr 3147) przewiduje m.in. zastąpienie aktualnie obowiązującej, dwustopniowej skali podatkowej trzema przedziałami: </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65"/>
        <w:gridCol w:w="4830"/>
      </w:tblGrid>
      <w:tr w:rsidR="003A0F6E" w:rsidRPr="00446240" w14:paraId="77E1FAE9" w14:textId="77777777">
        <w:trPr>
          <w:trHeight w:val="300"/>
          <w:tblCellSpacing w:w="15" w:type="dxa"/>
        </w:trPr>
        <w:tc>
          <w:tcPr>
            <w:tcW w:w="3420" w:type="dxa"/>
            <w:tcBorders>
              <w:top w:val="single" w:sz="6" w:space="0" w:color="auto"/>
              <w:left w:val="single" w:sz="6" w:space="0" w:color="auto"/>
              <w:bottom w:val="single" w:sz="6" w:space="0" w:color="auto"/>
              <w:right w:val="single" w:sz="6" w:space="0" w:color="auto"/>
            </w:tcBorders>
            <w:hideMark/>
          </w:tcPr>
          <w:p w14:paraId="55BF82D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Roczna podstawa opodatkowania </w:t>
            </w:r>
          </w:p>
        </w:tc>
        <w:tc>
          <w:tcPr>
            <w:tcW w:w="4785" w:type="dxa"/>
            <w:tcBorders>
              <w:top w:val="single" w:sz="6" w:space="0" w:color="auto"/>
              <w:left w:val="single" w:sz="6" w:space="0" w:color="auto"/>
              <w:bottom w:val="single" w:sz="6" w:space="0" w:color="auto"/>
              <w:right w:val="single" w:sz="6" w:space="0" w:color="auto"/>
            </w:tcBorders>
            <w:hideMark/>
          </w:tcPr>
          <w:p w14:paraId="2F0BEF2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Planowana stawka PIT </w:t>
            </w:r>
          </w:p>
        </w:tc>
      </w:tr>
      <w:tr w:rsidR="003A0F6E" w:rsidRPr="00446240" w14:paraId="1FC6DED0" w14:textId="77777777">
        <w:trPr>
          <w:trHeight w:val="300"/>
          <w:tblCellSpacing w:w="15" w:type="dxa"/>
        </w:trPr>
        <w:tc>
          <w:tcPr>
            <w:tcW w:w="3420" w:type="dxa"/>
            <w:tcBorders>
              <w:top w:val="single" w:sz="6" w:space="0" w:color="auto"/>
              <w:left w:val="single" w:sz="6" w:space="0" w:color="auto"/>
              <w:bottom w:val="single" w:sz="6" w:space="0" w:color="auto"/>
              <w:right w:val="single" w:sz="6" w:space="0" w:color="auto"/>
            </w:tcBorders>
            <w:hideMark/>
          </w:tcPr>
          <w:p w14:paraId="3363BDBF"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Do 130 000 zł </w:t>
            </w:r>
          </w:p>
        </w:tc>
        <w:tc>
          <w:tcPr>
            <w:tcW w:w="4785" w:type="dxa"/>
            <w:tcBorders>
              <w:top w:val="single" w:sz="6" w:space="0" w:color="auto"/>
              <w:left w:val="single" w:sz="6" w:space="0" w:color="auto"/>
              <w:bottom w:val="single" w:sz="6" w:space="0" w:color="auto"/>
              <w:right w:val="single" w:sz="6" w:space="0" w:color="auto"/>
            </w:tcBorders>
            <w:hideMark/>
          </w:tcPr>
          <w:p w14:paraId="1473210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minus kwota zmniejszająca podatek 3600 zł </w:t>
            </w:r>
          </w:p>
        </w:tc>
      </w:tr>
      <w:tr w:rsidR="003A0F6E" w:rsidRPr="00446240" w14:paraId="0F4B2026" w14:textId="77777777">
        <w:trPr>
          <w:trHeight w:val="300"/>
          <w:tblCellSpacing w:w="15" w:type="dxa"/>
        </w:trPr>
        <w:tc>
          <w:tcPr>
            <w:tcW w:w="3420" w:type="dxa"/>
            <w:tcBorders>
              <w:top w:val="single" w:sz="6" w:space="0" w:color="auto"/>
              <w:left w:val="single" w:sz="6" w:space="0" w:color="auto"/>
              <w:bottom w:val="single" w:sz="6" w:space="0" w:color="auto"/>
              <w:right w:val="single" w:sz="6" w:space="0" w:color="auto"/>
            </w:tcBorders>
            <w:hideMark/>
          </w:tcPr>
          <w:p w14:paraId="2B5EA02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Powyżej 130 000 zł do 150 000 zł </w:t>
            </w:r>
          </w:p>
        </w:tc>
        <w:tc>
          <w:tcPr>
            <w:tcW w:w="4785" w:type="dxa"/>
            <w:tcBorders>
              <w:top w:val="single" w:sz="6" w:space="0" w:color="auto"/>
              <w:left w:val="single" w:sz="6" w:space="0" w:color="auto"/>
              <w:bottom w:val="single" w:sz="6" w:space="0" w:color="auto"/>
              <w:right w:val="single" w:sz="6" w:space="0" w:color="auto"/>
            </w:tcBorders>
            <w:hideMark/>
          </w:tcPr>
          <w:p w14:paraId="6833337D"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12 000 zł + 24% nadwyżki ponad 130 000 zł </w:t>
            </w:r>
          </w:p>
        </w:tc>
      </w:tr>
      <w:tr w:rsidR="003A0F6E" w:rsidRPr="00446240" w14:paraId="44F71365" w14:textId="77777777">
        <w:trPr>
          <w:trHeight w:val="300"/>
          <w:tblCellSpacing w:w="15" w:type="dxa"/>
        </w:trPr>
        <w:tc>
          <w:tcPr>
            <w:tcW w:w="3420" w:type="dxa"/>
            <w:tcBorders>
              <w:top w:val="single" w:sz="6" w:space="0" w:color="auto"/>
              <w:left w:val="single" w:sz="6" w:space="0" w:color="auto"/>
              <w:bottom w:val="single" w:sz="6" w:space="0" w:color="auto"/>
              <w:right w:val="single" w:sz="6" w:space="0" w:color="auto"/>
            </w:tcBorders>
            <w:hideMark/>
          </w:tcPr>
          <w:p w14:paraId="501D0E3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Powyżej 150 000 zł </w:t>
            </w:r>
          </w:p>
        </w:tc>
        <w:tc>
          <w:tcPr>
            <w:tcW w:w="4785" w:type="dxa"/>
            <w:tcBorders>
              <w:top w:val="single" w:sz="6" w:space="0" w:color="auto"/>
              <w:left w:val="single" w:sz="6" w:space="0" w:color="auto"/>
              <w:bottom w:val="single" w:sz="6" w:space="0" w:color="auto"/>
              <w:right w:val="single" w:sz="6" w:space="0" w:color="auto"/>
            </w:tcBorders>
            <w:hideMark/>
          </w:tcPr>
          <w:p w14:paraId="05B67D71"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16 800 zł + 32% nadwyżki ponad 150 000 zł </w:t>
            </w:r>
          </w:p>
        </w:tc>
      </w:tr>
    </w:tbl>
    <w:p w14:paraId="55AFDE2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w:t>
      </w:r>
      <w:r w:rsidRPr="00446240">
        <w:rPr>
          <w:rFonts w:ascii="Aptos Display" w:hAnsi="Aptos Display"/>
        </w:rPr>
        <w:br/>
        <w:t>Przyjęto również poprawkę przewidującą coroczną waloryzację progów podatkowych według średniorocznego wskaźnika cen z roku poprzedzającego rok waloryzacji, począwszy od 2028 r. </w:t>
      </w:r>
    </w:p>
    <w:p w14:paraId="56E9B36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Według Ministerstwa Finansów na nowych zasadach może skorzystać około 3,5 mln podatników, a maksymalna oszczędność dla osoby zatrudnionej na umowie o pracę, wynikająca ze zmiany skali, wyniesie 3600 zł rocznie. </w:t>
      </w:r>
    </w:p>
    <w:p w14:paraId="5E93D287"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Nie oznacza to jednak, że każdy pracownik etatowy otrzyma o 300 zł wyższą miesięczną wypłatę. Oszczędności podatkowe będą uzależnione od rocznej podstawy opodatkowania, która nie jest tożsama z wynagrodzeniem brutto. Wysokość zaliczek na podatek i moment wystąpienia korzyści będą zależeć od rozliczeń w poszczególnych miesiącach, indywidualnej sytuacji podatnika oraz dodatkowych zdarzeń, takich jak absencje chorobowe, benefity, premie i prowizje, itp.  </w:t>
      </w:r>
    </w:p>
    <w:p w14:paraId="68005EA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W tym zakresie konieczna będzie komunikacja wyjaśniająca skutki podatkowe skierowana do pracowników, którzy mogą spodziewać się większego wpływu zmiany przepisów na wynagrodzenie „do ręki”. Dotyczy to również osób, których podstawa opodatkowania nie przekracza 120 tys. zł rocznie, a którzy na zmianie skali podatkowej nie zyskają.  </w:t>
      </w:r>
    </w:p>
    <w:p w14:paraId="713C362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lastRenderedPageBreak/>
        <w:t>Najwyższe oszczędności podatkowe uzyskają pracownicy, których roczna podstawa opodatkowania wynosi co najmniej 150 tys. zł. To ważny aspekt z perspektywy pracodawców planujących politykę wynagrodzeniową oraz działania komunikacyjne skierowane do pracowników. </w:t>
      </w:r>
    </w:p>
    <w:p w14:paraId="2DF6A8A6" w14:textId="77777777" w:rsidR="003A0F6E" w:rsidRPr="00446240" w:rsidRDefault="003A0F6E" w:rsidP="003A0F6E">
      <w:pPr>
        <w:spacing w:line="276" w:lineRule="auto"/>
        <w:jc w:val="both"/>
        <w:rPr>
          <w:rFonts w:ascii="Aptos Display" w:hAnsi="Aptos Display"/>
          <w:b/>
          <w:bCs/>
        </w:rPr>
      </w:pPr>
      <w:r w:rsidRPr="00446240">
        <w:rPr>
          <w:rFonts w:ascii="Aptos Display" w:hAnsi="Aptos Display"/>
          <w:b/>
          <w:bCs/>
        </w:rPr>
        <w:t>Symulacja wynagrodzenia – o ile więcej wynagrodzenia „do ręki” otrzyma pracownik? </w:t>
      </w:r>
    </w:p>
    <w:p w14:paraId="6AB0B58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Przyjmijmy przykład pracownika zatrudnionego na podstawie umowy o pracę, który zarabia 16 000 zł brutto miesięcznie, a jego wynagrodzenie nie zmienia się w ciągu roku. </w:t>
      </w:r>
    </w:p>
    <w:p w14:paraId="1831ECD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Założenia symulacji: 12 miesięcy zatrudnienia u jednego pracodawcy, standardowe koszty uzyskania przychodu 250 zł miesięcznie, składki na ubezpieczenia emerytalne, rentowe i chorobowe wg ustawy, składka zdrowotna 9%, brak PPK, ulg i innych dochodów. Porównanie zakłada niezmienność pozostałych parametrów płacowych, aby wyodrębnić wpływ samej zmiany skali PIT.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0"/>
        <w:gridCol w:w="1482"/>
        <w:gridCol w:w="1173"/>
        <w:gridCol w:w="1293"/>
        <w:gridCol w:w="1138"/>
        <w:gridCol w:w="1162"/>
        <w:gridCol w:w="1938"/>
      </w:tblGrid>
      <w:tr w:rsidR="003A0F6E" w:rsidRPr="00446240" w14:paraId="61CBE8DF" w14:textId="77777777">
        <w:trPr>
          <w:trHeight w:val="810"/>
        </w:trPr>
        <w:tc>
          <w:tcPr>
            <w:tcW w:w="930" w:type="dxa"/>
            <w:tcBorders>
              <w:top w:val="single" w:sz="6" w:space="0" w:color="auto"/>
              <w:left w:val="single" w:sz="6" w:space="0" w:color="auto"/>
              <w:bottom w:val="single" w:sz="6" w:space="0" w:color="auto"/>
              <w:right w:val="single" w:sz="6" w:space="0" w:color="auto"/>
            </w:tcBorders>
            <w:hideMark/>
          </w:tcPr>
          <w:p w14:paraId="4E57CF4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Miesiąc </w:t>
            </w:r>
          </w:p>
        </w:tc>
        <w:tc>
          <w:tcPr>
            <w:tcW w:w="1530" w:type="dxa"/>
            <w:tcBorders>
              <w:top w:val="single" w:sz="6" w:space="0" w:color="auto"/>
              <w:left w:val="nil"/>
              <w:bottom w:val="single" w:sz="6" w:space="0" w:color="auto"/>
              <w:right w:val="single" w:sz="6" w:space="0" w:color="auto"/>
            </w:tcBorders>
            <w:hideMark/>
          </w:tcPr>
          <w:p w14:paraId="19B84C4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Wynagrodzenie brutto </w:t>
            </w:r>
          </w:p>
        </w:tc>
        <w:tc>
          <w:tcPr>
            <w:tcW w:w="1410" w:type="dxa"/>
            <w:tcBorders>
              <w:top w:val="single" w:sz="6" w:space="0" w:color="auto"/>
              <w:left w:val="nil"/>
              <w:bottom w:val="single" w:sz="6" w:space="0" w:color="auto"/>
              <w:right w:val="single" w:sz="6" w:space="0" w:color="auto"/>
            </w:tcBorders>
            <w:hideMark/>
          </w:tcPr>
          <w:p w14:paraId="4E525BE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Stawka na PIT wg 2026 </w:t>
            </w:r>
          </w:p>
        </w:tc>
        <w:tc>
          <w:tcPr>
            <w:tcW w:w="1560" w:type="dxa"/>
            <w:tcBorders>
              <w:top w:val="single" w:sz="6" w:space="0" w:color="auto"/>
              <w:left w:val="nil"/>
              <w:bottom w:val="single" w:sz="6" w:space="0" w:color="auto"/>
              <w:right w:val="single" w:sz="6" w:space="0" w:color="auto"/>
            </w:tcBorders>
            <w:hideMark/>
          </w:tcPr>
          <w:p w14:paraId="489CF4F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Zaliczka na PIT wg 2026 </w:t>
            </w:r>
          </w:p>
        </w:tc>
        <w:tc>
          <w:tcPr>
            <w:tcW w:w="1365" w:type="dxa"/>
            <w:tcBorders>
              <w:top w:val="single" w:sz="6" w:space="0" w:color="auto"/>
              <w:left w:val="nil"/>
              <w:bottom w:val="single" w:sz="6" w:space="0" w:color="auto"/>
              <w:right w:val="single" w:sz="6" w:space="0" w:color="auto"/>
            </w:tcBorders>
            <w:hideMark/>
          </w:tcPr>
          <w:p w14:paraId="486EF3E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Stawka na PIT wg 2027 </w:t>
            </w:r>
          </w:p>
        </w:tc>
        <w:tc>
          <w:tcPr>
            <w:tcW w:w="1365" w:type="dxa"/>
            <w:tcBorders>
              <w:top w:val="single" w:sz="6" w:space="0" w:color="auto"/>
              <w:left w:val="nil"/>
              <w:bottom w:val="single" w:sz="6" w:space="0" w:color="auto"/>
              <w:right w:val="single" w:sz="6" w:space="0" w:color="auto"/>
            </w:tcBorders>
            <w:hideMark/>
          </w:tcPr>
          <w:p w14:paraId="63900A5C"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Zaliczka na PIT wg 2027 </w:t>
            </w:r>
          </w:p>
        </w:tc>
        <w:tc>
          <w:tcPr>
            <w:tcW w:w="2370" w:type="dxa"/>
            <w:tcBorders>
              <w:top w:val="single" w:sz="6" w:space="0" w:color="auto"/>
              <w:left w:val="nil"/>
              <w:bottom w:val="single" w:sz="6" w:space="0" w:color="auto"/>
              <w:right w:val="single" w:sz="6" w:space="0" w:color="auto"/>
            </w:tcBorders>
            <w:hideMark/>
          </w:tcPr>
          <w:p w14:paraId="27EA47A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Różnica w naliczonej zaliczce na podatek dochodowy 2026 v 2027 </w:t>
            </w:r>
          </w:p>
        </w:tc>
      </w:tr>
      <w:tr w:rsidR="003A0F6E" w:rsidRPr="00446240" w14:paraId="0582E780" w14:textId="77777777">
        <w:trPr>
          <w:trHeight w:val="285"/>
        </w:trPr>
        <w:tc>
          <w:tcPr>
            <w:tcW w:w="930" w:type="dxa"/>
            <w:tcBorders>
              <w:top w:val="nil"/>
              <w:left w:val="single" w:sz="6" w:space="0" w:color="auto"/>
              <w:bottom w:val="single" w:sz="6" w:space="0" w:color="auto"/>
              <w:right w:val="single" w:sz="6" w:space="0" w:color="auto"/>
            </w:tcBorders>
            <w:hideMark/>
          </w:tcPr>
          <w:p w14:paraId="66B1A1F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w:t>
            </w:r>
          </w:p>
        </w:tc>
        <w:tc>
          <w:tcPr>
            <w:tcW w:w="1530" w:type="dxa"/>
            <w:tcBorders>
              <w:top w:val="nil"/>
              <w:left w:val="nil"/>
              <w:bottom w:val="single" w:sz="6" w:space="0" w:color="auto"/>
              <w:right w:val="single" w:sz="6" w:space="0" w:color="auto"/>
            </w:tcBorders>
            <w:hideMark/>
          </w:tcPr>
          <w:p w14:paraId="479FF466"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5E6FBB3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7F6DA50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2C6140BC"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29FD2685"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6FBB74F6"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31019998" w14:textId="77777777">
        <w:trPr>
          <w:trHeight w:val="285"/>
        </w:trPr>
        <w:tc>
          <w:tcPr>
            <w:tcW w:w="930" w:type="dxa"/>
            <w:tcBorders>
              <w:top w:val="nil"/>
              <w:left w:val="single" w:sz="6" w:space="0" w:color="auto"/>
              <w:bottom w:val="single" w:sz="6" w:space="0" w:color="auto"/>
              <w:right w:val="single" w:sz="6" w:space="0" w:color="auto"/>
            </w:tcBorders>
            <w:hideMark/>
          </w:tcPr>
          <w:p w14:paraId="09F7BCC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2 </w:t>
            </w:r>
          </w:p>
        </w:tc>
        <w:tc>
          <w:tcPr>
            <w:tcW w:w="1530" w:type="dxa"/>
            <w:tcBorders>
              <w:top w:val="nil"/>
              <w:left w:val="nil"/>
              <w:bottom w:val="single" w:sz="6" w:space="0" w:color="auto"/>
              <w:right w:val="single" w:sz="6" w:space="0" w:color="auto"/>
            </w:tcBorders>
            <w:hideMark/>
          </w:tcPr>
          <w:p w14:paraId="0012806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60D5B6C7"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01D1E0B1"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6BA592B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49FB0520"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3E006A7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4744A932" w14:textId="77777777">
        <w:trPr>
          <w:trHeight w:val="285"/>
        </w:trPr>
        <w:tc>
          <w:tcPr>
            <w:tcW w:w="930" w:type="dxa"/>
            <w:tcBorders>
              <w:top w:val="nil"/>
              <w:left w:val="single" w:sz="6" w:space="0" w:color="auto"/>
              <w:bottom w:val="single" w:sz="6" w:space="0" w:color="auto"/>
              <w:right w:val="single" w:sz="6" w:space="0" w:color="auto"/>
            </w:tcBorders>
            <w:hideMark/>
          </w:tcPr>
          <w:p w14:paraId="256E3CC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3 </w:t>
            </w:r>
          </w:p>
        </w:tc>
        <w:tc>
          <w:tcPr>
            <w:tcW w:w="1530" w:type="dxa"/>
            <w:tcBorders>
              <w:top w:val="nil"/>
              <w:left w:val="nil"/>
              <w:bottom w:val="single" w:sz="6" w:space="0" w:color="auto"/>
              <w:right w:val="single" w:sz="6" w:space="0" w:color="auto"/>
            </w:tcBorders>
            <w:hideMark/>
          </w:tcPr>
          <w:p w14:paraId="111F637C"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7C384BCF"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16C13425"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0CFA314F"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75424A36"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0B25E165"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75FA832D" w14:textId="77777777">
        <w:trPr>
          <w:trHeight w:val="285"/>
        </w:trPr>
        <w:tc>
          <w:tcPr>
            <w:tcW w:w="930" w:type="dxa"/>
            <w:tcBorders>
              <w:top w:val="nil"/>
              <w:left w:val="single" w:sz="6" w:space="0" w:color="auto"/>
              <w:bottom w:val="single" w:sz="6" w:space="0" w:color="auto"/>
              <w:right w:val="single" w:sz="6" w:space="0" w:color="auto"/>
            </w:tcBorders>
            <w:hideMark/>
          </w:tcPr>
          <w:p w14:paraId="301BC446"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4 </w:t>
            </w:r>
          </w:p>
        </w:tc>
        <w:tc>
          <w:tcPr>
            <w:tcW w:w="1530" w:type="dxa"/>
            <w:tcBorders>
              <w:top w:val="nil"/>
              <w:left w:val="nil"/>
              <w:bottom w:val="single" w:sz="6" w:space="0" w:color="auto"/>
              <w:right w:val="single" w:sz="6" w:space="0" w:color="auto"/>
            </w:tcBorders>
            <w:hideMark/>
          </w:tcPr>
          <w:p w14:paraId="3445747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6792CF0D"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061E184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4B969E4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6C4404D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087B1C5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7172DCE5" w14:textId="77777777">
        <w:trPr>
          <w:trHeight w:val="285"/>
        </w:trPr>
        <w:tc>
          <w:tcPr>
            <w:tcW w:w="930" w:type="dxa"/>
            <w:tcBorders>
              <w:top w:val="nil"/>
              <w:left w:val="single" w:sz="6" w:space="0" w:color="auto"/>
              <w:bottom w:val="single" w:sz="6" w:space="0" w:color="auto"/>
              <w:right w:val="single" w:sz="6" w:space="0" w:color="auto"/>
            </w:tcBorders>
            <w:hideMark/>
          </w:tcPr>
          <w:p w14:paraId="26874C30"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5 </w:t>
            </w:r>
          </w:p>
        </w:tc>
        <w:tc>
          <w:tcPr>
            <w:tcW w:w="1530" w:type="dxa"/>
            <w:tcBorders>
              <w:top w:val="nil"/>
              <w:left w:val="nil"/>
              <w:bottom w:val="single" w:sz="6" w:space="0" w:color="auto"/>
              <w:right w:val="single" w:sz="6" w:space="0" w:color="auto"/>
            </w:tcBorders>
            <w:hideMark/>
          </w:tcPr>
          <w:p w14:paraId="2F828436"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3D16DCFD"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3128B9C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026C591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11A2B7F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2A78A586"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231BD353" w14:textId="77777777">
        <w:trPr>
          <w:trHeight w:val="285"/>
        </w:trPr>
        <w:tc>
          <w:tcPr>
            <w:tcW w:w="930" w:type="dxa"/>
            <w:tcBorders>
              <w:top w:val="nil"/>
              <w:left w:val="single" w:sz="6" w:space="0" w:color="auto"/>
              <w:bottom w:val="single" w:sz="6" w:space="0" w:color="auto"/>
              <w:right w:val="single" w:sz="6" w:space="0" w:color="auto"/>
            </w:tcBorders>
            <w:hideMark/>
          </w:tcPr>
          <w:p w14:paraId="5E91278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6 </w:t>
            </w:r>
          </w:p>
        </w:tc>
        <w:tc>
          <w:tcPr>
            <w:tcW w:w="1530" w:type="dxa"/>
            <w:tcBorders>
              <w:top w:val="nil"/>
              <w:left w:val="nil"/>
              <w:bottom w:val="single" w:sz="6" w:space="0" w:color="auto"/>
              <w:right w:val="single" w:sz="6" w:space="0" w:color="auto"/>
            </w:tcBorders>
            <w:hideMark/>
          </w:tcPr>
          <w:p w14:paraId="01A5C335"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4F3E69F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2874454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0F91C51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66424A6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182D7630"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5FC85F50" w14:textId="77777777">
        <w:trPr>
          <w:trHeight w:val="285"/>
        </w:trPr>
        <w:tc>
          <w:tcPr>
            <w:tcW w:w="930" w:type="dxa"/>
            <w:tcBorders>
              <w:top w:val="nil"/>
              <w:left w:val="single" w:sz="6" w:space="0" w:color="auto"/>
              <w:bottom w:val="single" w:sz="6" w:space="0" w:color="auto"/>
              <w:right w:val="single" w:sz="6" w:space="0" w:color="auto"/>
            </w:tcBorders>
            <w:hideMark/>
          </w:tcPr>
          <w:p w14:paraId="7D86E05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7 </w:t>
            </w:r>
          </w:p>
        </w:tc>
        <w:tc>
          <w:tcPr>
            <w:tcW w:w="1530" w:type="dxa"/>
            <w:tcBorders>
              <w:top w:val="nil"/>
              <w:left w:val="nil"/>
              <w:bottom w:val="single" w:sz="6" w:space="0" w:color="auto"/>
              <w:right w:val="single" w:sz="6" w:space="0" w:color="auto"/>
            </w:tcBorders>
            <w:hideMark/>
          </w:tcPr>
          <w:p w14:paraId="3A59EEA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2725769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6342D38C"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15BA7C27"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2E3992ED"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71C64EC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58EEF8DC" w14:textId="77777777">
        <w:trPr>
          <w:trHeight w:val="285"/>
        </w:trPr>
        <w:tc>
          <w:tcPr>
            <w:tcW w:w="930" w:type="dxa"/>
            <w:tcBorders>
              <w:top w:val="nil"/>
              <w:left w:val="single" w:sz="6" w:space="0" w:color="auto"/>
              <w:bottom w:val="single" w:sz="6" w:space="0" w:color="auto"/>
              <w:right w:val="single" w:sz="6" w:space="0" w:color="auto"/>
            </w:tcBorders>
            <w:hideMark/>
          </w:tcPr>
          <w:p w14:paraId="24FD5D3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8 </w:t>
            </w:r>
          </w:p>
        </w:tc>
        <w:tc>
          <w:tcPr>
            <w:tcW w:w="1530" w:type="dxa"/>
            <w:tcBorders>
              <w:top w:val="nil"/>
              <w:left w:val="nil"/>
              <w:bottom w:val="single" w:sz="6" w:space="0" w:color="auto"/>
              <w:right w:val="single" w:sz="6" w:space="0" w:color="auto"/>
            </w:tcBorders>
            <w:hideMark/>
          </w:tcPr>
          <w:p w14:paraId="26ED3EE7"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7692E16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1560" w:type="dxa"/>
            <w:tcBorders>
              <w:top w:val="nil"/>
              <w:left w:val="nil"/>
              <w:bottom w:val="single" w:sz="6" w:space="0" w:color="auto"/>
              <w:right w:val="single" w:sz="6" w:space="0" w:color="auto"/>
            </w:tcBorders>
            <w:hideMark/>
          </w:tcPr>
          <w:p w14:paraId="7BDF3E0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3E5BA986"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5D8353D1"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1233667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0 </w:t>
            </w:r>
          </w:p>
        </w:tc>
      </w:tr>
      <w:tr w:rsidR="003A0F6E" w:rsidRPr="00446240" w14:paraId="268D2F6A" w14:textId="77777777">
        <w:trPr>
          <w:trHeight w:val="285"/>
        </w:trPr>
        <w:tc>
          <w:tcPr>
            <w:tcW w:w="930" w:type="dxa"/>
            <w:tcBorders>
              <w:top w:val="nil"/>
              <w:left w:val="single" w:sz="6" w:space="0" w:color="auto"/>
              <w:bottom w:val="single" w:sz="6" w:space="0" w:color="auto"/>
              <w:right w:val="single" w:sz="6" w:space="0" w:color="auto"/>
            </w:tcBorders>
            <w:hideMark/>
          </w:tcPr>
          <w:p w14:paraId="62CE060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9 </w:t>
            </w:r>
          </w:p>
        </w:tc>
        <w:tc>
          <w:tcPr>
            <w:tcW w:w="1530" w:type="dxa"/>
            <w:tcBorders>
              <w:top w:val="nil"/>
              <w:left w:val="nil"/>
              <w:bottom w:val="single" w:sz="6" w:space="0" w:color="auto"/>
              <w:right w:val="single" w:sz="6" w:space="0" w:color="auto"/>
            </w:tcBorders>
            <w:hideMark/>
          </w:tcPr>
          <w:p w14:paraId="14C95EC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0C44FEC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1 728,00 </w:t>
            </w:r>
          </w:p>
        </w:tc>
        <w:tc>
          <w:tcPr>
            <w:tcW w:w="1560" w:type="dxa"/>
            <w:tcBorders>
              <w:top w:val="nil"/>
              <w:left w:val="nil"/>
              <w:bottom w:val="single" w:sz="6" w:space="0" w:color="auto"/>
              <w:right w:val="single" w:sz="6" w:space="0" w:color="auto"/>
            </w:tcBorders>
            <w:hideMark/>
          </w:tcPr>
          <w:p w14:paraId="4DEE40D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i 32% </w:t>
            </w:r>
          </w:p>
        </w:tc>
        <w:tc>
          <w:tcPr>
            <w:tcW w:w="1365" w:type="dxa"/>
            <w:tcBorders>
              <w:top w:val="nil"/>
              <w:left w:val="nil"/>
              <w:bottom w:val="single" w:sz="6" w:space="0" w:color="auto"/>
              <w:right w:val="single" w:sz="6" w:space="0" w:color="auto"/>
            </w:tcBorders>
            <w:hideMark/>
          </w:tcPr>
          <w:p w14:paraId="483AC60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365" w:type="dxa"/>
            <w:tcBorders>
              <w:top w:val="nil"/>
              <w:left w:val="nil"/>
              <w:bottom w:val="single" w:sz="6" w:space="0" w:color="auto"/>
              <w:right w:val="single" w:sz="6" w:space="0" w:color="auto"/>
            </w:tcBorders>
            <w:hideMark/>
          </w:tcPr>
          <w:p w14:paraId="11CB1A4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1 327,00 </w:t>
            </w:r>
          </w:p>
        </w:tc>
        <w:tc>
          <w:tcPr>
            <w:tcW w:w="2370" w:type="dxa"/>
            <w:tcBorders>
              <w:top w:val="nil"/>
              <w:left w:val="nil"/>
              <w:bottom w:val="single" w:sz="6" w:space="0" w:color="auto"/>
              <w:right w:val="single" w:sz="6" w:space="0" w:color="auto"/>
            </w:tcBorders>
            <w:hideMark/>
          </w:tcPr>
          <w:p w14:paraId="37BB4685"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-401 </w:t>
            </w:r>
          </w:p>
        </w:tc>
      </w:tr>
      <w:tr w:rsidR="003A0F6E" w:rsidRPr="00446240" w14:paraId="6DCAC9C6" w14:textId="77777777">
        <w:trPr>
          <w:trHeight w:val="285"/>
        </w:trPr>
        <w:tc>
          <w:tcPr>
            <w:tcW w:w="930" w:type="dxa"/>
            <w:tcBorders>
              <w:top w:val="nil"/>
              <w:left w:val="single" w:sz="6" w:space="0" w:color="auto"/>
              <w:bottom w:val="single" w:sz="6" w:space="0" w:color="auto"/>
              <w:right w:val="single" w:sz="6" w:space="0" w:color="auto"/>
            </w:tcBorders>
            <w:hideMark/>
          </w:tcPr>
          <w:p w14:paraId="1160B9D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10 </w:t>
            </w:r>
          </w:p>
        </w:tc>
        <w:tc>
          <w:tcPr>
            <w:tcW w:w="1530" w:type="dxa"/>
            <w:tcBorders>
              <w:top w:val="nil"/>
              <w:left w:val="nil"/>
              <w:bottom w:val="single" w:sz="6" w:space="0" w:color="auto"/>
              <w:right w:val="single" w:sz="6" w:space="0" w:color="auto"/>
            </w:tcBorders>
            <w:hideMark/>
          </w:tcPr>
          <w:p w14:paraId="46C6601F"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4362582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4 038,00 </w:t>
            </w:r>
          </w:p>
        </w:tc>
        <w:tc>
          <w:tcPr>
            <w:tcW w:w="1560" w:type="dxa"/>
            <w:tcBorders>
              <w:top w:val="nil"/>
              <w:left w:val="nil"/>
              <w:bottom w:val="single" w:sz="6" w:space="0" w:color="auto"/>
              <w:right w:val="single" w:sz="6" w:space="0" w:color="auto"/>
            </w:tcBorders>
            <w:hideMark/>
          </w:tcPr>
          <w:p w14:paraId="2EDBE625"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32% </w:t>
            </w:r>
          </w:p>
        </w:tc>
        <w:tc>
          <w:tcPr>
            <w:tcW w:w="1365" w:type="dxa"/>
            <w:tcBorders>
              <w:top w:val="nil"/>
              <w:left w:val="nil"/>
              <w:bottom w:val="single" w:sz="6" w:space="0" w:color="auto"/>
              <w:right w:val="single" w:sz="6" w:space="0" w:color="auto"/>
            </w:tcBorders>
            <w:hideMark/>
          </w:tcPr>
          <w:p w14:paraId="4518F275"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24% </w:t>
            </w:r>
          </w:p>
        </w:tc>
        <w:tc>
          <w:tcPr>
            <w:tcW w:w="1365" w:type="dxa"/>
            <w:tcBorders>
              <w:top w:val="nil"/>
              <w:left w:val="nil"/>
              <w:bottom w:val="single" w:sz="6" w:space="0" w:color="auto"/>
              <w:right w:val="single" w:sz="6" w:space="0" w:color="auto"/>
            </w:tcBorders>
            <w:hideMark/>
          </w:tcPr>
          <w:p w14:paraId="691A4440"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1 994,00 </w:t>
            </w:r>
          </w:p>
        </w:tc>
        <w:tc>
          <w:tcPr>
            <w:tcW w:w="2370" w:type="dxa"/>
            <w:tcBorders>
              <w:top w:val="nil"/>
              <w:left w:val="nil"/>
              <w:bottom w:val="single" w:sz="6" w:space="0" w:color="auto"/>
              <w:right w:val="single" w:sz="6" w:space="0" w:color="auto"/>
            </w:tcBorders>
            <w:hideMark/>
          </w:tcPr>
          <w:p w14:paraId="2FB92B9C"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-2044 </w:t>
            </w:r>
          </w:p>
        </w:tc>
      </w:tr>
      <w:tr w:rsidR="003A0F6E" w:rsidRPr="00446240" w14:paraId="217A9645" w14:textId="77777777">
        <w:trPr>
          <w:trHeight w:val="285"/>
        </w:trPr>
        <w:tc>
          <w:tcPr>
            <w:tcW w:w="930" w:type="dxa"/>
            <w:tcBorders>
              <w:top w:val="nil"/>
              <w:left w:val="single" w:sz="6" w:space="0" w:color="auto"/>
              <w:bottom w:val="single" w:sz="6" w:space="0" w:color="auto"/>
              <w:right w:val="single" w:sz="6" w:space="0" w:color="auto"/>
            </w:tcBorders>
            <w:hideMark/>
          </w:tcPr>
          <w:p w14:paraId="17ABA36C"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11 </w:t>
            </w:r>
          </w:p>
        </w:tc>
        <w:tc>
          <w:tcPr>
            <w:tcW w:w="1530" w:type="dxa"/>
            <w:tcBorders>
              <w:top w:val="nil"/>
              <w:left w:val="nil"/>
              <w:bottom w:val="single" w:sz="6" w:space="0" w:color="auto"/>
              <w:right w:val="single" w:sz="6" w:space="0" w:color="auto"/>
            </w:tcBorders>
            <w:hideMark/>
          </w:tcPr>
          <w:p w14:paraId="2EA92EB1"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2B71089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4 038,00 </w:t>
            </w:r>
          </w:p>
        </w:tc>
        <w:tc>
          <w:tcPr>
            <w:tcW w:w="1560" w:type="dxa"/>
            <w:tcBorders>
              <w:top w:val="nil"/>
              <w:left w:val="nil"/>
              <w:bottom w:val="single" w:sz="6" w:space="0" w:color="auto"/>
              <w:right w:val="single" w:sz="6" w:space="0" w:color="auto"/>
            </w:tcBorders>
            <w:hideMark/>
          </w:tcPr>
          <w:p w14:paraId="2A62EC2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32% </w:t>
            </w:r>
          </w:p>
        </w:tc>
        <w:tc>
          <w:tcPr>
            <w:tcW w:w="1365" w:type="dxa"/>
            <w:tcBorders>
              <w:top w:val="nil"/>
              <w:left w:val="nil"/>
              <w:bottom w:val="single" w:sz="6" w:space="0" w:color="auto"/>
              <w:right w:val="single" w:sz="6" w:space="0" w:color="auto"/>
            </w:tcBorders>
            <w:hideMark/>
          </w:tcPr>
          <w:p w14:paraId="300AA4E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24% i 32% </w:t>
            </w:r>
          </w:p>
        </w:tc>
        <w:tc>
          <w:tcPr>
            <w:tcW w:w="1365" w:type="dxa"/>
            <w:tcBorders>
              <w:top w:val="nil"/>
              <w:left w:val="nil"/>
              <w:bottom w:val="single" w:sz="6" w:space="0" w:color="auto"/>
              <w:right w:val="single" w:sz="6" w:space="0" w:color="auto"/>
            </w:tcBorders>
            <w:hideMark/>
          </w:tcPr>
          <w:p w14:paraId="2366159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2 953,00 </w:t>
            </w:r>
          </w:p>
        </w:tc>
        <w:tc>
          <w:tcPr>
            <w:tcW w:w="2370" w:type="dxa"/>
            <w:tcBorders>
              <w:top w:val="nil"/>
              <w:left w:val="nil"/>
              <w:bottom w:val="single" w:sz="6" w:space="0" w:color="auto"/>
              <w:right w:val="single" w:sz="6" w:space="0" w:color="auto"/>
            </w:tcBorders>
            <w:hideMark/>
          </w:tcPr>
          <w:p w14:paraId="1E57984D"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-1085 </w:t>
            </w:r>
          </w:p>
        </w:tc>
      </w:tr>
      <w:tr w:rsidR="003A0F6E" w:rsidRPr="00446240" w14:paraId="0F12B883" w14:textId="77777777">
        <w:trPr>
          <w:trHeight w:val="285"/>
        </w:trPr>
        <w:tc>
          <w:tcPr>
            <w:tcW w:w="930" w:type="dxa"/>
            <w:tcBorders>
              <w:top w:val="nil"/>
              <w:left w:val="single" w:sz="6" w:space="0" w:color="auto"/>
              <w:bottom w:val="single" w:sz="6" w:space="0" w:color="auto"/>
              <w:right w:val="single" w:sz="6" w:space="0" w:color="auto"/>
            </w:tcBorders>
            <w:hideMark/>
          </w:tcPr>
          <w:p w14:paraId="76E395CD"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12 </w:t>
            </w:r>
          </w:p>
        </w:tc>
        <w:tc>
          <w:tcPr>
            <w:tcW w:w="1530" w:type="dxa"/>
            <w:tcBorders>
              <w:top w:val="nil"/>
              <w:left w:val="nil"/>
              <w:bottom w:val="single" w:sz="6" w:space="0" w:color="auto"/>
              <w:right w:val="single" w:sz="6" w:space="0" w:color="auto"/>
            </w:tcBorders>
            <w:hideMark/>
          </w:tcPr>
          <w:p w14:paraId="13F6D74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16 000,00 </w:t>
            </w:r>
          </w:p>
        </w:tc>
        <w:tc>
          <w:tcPr>
            <w:tcW w:w="1410" w:type="dxa"/>
            <w:tcBorders>
              <w:top w:val="nil"/>
              <w:left w:val="nil"/>
              <w:bottom w:val="single" w:sz="6" w:space="0" w:color="auto"/>
              <w:right w:val="single" w:sz="6" w:space="0" w:color="auto"/>
            </w:tcBorders>
            <w:hideMark/>
          </w:tcPr>
          <w:p w14:paraId="7FAD97B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4 038,00 </w:t>
            </w:r>
          </w:p>
        </w:tc>
        <w:tc>
          <w:tcPr>
            <w:tcW w:w="1560" w:type="dxa"/>
            <w:tcBorders>
              <w:top w:val="nil"/>
              <w:left w:val="nil"/>
              <w:bottom w:val="single" w:sz="6" w:space="0" w:color="auto"/>
              <w:right w:val="single" w:sz="6" w:space="0" w:color="auto"/>
            </w:tcBorders>
            <w:hideMark/>
          </w:tcPr>
          <w:p w14:paraId="41A2D21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32% </w:t>
            </w:r>
          </w:p>
        </w:tc>
        <w:tc>
          <w:tcPr>
            <w:tcW w:w="1365" w:type="dxa"/>
            <w:tcBorders>
              <w:top w:val="nil"/>
              <w:left w:val="nil"/>
              <w:bottom w:val="single" w:sz="6" w:space="0" w:color="auto"/>
              <w:right w:val="single" w:sz="6" w:space="0" w:color="auto"/>
            </w:tcBorders>
            <w:hideMark/>
          </w:tcPr>
          <w:p w14:paraId="1E62078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32% </w:t>
            </w:r>
          </w:p>
        </w:tc>
        <w:tc>
          <w:tcPr>
            <w:tcW w:w="1365" w:type="dxa"/>
            <w:tcBorders>
              <w:top w:val="nil"/>
              <w:left w:val="nil"/>
              <w:bottom w:val="single" w:sz="6" w:space="0" w:color="auto"/>
              <w:right w:val="single" w:sz="6" w:space="0" w:color="auto"/>
            </w:tcBorders>
            <w:hideMark/>
          </w:tcPr>
          <w:p w14:paraId="31C7C41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3 967,00 </w:t>
            </w:r>
          </w:p>
        </w:tc>
        <w:tc>
          <w:tcPr>
            <w:tcW w:w="2370" w:type="dxa"/>
            <w:tcBorders>
              <w:top w:val="nil"/>
              <w:left w:val="nil"/>
              <w:bottom w:val="single" w:sz="6" w:space="0" w:color="auto"/>
              <w:right w:val="single" w:sz="6" w:space="0" w:color="auto"/>
            </w:tcBorders>
            <w:hideMark/>
          </w:tcPr>
          <w:p w14:paraId="57B9D44F"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-71 </w:t>
            </w:r>
          </w:p>
        </w:tc>
      </w:tr>
      <w:tr w:rsidR="003A0F6E" w:rsidRPr="00446240" w14:paraId="36585280" w14:textId="77777777">
        <w:trPr>
          <w:trHeight w:val="285"/>
        </w:trPr>
        <w:tc>
          <w:tcPr>
            <w:tcW w:w="930" w:type="dxa"/>
            <w:tcBorders>
              <w:top w:val="nil"/>
              <w:left w:val="nil"/>
              <w:bottom w:val="nil"/>
              <w:right w:val="nil"/>
            </w:tcBorders>
            <w:hideMark/>
          </w:tcPr>
          <w:p w14:paraId="5C3D3CF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w:t>
            </w:r>
          </w:p>
        </w:tc>
        <w:tc>
          <w:tcPr>
            <w:tcW w:w="1530" w:type="dxa"/>
            <w:tcBorders>
              <w:top w:val="nil"/>
              <w:left w:val="nil"/>
              <w:bottom w:val="nil"/>
              <w:right w:val="nil"/>
            </w:tcBorders>
            <w:hideMark/>
          </w:tcPr>
          <w:p w14:paraId="34581B6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w:t>
            </w:r>
          </w:p>
        </w:tc>
        <w:tc>
          <w:tcPr>
            <w:tcW w:w="1410" w:type="dxa"/>
            <w:tcBorders>
              <w:top w:val="nil"/>
              <w:left w:val="nil"/>
              <w:bottom w:val="nil"/>
              <w:right w:val="nil"/>
            </w:tcBorders>
            <w:hideMark/>
          </w:tcPr>
          <w:p w14:paraId="33212D0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w:t>
            </w:r>
          </w:p>
        </w:tc>
        <w:tc>
          <w:tcPr>
            <w:tcW w:w="1560" w:type="dxa"/>
            <w:tcBorders>
              <w:top w:val="nil"/>
              <w:left w:val="nil"/>
              <w:bottom w:val="nil"/>
              <w:right w:val="nil"/>
            </w:tcBorders>
            <w:hideMark/>
          </w:tcPr>
          <w:p w14:paraId="1AC9CFEC"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w:t>
            </w:r>
          </w:p>
        </w:tc>
        <w:tc>
          <w:tcPr>
            <w:tcW w:w="1365" w:type="dxa"/>
            <w:tcBorders>
              <w:top w:val="nil"/>
              <w:left w:val="nil"/>
              <w:bottom w:val="nil"/>
              <w:right w:val="nil"/>
            </w:tcBorders>
            <w:hideMark/>
          </w:tcPr>
          <w:p w14:paraId="4B3A4ACE"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w:t>
            </w:r>
          </w:p>
        </w:tc>
        <w:tc>
          <w:tcPr>
            <w:tcW w:w="1365" w:type="dxa"/>
            <w:tcBorders>
              <w:top w:val="nil"/>
              <w:left w:val="nil"/>
              <w:bottom w:val="nil"/>
              <w:right w:val="nil"/>
            </w:tcBorders>
            <w:hideMark/>
          </w:tcPr>
          <w:p w14:paraId="165491E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w:t>
            </w:r>
          </w:p>
        </w:tc>
        <w:tc>
          <w:tcPr>
            <w:tcW w:w="2370" w:type="dxa"/>
            <w:tcBorders>
              <w:top w:val="nil"/>
              <w:left w:val="nil"/>
              <w:bottom w:val="nil"/>
              <w:right w:val="nil"/>
            </w:tcBorders>
            <w:hideMark/>
          </w:tcPr>
          <w:p w14:paraId="456E5FA7"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3601 </w:t>
            </w:r>
          </w:p>
        </w:tc>
      </w:tr>
    </w:tbl>
    <w:p w14:paraId="7561C141"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Roczna korzyść pracownika: około 3600 zł rocznie, co w ujęciu średniorocznym odpowiada 300 zł miesięcznie; faktyczna korzyść pojawi się przede wszystkim w miesiącach przekraczania progów. </w:t>
      </w:r>
    </w:p>
    <w:p w14:paraId="423FC2C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Przedstawiona średnia wartość nie oznacza, że każda miesięczna wypłata wzrośnie dokładnie o 300 zł. Wysokość zaliczek i moment wystąpienia korzyści będą zależeć od rozliczeń w poszczególnych miesiącach oraz indywidualnej sytuacji podatnika. Kwoty mają charakter ilustracyjny i nie zastępują naliczenia listy płac, na której mogą wystąpić dodatkowe zdarzenia (absencje chorobowe, świadczenia pozapłacowe, premie i prowizje, wynagrodzenie za nadgodziny, dodatki urlopowe, itd.). </w:t>
      </w:r>
    </w:p>
    <w:p w14:paraId="231F9F43" w14:textId="77777777" w:rsidR="003A0F6E" w:rsidRPr="00446240" w:rsidRDefault="003A0F6E" w:rsidP="003A0F6E">
      <w:pPr>
        <w:spacing w:line="276" w:lineRule="auto"/>
        <w:jc w:val="both"/>
        <w:rPr>
          <w:rFonts w:ascii="Aptos Display" w:hAnsi="Aptos Display"/>
        </w:rPr>
      </w:pPr>
      <w:r w:rsidRPr="00446240">
        <w:rPr>
          <w:rFonts w:ascii="Aptos Display" w:hAnsi="Aptos Display"/>
          <w:i/>
          <w:iCs/>
        </w:rPr>
        <w:lastRenderedPageBreak/>
        <w:t>Ważne z perspektywy pracodawcy: przy niezmienionym wynagrodzeniu brutto oraz</w:t>
      </w:r>
      <w:r w:rsidRPr="00446240">
        <w:rPr>
          <w:rFonts w:ascii="Aptos Display" w:hAnsi="Aptos Display"/>
        </w:rPr>
        <w:t xml:space="preserve"> </w:t>
      </w:r>
      <w:r w:rsidRPr="00446240">
        <w:rPr>
          <w:rFonts w:ascii="Aptos Display" w:hAnsi="Aptos Display"/>
          <w:i/>
          <w:iCs/>
        </w:rPr>
        <w:t>przy niezmienionych stopach składek finansowanych przez pracodawcę oraz wpłat na Fundusz Pracy, Fundusz Solidarnościowy i FGŚP wzrost wynagrodzenia netto wynikający wyłącznie z obniżenia PIT nie powoduje automatycznego wzrostu kosztu wynagrodzenia po stronie pracodawcy</w:t>
      </w:r>
      <w:r w:rsidRPr="00446240">
        <w:rPr>
          <w:rFonts w:ascii="Aptos Display" w:hAnsi="Aptos Display"/>
        </w:rPr>
        <w:t> </w:t>
      </w:r>
    </w:p>
    <w:p w14:paraId="0F2DA0D0" w14:textId="77777777" w:rsidR="003A0F6E" w:rsidRPr="00C76FAE" w:rsidRDefault="003A0F6E" w:rsidP="003A0F6E">
      <w:pPr>
        <w:spacing w:line="276" w:lineRule="auto"/>
        <w:jc w:val="both"/>
        <w:rPr>
          <w:rFonts w:ascii="Aptos Display" w:hAnsi="Aptos Display"/>
          <w:b/>
          <w:bCs/>
        </w:rPr>
      </w:pPr>
      <w:r w:rsidRPr="00C76FAE">
        <w:rPr>
          <w:rFonts w:ascii="Aptos Display" w:hAnsi="Aptos Display"/>
          <w:b/>
          <w:bCs/>
        </w:rPr>
        <w:t>Nowa skala PIT a budżety wynagrodzeń na 2027 rok </w:t>
      </w:r>
    </w:p>
    <w:p w14:paraId="647F0C60"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xml:space="preserve">Końcówka roku to dla wielu organizacji okres intensywnych prac nad budżetami wynagrodzeń, planami podwyżkowymi i rewizją polityki płacowej. Projektowana reforma PIT pojawia się więc w momencie szczególnie istotnym dla procesów </w:t>
      </w:r>
      <w:proofErr w:type="spellStart"/>
      <w:r w:rsidRPr="00446240">
        <w:rPr>
          <w:rFonts w:ascii="Aptos Display" w:hAnsi="Aptos Display"/>
        </w:rPr>
        <w:t>Compensation</w:t>
      </w:r>
      <w:proofErr w:type="spellEnd"/>
      <w:r w:rsidRPr="00446240">
        <w:rPr>
          <w:rFonts w:ascii="Aptos Display" w:hAnsi="Aptos Display"/>
        </w:rPr>
        <w:t xml:space="preserve"> &amp; </w:t>
      </w:r>
      <w:proofErr w:type="spellStart"/>
      <w:r w:rsidRPr="00446240">
        <w:rPr>
          <w:rFonts w:ascii="Aptos Display" w:hAnsi="Aptos Display"/>
        </w:rPr>
        <w:t>Benefits</w:t>
      </w:r>
      <w:proofErr w:type="spellEnd"/>
      <w:r w:rsidRPr="00446240">
        <w:rPr>
          <w:rFonts w:ascii="Aptos Display" w:hAnsi="Aptos Display"/>
        </w:rPr>
        <w:t>. </w:t>
      </w:r>
    </w:p>
    <w:p w14:paraId="790A9D48"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Przewidywany wzrost wynagrodzeń netto części lepiej zarabiających pracowników może stać się dodatkowym czynnikiem wpływającym na oczekiwania płacowe w 2027 r. Osoby, które odczują korzyści podatkowe bez zmiany wynagrodzenia brutto, mogą w mniejszym stopniu oczekiwać podwyżek służących wyłącznie utrzymaniu dotychczasowego poziomu tzw. dochodu rozporządzalnego. Dla pracodawców jest to potencjalna przestrzeń do bardziej efektywnego planowania środków na wynagrodzenia, zwłaszcza w grupach pracowników, których roczna podstawa opodatkowania przekracza 120 tys. zł, według zasad obowiązujących w 2026 roku.  </w:t>
      </w:r>
    </w:p>
    <w:p w14:paraId="2740CE4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Zwracamy jednak uwagę, że nie należy utożsamiać obniżenia podatku z podwyżką finansowaną przez pracodawcę. Korzyść podatkowa nie zmienia wynagrodzenia zasadniczego, nie zastępuje oceny efektywności pracy i nie eliminuje presji płacowej wynikającej z sytuacji rynkowej, inflacji czy konkurencji o kluczowe kompetencje. Warto zatem uwzględnić prognozowany wpływ reformy na wynagrodzenia netto w analizach budżetowych, ale nie traktować go jako automatycznego uzasadnienia ograniczenia podwyżek.  </w:t>
      </w:r>
    </w:p>
    <w:p w14:paraId="36B82B6A" w14:textId="4F0C2D49" w:rsidR="003A0F6E" w:rsidRPr="00446240" w:rsidRDefault="00C76FAE" w:rsidP="003A0F6E">
      <w:pPr>
        <w:spacing w:line="276" w:lineRule="auto"/>
        <w:jc w:val="both"/>
        <w:rPr>
          <w:rFonts w:ascii="Aptos Display" w:hAnsi="Aptos Display"/>
        </w:rPr>
      </w:pPr>
      <w:r w:rsidRPr="00C76FAE">
        <w:rPr>
          <w:rFonts w:ascii="Aptos Display" w:hAnsi="Aptos Display"/>
        </w:rPr>
        <w:t>-</w:t>
      </w:r>
      <w:r>
        <w:rPr>
          <w:rFonts w:ascii="Aptos Display" w:hAnsi="Aptos Display"/>
        </w:rPr>
        <w:t xml:space="preserve"> </w:t>
      </w:r>
      <w:r w:rsidR="003A0F6E" w:rsidRPr="00446240">
        <w:rPr>
          <w:rFonts w:ascii="Aptos Display" w:hAnsi="Aptos Display"/>
          <w:i/>
          <w:iCs/>
        </w:rPr>
        <w:t>Nie należy zakładać, że korzyści podatkowe automatycznie zastąpią podwyżki wynagrodzeń. Polityka płacowa organizacji powinna nadal uwzględniać sytuację rynkową, efektywność pracy, retencję kluczowych pracowników oraz wewnętrzną spójność systemu wynagrodzeń.</w:t>
      </w:r>
      <w:r w:rsidR="003A0F6E" w:rsidRPr="00446240">
        <w:rPr>
          <w:rFonts w:ascii="Aptos Display" w:hAnsi="Aptos Display"/>
        </w:rPr>
        <w:t> </w:t>
      </w:r>
    </w:p>
    <w:p w14:paraId="526658A6" w14:textId="77777777" w:rsidR="003A0F6E" w:rsidRPr="00446240" w:rsidRDefault="003A0F6E" w:rsidP="003A0F6E">
      <w:pPr>
        <w:spacing w:line="276" w:lineRule="auto"/>
        <w:jc w:val="both"/>
        <w:rPr>
          <w:rFonts w:ascii="Aptos Display" w:hAnsi="Aptos Display"/>
        </w:rPr>
      </w:pPr>
      <w:r w:rsidRPr="00446240">
        <w:rPr>
          <w:rFonts w:ascii="Aptos Display" w:hAnsi="Aptos Display"/>
          <w:i/>
          <w:iCs/>
        </w:rPr>
        <w:t>Z perspektywy pracowników najwyżej zarabiających korzyść wynikająca ze zmiany skali podatkowej może być relatywnie niewielka w stosunku do osiąganych dochodów. W konsekwencji jej wpływ na decyzje dotyczące pozostania w organizacji czy oczekiwania płacowe może być ograniczony. Dodatkowo część osób z tej grupy wykonuje pracę w ramach innych form współpracy niż umowa o pracę, co oznacza, że nie wszyscy będą beneficjentami proponowanych rozwiązań.</w:t>
      </w:r>
      <w:r w:rsidRPr="00446240">
        <w:rPr>
          <w:rFonts w:ascii="Aptos Display" w:hAnsi="Aptos Display"/>
        </w:rPr>
        <w:t> </w:t>
      </w:r>
    </w:p>
    <w:p w14:paraId="3B63BBA9" w14:textId="6A5E3D87" w:rsidR="003A0F6E" w:rsidRPr="00C76FAE" w:rsidRDefault="003A0F6E" w:rsidP="003A0F6E">
      <w:pPr>
        <w:spacing w:line="276" w:lineRule="auto"/>
        <w:jc w:val="both"/>
        <w:rPr>
          <w:rFonts w:ascii="Aptos Display" w:hAnsi="Aptos Display"/>
        </w:rPr>
      </w:pPr>
      <w:r w:rsidRPr="00446240">
        <w:rPr>
          <w:rFonts w:ascii="Aptos Display" w:hAnsi="Aptos Display"/>
          <w:i/>
          <w:iCs/>
        </w:rPr>
        <w:t>Zmiany podatkowe warto uwzględnić przy planowaniu budżetów wynagrodzeń na 2027 r., ponieważ mogą wpływać na poziom wynagrodzenia netto części pracowników bez wzrostu kosztów po stronie pracodawcy. Jednak ich rzeczywisty wpływ na oczekiwania płacowe i budżety podwyżkowe będzie znacząco zależeć od struktury zatrudnienia oraz poziomu wynagrodzeń w danej organizacji i powinien być analizowany indywidualnie</w:t>
      </w:r>
      <w:r w:rsidR="00C76FAE">
        <w:rPr>
          <w:rFonts w:ascii="Aptos Display" w:hAnsi="Aptos Display"/>
          <w:i/>
          <w:iCs/>
        </w:rPr>
        <w:t xml:space="preserve"> </w:t>
      </w:r>
      <w:r w:rsidR="00C76FAE">
        <w:rPr>
          <w:rFonts w:ascii="Aptos Display" w:hAnsi="Aptos Display"/>
        </w:rPr>
        <w:t xml:space="preserve">– wyjaśnia </w:t>
      </w:r>
      <w:r w:rsidR="00C76FAE" w:rsidRPr="00C76FAE">
        <w:rPr>
          <w:rFonts w:ascii="Aptos Display" w:hAnsi="Aptos Display"/>
        </w:rPr>
        <w:t xml:space="preserve">dr Irmina Gocan, Dyrektor Consultingu ds. </w:t>
      </w:r>
      <w:r w:rsidR="00C76FAE" w:rsidRPr="00446240">
        <w:rPr>
          <w:rFonts w:ascii="Aptos Display" w:hAnsi="Aptos Display"/>
        </w:rPr>
        <w:t>Zarządzania Wynagrodzeniami i Analityki</w:t>
      </w:r>
      <w:r w:rsidR="00C76FAE">
        <w:rPr>
          <w:rFonts w:ascii="Aptos Display" w:hAnsi="Aptos Display"/>
        </w:rPr>
        <w:t xml:space="preserve">, </w:t>
      </w:r>
      <w:r w:rsidR="00C76FAE" w:rsidRPr="00446240">
        <w:rPr>
          <w:rFonts w:ascii="Aptos Display" w:hAnsi="Aptos Display"/>
          <w:lang w:val="en-US"/>
        </w:rPr>
        <w:t>HRK Payroll Consulting</w:t>
      </w:r>
    </w:p>
    <w:p w14:paraId="7C2316AF" w14:textId="77777777" w:rsidR="003A0F6E" w:rsidRPr="00C76FAE" w:rsidRDefault="003A0F6E" w:rsidP="003A0F6E">
      <w:pPr>
        <w:spacing w:line="276" w:lineRule="auto"/>
        <w:jc w:val="both"/>
        <w:rPr>
          <w:rFonts w:ascii="Aptos Display" w:hAnsi="Aptos Display"/>
          <w:b/>
          <w:bCs/>
        </w:rPr>
      </w:pPr>
      <w:r w:rsidRPr="00C76FAE">
        <w:rPr>
          <w:rFonts w:ascii="Aptos Display" w:hAnsi="Aptos Display"/>
          <w:b/>
          <w:bCs/>
        </w:rPr>
        <w:t>Ryzyko pracodawcy – presja wdrożeniowa, błędy w naliczeniach i oczekiwania płacowe </w:t>
      </w:r>
    </w:p>
    <w:p w14:paraId="692A450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Największym wyzwaniem dla pracodawców jest połączenie krótkiego terminu wdrożenia, niepewności legislacyjnej i konieczności równoległego przygotowania budżetów wynagrodzeń na kolejny rok. </w:t>
      </w:r>
    </w:p>
    <w:p w14:paraId="15A7681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Zmiana skali podatkowej wymaga dostosowania algorytmów obliczania zaliczek PIT, ale również ich przetestowania w różnych scenariuszach naliczania wynagrodzeń. </w:t>
      </w:r>
    </w:p>
    <w:p w14:paraId="525079C4"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lastRenderedPageBreak/>
        <w:t>Testy nie mogą ograniczać się do styczniowej listy płac. Systemy powinny być przygotowane do obsługi całego roku podatkowego, w tym przekraczania kolejnych progów, wypłat premii i nagród, korekt wynagrodzeń, absencji chorobowych, indywidualnych oświadczeń podatkowych i innych zdarzeń wpływających na naliczenia. </w:t>
      </w:r>
    </w:p>
    <w:p w14:paraId="745C3E60"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Z perspektywy zarządzania ryzykiem kadrowo-płacowym istotne są trzy obszary: </w:t>
      </w:r>
    </w:p>
    <w:p w14:paraId="11D1D17A" w14:textId="77777777" w:rsidR="003A0F6E" w:rsidRPr="00446240" w:rsidRDefault="003A0F6E" w:rsidP="003A0F6E">
      <w:pPr>
        <w:numPr>
          <w:ilvl w:val="0"/>
          <w:numId w:val="15"/>
        </w:numPr>
        <w:spacing w:line="276" w:lineRule="auto"/>
        <w:jc w:val="both"/>
        <w:rPr>
          <w:rFonts w:ascii="Aptos Display" w:hAnsi="Aptos Display"/>
        </w:rPr>
      </w:pPr>
      <w:r w:rsidRPr="00446240">
        <w:rPr>
          <w:rFonts w:ascii="Aptos Display" w:hAnsi="Aptos Display"/>
        </w:rPr>
        <w:t>Zgodność podatkowa i operacyjna – ryzyko nieprawidłowego poboru zaliczek, odpowiedzialności karno-skarbowej, konieczności korekt i dodatkowych kosztów obsługi kadrowo-płacowej. </w:t>
      </w:r>
    </w:p>
    <w:p w14:paraId="395DFEAD" w14:textId="77777777" w:rsidR="003A0F6E" w:rsidRPr="00446240" w:rsidRDefault="003A0F6E" w:rsidP="003A0F6E">
      <w:pPr>
        <w:numPr>
          <w:ilvl w:val="0"/>
          <w:numId w:val="16"/>
        </w:numPr>
        <w:spacing w:line="276" w:lineRule="auto"/>
        <w:jc w:val="both"/>
        <w:rPr>
          <w:rFonts w:ascii="Aptos Display" w:hAnsi="Aptos Display"/>
        </w:rPr>
      </w:pPr>
      <w:r w:rsidRPr="00446240">
        <w:rPr>
          <w:rFonts w:ascii="Aptos Display" w:hAnsi="Aptos Display"/>
        </w:rPr>
        <w:t>Planowanie budżetów wynagrodzeń – ryzyko błędnego oszacowania wpływu reformy na oczekiwania pracowników, szczególnie w grupach o wysokich wynagrodzeniach. </w:t>
      </w:r>
    </w:p>
    <w:p w14:paraId="66000604" w14:textId="77777777" w:rsidR="003A0F6E" w:rsidRPr="00446240" w:rsidRDefault="003A0F6E" w:rsidP="003A0F6E">
      <w:pPr>
        <w:numPr>
          <w:ilvl w:val="0"/>
          <w:numId w:val="17"/>
        </w:numPr>
        <w:spacing w:line="276" w:lineRule="auto"/>
        <w:jc w:val="both"/>
        <w:rPr>
          <w:rFonts w:ascii="Aptos Display" w:hAnsi="Aptos Display"/>
        </w:rPr>
      </w:pPr>
      <w:r w:rsidRPr="00446240">
        <w:rPr>
          <w:rFonts w:ascii="Aptos Display" w:hAnsi="Aptos Display"/>
        </w:rPr>
        <w:t>Komunikacja i relacje pracownicze – ryzyko rozczarowania pracowników, którzy na podstawie publicznych zapowiedzi spodziewają się wyższych korzyści, niż rzeczywiście uzyskają. </w:t>
      </w:r>
    </w:p>
    <w:p w14:paraId="0611A2CC" w14:textId="4F69C6E0" w:rsidR="003A0F6E" w:rsidRPr="00446240" w:rsidRDefault="003A0F6E" w:rsidP="003A0F6E">
      <w:pPr>
        <w:spacing w:line="276" w:lineRule="auto"/>
        <w:jc w:val="both"/>
        <w:rPr>
          <w:rFonts w:ascii="Aptos Display" w:hAnsi="Aptos Display"/>
        </w:rPr>
      </w:pPr>
      <w:r w:rsidRPr="00446240">
        <w:rPr>
          <w:rFonts w:ascii="Aptos Display" w:hAnsi="Aptos Display"/>
        </w:rPr>
        <w:t xml:space="preserve">Odpowiednie przygotowanie powinno obejmować współpracę działów HR, </w:t>
      </w:r>
      <w:proofErr w:type="spellStart"/>
      <w:r w:rsidRPr="00446240">
        <w:rPr>
          <w:rFonts w:ascii="Aptos Display" w:hAnsi="Aptos Display"/>
        </w:rPr>
        <w:t>payroll</w:t>
      </w:r>
      <w:proofErr w:type="spellEnd"/>
      <w:r w:rsidRPr="00446240">
        <w:rPr>
          <w:rFonts w:ascii="Aptos Display" w:hAnsi="Aptos Display"/>
        </w:rPr>
        <w:t xml:space="preserve">, </w:t>
      </w:r>
      <w:proofErr w:type="spellStart"/>
      <w:r w:rsidRPr="00446240">
        <w:rPr>
          <w:rFonts w:ascii="Aptos Display" w:hAnsi="Aptos Display"/>
        </w:rPr>
        <w:t>compensation</w:t>
      </w:r>
      <w:proofErr w:type="spellEnd"/>
      <w:r w:rsidRPr="00446240">
        <w:rPr>
          <w:rFonts w:ascii="Aptos Display" w:hAnsi="Aptos Display"/>
        </w:rPr>
        <w:t xml:space="preserve"> &amp; </w:t>
      </w:r>
      <w:proofErr w:type="spellStart"/>
      <w:r w:rsidRPr="00446240">
        <w:rPr>
          <w:rFonts w:ascii="Aptos Display" w:hAnsi="Aptos Display"/>
        </w:rPr>
        <w:t>benefits</w:t>
      </w:r>
      <w:proofErr w:type="spellEnd"/>
      <w:r w:rsidRPr="00446240">
        <w:rPr>
          <w:rFonts w:ascii="Aptos Display" w:hAnsi="Aptos Display"/>
        </w:rPr>
        <w:t>, finansów oraz dostawców systemów kadrowo-płacowych. </w:t>
      </w:r>
    </w:p>
    <w:p w14:paraId="6D9F18FD" w14:textId="0922AF43" w:rsidR="003A0F6E" w:rsidRPr="00446240" w:rsidRDefault="00C76FAE" w:rsidP="003A0F6E">
      <w:pPr>
        <w:spacing w:line="276" w:lineRule="auto"/>
        <w:jc w:val="both"/>
        <w:rPr>
          <w:rFonts w:ascii="Aptos Display" w:hAnsi="Aptos Display"/>
        </w:rPr>
      </w:pPr>
      <w:r>
        <w:rPr>
          <w:rFonts w:ascii="Aptos Display" w:hAnsi="Aptos Display"/>
          <w:i/>
          <w:iCs/>
        </w:rPr>
        <w:t xml:space="preserve">- </w:t>
      </w:r>
      <w:r w:rsidR="003A0F6E" w:rsidRPr="00446240">
        <w:rPr>
          <w:rFonts w:ascii="Aptos Display" w:hAnsi="Aptos Display"/>
          <w:i/>
          <w:iCs/>
        </w:rPr>
        <w:t>Po raz kolejny zmiany podatkowe komunikowane w dynamicznym otoczeniu politycznym oznaczają dla pracodawców i dostawców usług kadrowo-płacowych konieczność przeprowadzenia złożonego wdrożenia w bardzo krótkim czasie. W debacie publicznej dominują informacje o korzyściach dla podatników, podczas gdy znacznie mniej uwagi poświęca się kosztom i wyzwaniom organizacyjnym związanym z przygotowaniem firm do nowych przepisów w tak krótkim czasie.</w:t>
      </w:r>
      <w:r w:rsidR="003A0F6E" w:rsidRPr="00446240">
        <w:rPr>
          <w:rFonts w:ascii="Aptos Display" w:hAnsi="Aptos Display"/>
        </w:rPr>
        <w:t> </w:t>
      </w:r>
    </w:p>
    <w:p w14:paraId="0B8E9A8C" w14:textId="77777777" w:rsidR="003A0F6E" w:rsidRPr="00446240" w:rsidRDefault="003A0F6E" w:rsidP="003A0F6E">
      <w:pPr>
        <w:spacing w:line="276" w:lineRule="auto"/>
        <w:jc w:val="both"/>
        <w:rPr>
          <w:rFonts w:ascii="Aptos Display" w:hAnsi="Aptos Display"/>
        </w:rPr>
      </w:pPr>
      <w:r w:rsidRPr="00446240">
        <w:rPr>
          <w:rFonts w:ascii="Aptos Display" w:hAnsi="Aptos Display"/>
          <w:i/>
          <w:iCs/>
        </w:rPr>
        <w:t>Ciężar operacyjny reformy spoczywa przede wszystkim na pracodawcach, dostawcach oprogramowania oraz firmach świadczących usługi kadrowo-płacowe. Zmiana wymaga nie tylko przeprogramowania algorytmów podatkowych, ale także kompleksowych testów obejmujących cały rok podatkowy. Potencjalne błędy w rozliczeniach mogą bowiem ujawnić się dopiero w miesiącach przekroczenia progów podatkowych lub w rozliczeniu rocznym za 2027.</w:t>
      </w:r>
      <w:r w:rsidRPr="00446240">
        <w:rPr>
          <w:rFonts w:ascii="Aptos Display" w:hAnsi="Aptos Display"/>
        </w:rPr>
        <w:t> </w:t>
      </w:r>
    </w:p>
    <w:p w14:paraId="78CBB16A" w14:textId="77777777" w:rsidR="003A0F6E" w:rsidRPr="00446240" w:rsidRDefault="003A0F6E" w:rsidP="003A0F6E">
      <w:pPr>
        <w:spacing w:line="276" w:lineRule="auto"/>
        <w:jc w:val="both"/>
        <w:rPr>
          <w:rFonts w:ascii="Aptos Display" w:hAnsi="Aptos Display"/>
        </w:rPr>
      </w:pPr>
      <w:r w:rsidRPr="00446240">
        <w:rPr>
          <w:rFonts w:ascii="Aptos Display" w:hAnsi="Aptos Display"/>
          <w:i/>
          <w:iCs/>
        </w:rPr>
        <w:t>Już teraz rekomendujemy pracodawcom przygotowanie symulacji wynagrodzeń netto w poszczególnych grupach płacowych oraz równoległe opracowanie scenariuszy wdrożeniowych dla systemów kadrowo-płacowych. Warto również zadbać o komunikację z pracownikami, wyjaśniając pracownikom, kogo dotyczy obniżenie podatku i jakiej skali oszczędności można się spodziewać.</w:t>
      </w:r>
      <w:r w:rsidRPr="00446240">
        <w:rPr>
          <w:rFonts w:ascii="Aptos Display" w:hAnsi="Aptos Display"/>
        </w:rPr>
        <w:t> </w:t>
      </w:r>
    </w:p>
    <w:p w14:paraId="3962376E" w14:textId="28A7FBDE" w:rsidR="003A0F6E" w:rsidRPr="00446240" w:rsidRDefault="003A0F6E" w:rsidP="003A0F6E">
      <w:pPr>
        <w:spacing w:line="276" w:lineRule="auto"/>
        <w:jc w:val="both"/>
        <w:rPr>
          <w:rFonts w:ascii="Aptos Display" w:hAnsi="Aptos Display"/>
        </w:rPr>
      </w:pPr>
      <w:r w:rsidRPr="00446240">
        <w:rPr>
          <w:rFonts w:ascii="Aptos Display" w:hAnsi="Aptos Display"/>
          <w:i/>
          <w:iCs/>
        </w:rPr>
        <w:t>Należy również uwzględnić ryzyko rozbieżności pomiędzy oczekiwaniami podatników a rzeczywistymi efektami reformy. Publiczna debata wokół zmian podatkowych buduje często oczekiwanie odczuwalnego i powszechnego wzrostu wynagrodzeń netto. Jeżeli jednak ostateczny kształt przepisów będzie opierał się na relatywnie ograniczonym podwyższeniu progów podatkowych, część podatników może uznać skalę korzyści za niewspółmierną do wcześniejszych zapowiedzi. Taka sytuacja może prowadzić do niezadowolenia podatników oraz negatywnej oceny reformy, mimo że formalnie oznacza ona zmniejszenie obciążeń podatkowych dla części osób osiągających dochody z pracy</w:t>
      </w:r>
      <w:r w:rsidR="00C76FAE">
        <w:rPr>
          <w:rFonts w:ascii="Aptos Display" w:hAnsi="Aptos Display"/>
          <w:i/>
          <w:iCs/>
        </w:rPr>
        <w:t xml:space="preserve"> </w:t>
      </w:r>
      <w:r w:rsidR="00C76FAE">
        <w:rPr>
          <w:rFonts w:ascii="Aptos Display" w:hAnsi="Aptos Display"/>
        </w:rPr>
        <w:t xml:space="preserve">– mówi </w:t>
      </w:r>
      <w:r w:rsidR="00C76FAE" w:rsidRPr="00446240">
        <w:rPr>
          <w:rFonts w:ascii="Aptos Display" w:hAnsi="Aptos Display"/>
        </w:rPr>
        <w:t>Edyta Bar, Dyrektor Obszaru Usług Kadrowych i Płacowych</w:t>
      </w:r>
      <w:r w:rsidR="00CF4CCF">
        <w:rPr>
          <w:rFonts w:ascii="Aptos Display" w:hAnsi="Aptos Display"/>
        </w:rPr>
        <w:t>,</w:t>
      </w:r>
      <w:r w:rsidR="00C76FAE">
        <w:rPr>
          <w:rFonts w:ascii="Aptos Display" w:hAnsi="Aptos Display"/>
          <w:i/>
          <w:iCs/>
        </w:rPr>
        <w:t xml:space="preserve"> </w:t>
      </w:r>
      <w:r w:rsidR="00C76FAE" w:rsidRPr="00446240">
        <w:rPr>
          <w:rFonts w:ascii="Aptos Display" w:hAnsi="Aptos Display"/>
        </w:rPr>
        <w:t xml:space="preserve">HRK </w:t>
      </w:r>
      <w:proofErr w:type="spellStart"/>
      <w:r w:rsidR="00C76FAE" w:rsidRPr="00446240">
        <w:rPr>
          <w:rFonts w:ascii="Aptos Display" w:hAnsi="Aptos Display"/>
        </w:rPr>
        <w:t>Payroll</w:t>
      </w:r>
      <w:proofErr w:type="spellEnd"/>
      <w:r w:rsidR="00C76FAE" w:rsidRPr="00446240">
        <w:rPr>
          <w:rFonts w:ascii="Aptos Display" w:hAnsi="Aptos Display"/>
        </w:rPr>
        <w:t xml:space="preserve"> Consulting</w:t>
      </w:r>
      <w:r w:rsidR="00CF4CCF">
        <w:rPr>
          <w:rFonts w:ascii="Aptos Display" w:hAnsi="Aptos Display"/>
        </w:rPr>
        <w:t>.</w:t>
      </w:r>
    </w:p>
    <w:p w14:paraId="07F53D9F" w14:textId="77777777" w:rsidR="003A0F6E" w:rsidRPr="00446240" w:rsidRDefault="003A0F6E" w:rsidP="003A0F6E">
      <w:pPr>
        <w:spacing w:line="276" w:lineRule="auto"/>
        <w:jc w:val="both"/>
        <w:rPr>
          <w:rFonts w:ascii="Aptos Display" w:hAnsi="Aptos Display"/>
        </w:rPr>
      </w:pPr>
      <w:r w:rsidRPr="00446240">
        <w:rPr>
          <w:rFonts w:ascii="Aptos Display" w:hAnsi="Aptos Display"/>
          <w:i/>
          <w:iCs/>
        </w:rPr>
        <w:t>Dopóki nowe przepisy nie zostaną ogłoszone w Dzienniku Ustaw, przygotowania powinny mieć charakter analityczny i testowy. Ostateczne wdrożenie musi opierać się na obowiązującym brzmieniu ustawy. To podstawowy warunek ograniczenia ryzyka podatkowego, kosztów korekt i niepotrzebnych napięć w relacjach z pracownikami.</w:t>
      </w:r>
      <w:r w:rsidRPr="00446240">
        <w:rPr>
          <w:rFonts w:ascii="Aptos Display" w:hAnsi="Aptos Display"/>
        </w:rPr>
        <w:t> </w:t>
      </w:r>
    </w:p>
    <w:p w14:paraId="6649BB40" w14:textId="77777777" w:rsidR="003A0F6E" w:rsidRPr="00CF4CCF" w:rsidRDefault="003A0F6E" w:rsidP="003A0F6E">
      <w:pPr>
        <w:spacing w:line="276" w:lineRule="auto"/>
        <w:jc w:val="both"/>
        <w:rPr>
          <w:rFonts w:ascii="Aptos Display" w:hAnsi="Aptos Display"/>
          <w:b/>
          <w:bCs/>
        </w:rPr>
      </w:pPr>
      <w:r w:rsidRPr="00CF4CCF">
        <w:rPr>
          <w:rFonts w:ascii="Aptos Display" w:hAnsi="Aptos Display"/>
          <w:b/>
          <w:bCs/>
        </w:rPr>
        <w:lastRenderedPageBreak/>
        <w:t>Sejm uchwalił ustawę, ale nowe przepisy jeszcze nie obowiązują </w:t>
      </w:r>
    </w:p>
    <w:p w14:paraId="35A172D2"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Projekt reformy skali podatkowej, procedowany jako druk sejmowy nr 3147, został uchwalony przez Sejm i przekazany do Senatu. Na dzień 26 października 2026 r. ustawa znajduje się na etapie prac senackich. Jej wejście w życie wymaga zakończenia procesu legislacyjnego. </w:t>
      </w:r>
    </w:p>
    <w:p w14:paraId="0DBEC3B3"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Kolejne etapy obejmują rozpatrzenie ustawy przez Senat, ewentualne ponowne głosowanie w Sejmie nad poprawkami Senatu, a następnie przekazanie ustawy do Prezydenta RP. Prezydent może ustawę podpisać, skierować do Trybunału Konstytucyjnego albo skorzystać z prawa weta. </w:t>
      </w:r>
    </w:p>
    <w:p w14:paraId="6A666299"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Po podpisaniu ustawa musi zostać ogłoszona w Dzienniku Ustaw. Dopiero po jej ogłoszeniu i nadejściu daty wejścia w życie nowe zasady będą mogły zostać zastosowane w rozliczeniach. </w:t>
      </w:r>
    </w:p>
    <w:p w14:paraId="74E166BD"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Planowany termin wejścia w życie reformy to 1 stycznia 2027 r. </w:t>
      </w:r>
    </w:p>
    <w:p w14:paraId="062F54BA"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 xml:space="preserve">Planowany termin obowiązywania nowych zasad to 1 stycznia 2027 r., ale do czasu zakończenia procesu legislacyjnego pracodawcy powinni traktować je jako przygotowywaną, a </w:t>
      </w:r>
      <w:proofErr w:type="gramStart"/>
      <w:r w:rsidRPr="00446240">
        <w:rPr>
          <w:rFonts w:ascii="Aptos Display" w:hAnsi="Aptos Display"/>
        </w:rPr>
        <w:t>nie obowiązującą</w:t>
      </w:r>
      <w:proofErr w:type="gramEnd"/>
      <w:r w:rsidRPr="00446240">
        <w:rPr>
          <w:rFonts w:ascii="Aptos Display" w:hAnsi="Aptos Display"/>
        </w:rPr>
        <w:t xml:space="preserve"> zmianę. </w:t>
      </w:r>
    </w:p>
    <w:p w14:paraId="60D224FB" w14:textId="77777777" w:rsidR="003A0F6E" w:rsidRPr="00446240" w:rsidRDefault="003A0F6E" w:rsidP="003A0F6E">
      <w:pPr>
        <w:spacing w:line="276" w:lineRule="auto"/>
        <w:jc w:val="both"/>
        <w:rPr>
          <w:rFonts w:ascii="Aptos Display" w:hAnsi="Aptos Display"/>
        </w:rPr>
      </w:pPr>
      <w:r w:rsidRPr="00446240">
        <w:rPr>
          <w:rFonts w:ascii="Aptos Display" w:hAnsi="Aptos Display"/>
        </w:rPr>
        <w:t>Co szczególnie istotne, rozliczenie roczne PIT za 2026 r., składane w 2027 r., będzie odbywać się według dotychczasowej skali podatkowej – 12% do 120 tys. zł oraz 32% od nadwyżki ponad tę kwotę. </w:t>
      </w:r>
    </w:p>
    <w:p w14:paraId="02E970F7" w14:textId="176D5B9C" w:rsidR="003A0F6E" w:rsidRPr="00446240" w:rsidRDefault="003A0F6E" w:rsidP="003A0F6E">
      <w:pPr>
        <w:spacing w:line="276" w:lineRule="auto"/>
        <w:jc w:val="both"/>
        <w:rPr>
          <w:rFonts w:ascii="Aptos Display" w:hAnsi="Aptos Display"/>
        </w:rPr>
      </w:pPr>
      <w:r w:rsidRPr="00446240">
        <w:rPr>
          <w:rFonts w:ascii="Aptos Display" w:hAnsi="Aptos Display"/>
        </w:rPr>
        <w:t>Nowa skala, jeśli zostanie ostatecznie przyjęta w obecnym kształcie, będzie miała zastosowanie do dochodów uzyskanych od 1 stycznia 2027 r. Pierwsze rozliczenia roczne z jej wykorzystaniem podatnicy złożą zatem w 2028 r. za rok podatkowy 2027. </w:t>
      </w:r>
    </w:p>
    <w:p w14:paraId="509F54A0" w14:textId="77777777" w:rsidR="003A0F6E" w:rsidRPr="00446240" w:rsidRDefault="003A0F6E" w:rsidP="003A0F6E">
      <w:pPr>
        <w:spacing w:line="276" w:lineRule="auto"/>
        <w:jc w:val="both"/>
        <w:rPr>
          <w:rFonts w:ascii="Aptos Display" w:hAnsi="Aptos Display"/>
          <w:sz w:val="18"/>
          <w:szCs w:val="18"/>
        </w:rPr>
      </w:pPr>
      <w:r w:rsidRPr="00446240">
        <w:rPr>
          <w:rFonts w:ascii="Aptos Display" w:hAnsi="Aptos Display"/>
          <w:sz w:val="18"/>
          <w:szCs w:val="18"/>
        </w:rPr>
        <w:t>Podstawy prawne </w:t>
      </w:r>
    </w:p>
    <w:p w14:paraId="0B7E4E01" w14:textId="77777777" w:rsidR="003A0F6E" w:rsidRPr="00446240" w:rsidRDefault="003A0F6E" w:rsidP="003A0F6E">
      <w:pPr>
        <w:numPr>
          <w:ilvl w:val="0"/>
          <w:numId w:val="18"/>
        </w:numPr>
        <w:spacing w:line="276" w:lineRule="auto"/>
        <w:jc w:val="both"/>
        <w:rPr>
          <w:rFonts w:ascii="Aptos Display" w:hAnsi="Aptos Display"/>
          <w:sz w:val="18"/>
          <w:szCs w:val="18"/>
        </w:rPr>
      </w:pPr>
      <w:r w:rsidRPr="00446240">
        <w:rPr>
          <w:rFonts w:ascii="Aptos Display" w:hAnsi="Aptos Display"/>
          <w:sz w:val="18"/>
          <w:szCs w:val="18"/>
        </w:rPr>
        <w:t>Ustawa z 26 lipca 1991 r. o podatku dochodowym od osób fizycznych (tekst jedn. Dz.U. z 2026 r. poz. 592 ze zm.), w szczególności art. 27, art. 31a, art. 32 i art. 45. </w:t>
      </w:r>
    </w:p>
    <w:p w14:paraId="0783389C" w14:textId="77777777" w:rsidR="003A0F6E" w:rsidRPr="00446240" w:rsidRDefault="003A0F6E" w:rsidP="003A0F6E">
      <w:pPr>
        <w:numPr>
          <w:ilvl w:val="0"/>
          <w:numId w:val="19"/>
        </w:numPr>
        <w:spacing w:line="276" w:lineRule="auto"/>
        <w:jc w:val="both"/>
        <w:rPr>
          <w:rFonts w:ascii="Aptos Display" w:hAnsi="Aptos Display"/>
          <w:sz w:val="18"/>
          <w:szCs w:val="18"/>
        </w:rPr>
      </w:pPr>
      <w:r w:rsidRPr="00446240">
        <w:rPr>
          <w:rFonts w:ascii="Aptos Display" w:hAnsi="Aptos Display"/>
          <w:sz w:val="18"/>
          <w:szCs w:val="18"/>
        </w:rPr>
        <w:t>Ustawa uchwalona przez Sejm 22 października 2026 r. dotycząca zmian w podatku dochodowym od osób fizycznych oraz zryczałtowanym podatku dochodowym – druk sejmowy nr 3147, druk senacki nr 883 (akt na etapie legislacyjnym). </w:t>
      </w:r>
    </w:p>
    <w:p w14:paraId="501F6DA5" w14:textId="77777777" w:rsidR="003A0F6E" w:rsidRPr="00446240" w:rsidRDefault="003A0F6E" w:rsidP="003A0F6E">
      <w:pPr>
        <w:spacing w:line="276" w:lineRule="auto"/>
        <w:jc w:val="both"/>
        <w:rPr>
          <w:rFonts w:ascii="Aptos Display" w:hAnsi="Aptos Display"/>
          <w:sz w:val="18"/>
          <w:szCs w:val="18"/>
        </w:rPr>
      </w:pPr>
      <w:r w:rsidRPr="00446240">
        <w:rPr>
          <w:rFonts w:ascii="Aptos Display" w:hAnsi="Aptos Display"/>
          <w:sz w:val="18"/>
          <w:szCs w:val="18"/>
        </w:rPr>
        <w:t>Źródła informacji: Ministerstwo Finansów – komunikaty dotyczące reformy skali PIT i jej szacowanych skutków dla podatników; Sejm RP – przebieg procesu legislacyjnego druku nr 3147; Senat RP – druk nr 883; portal podatki.gov.pl – zasady opodatkowania dochodów pracowniczych. </w:t>
      </w:r>
    </w:p>
    <w:p w14:paraId="31DD3713" w14:textId="098C71EC" w:rsidR="00001D34" w:rsidRPr="00446240" w:rsidRDefault="00001D34" w:rsidP="31F137E3">
      <w:pPr>
        <w:spacing w:line="276" w:lineRule="auto"/>
        <w:jc w:val="center"/>
        <w:rPr>
          <w:rFonts w:ascii="Aptos Display" w:hAnsi="Aptos Display"/>
          <w:b/>
          <w:bCs/>
        </w:rPr>
      </w:pPr>
      <w:r w:rsidRPr="00446240">
        <w:rPr>
          <w:rFonts w:ascii="Aptos Display" w:hAnsi="Aptos Display"/>
        </w:rPr>
        <w:t>###</w:t>
      </w:r>
    </w:p>
    <w:p w14:paraId="72F4324D" w14:textId="2E67429E" w:rsidR="00001D34" w:rsidRPr="00446240" w:rsidRDefault="00001D34" w:rsidP="31F137E3">
      <w:pPr>
        <w:spacing w:line="276" w:lineRule="auto"/>
        <w:rPr>
          <w:rFonts w:ascii="Aptos Display" w:hAnsi="Aptos Display"/>
          <w:b/>
          <w:bCs/>
          <w:u w:val="single"/>
        </w:rPr>
      </w:pPr>
      <w:r w:rsidRPr="00446240">
        <w:rPr>
          <w:rFonts w:ascii="Aptos Display" w:hAnsi="Aptos Display"/>
          <w:b/>
          <w:bCs/>
          <w:u w:val="single"/>
        </w:rPr>
        <w:t>Kontakt</w:t>
      </w:r>
    </w:p>
    <w:tbl>
      <w:tblPr>
        <w:tblW w:w="3720" w:type="dxa"/>
        <w:tblCellMar>
          <w:left w:w="0" w:type="dxa"/>
          <w:right w:w="0" w:type="dxa"/>
        </w:tblCellMar>
        <w:tblLook w:val="04A0" w:firstRow="1" w:lastRow="0" w:firstColumn="1" w:lastColumn="0" w:noHBand="0" w:noVBand="1"/>
      </w:tblPr>
      <w:tblGrid>
        <w:gridCol w:w="3720"/>
      </w:tblGrid>
      <w:tr w:rsidR="00001D34" w:rsidRPr="00446240" w14:paraId="6F52DD33" w14:textId="77777777" w:rsidTr="746319AE">
        <w:trPr>
          <w:trHeight w:val="300"/>
        </w:trPr>
        <w:tc>
          <w:tcPr>
            <w:tcW w:w="3720" w:type="dxa"/>
            <w:vAlign w:val="center"/>
            <w:hideMark/>
          </w:tcPr>
          <w:p w14:paraId="1D3AAEDC" w14:textId="6D292FD7" w:rsidR="00001D34" w:rsidRPr="00446240" w:rsidRDefault="00001D34" w:rsidP="00001D34">
            <w:pPr>
              <w:spacing w:line="276" w:lineRule="auto"/>
              <w:rPr>
                <w:rFonts w:ascii="Aptos Display" w:hAnsi="Aptos Display"/>
                <w:lang w:val="en-US"/>
              </w:rPr>
            </w:pPr>
            <w:r w:rsidRPr="00446240">
              <w:rPr>
                <w:rFonts w:ascii="Aptos Display" w:hAnsi="Aptos Display"/>
                <w:lang w:val="en-US"/>
              </w:rPr>
              <w:t>Paula Kowalcze</w:t>
            </w:r>
            <w:r w:rsidRPr="00446240">
              <w:rPr>
                <w:lang w:val="en-US"/>
              </w:rPr>
              <w:br/>
            </w:r>
            <w:r w:rsidRPr="00446240">
              <w:rPr>
                <w:rFonts w:ascii="Aptos Display" w:hAnsi="Aptos Display"/>
                <w:lang w:val="en-US"/>
              </w:rPr>
              <w:t>Media Relations &amp; Content</w:t>
            </w:r>
            <w:r w:rsidR="61B279DB" w:rsidRPr="00446240">
              <w:rPr>
                <w:rFonts w:ascii="Aptos Display" w:hAnsi="Aptos Display"/>
                <w:lang w:val="en-US"/>
              </w:rPr>
              <w:t xml:space="preserve"> </w:t>
            </w:r>
            <w:r w:rsidRPr="00446240">
              <w:rPr>
                <w:rFonts w:ascii="Aptos Display" w:hAnsi="Aptos Display"/>
                <w:lang w:val="en-US"/>
              </w:rPr>
              <w:t>Expert</w:t>
            </w:r>
            <w:r w:rsidRPr="00446240">
              <w:rPr>
                <w:lang w:val="en-US"/>
              </w:rPr>
              <w:br/>
            </w:r>
            <w:r w:rsidRPr="00446240">
              <w:rPr>
                <w:rFonts w:ascii="Aptos Display" w:hAnsi="Aptos Display"/>
                <w:lang w:val="en-US"/>
              </w:rPr>
              <w:t>+48 532 433</w:t>
            </w:r>
            <w:r w:rsidR="50EE0BC6" w:rsidRPr="00446240">
              <w:rPr>
                <w:rFonts w:ascii="Aptos Display" w:hAnsi="Aptos Display"/>
                <w:lang w:val="en-US"/>
              </w:rPr>
              <w:t xml:space="preserve"> </w:t>
            </w:r>
            <w:r w:rsidRPr="00446240">
              <w:rPr>
                <w:rFonts w:ascii="Aptos Display" w:hAnsi="Aptos Display"/>
                <w:lang w:val="en-US"/>
              </w:rPr>
              <w:t>645</w:t>
            </w:r>
            <w:r w:rsidRPr="00446240">
              <w:rPr>
                <w:lang w:val="en-US"/>
              </w:rPr>
              <w:br/>
            </w:r>
            <w:r w:rsidRPr="00446240">
              <w:rPr>
                <w:rFonts w:ascii="Aptos Display" w:hAnsi="Aptos Display"/>
                <w:lang w:val="en-US"/>
              </w:rPr>
              <w:t>paula.kowalcze@hrk.pl</w:t>
            </w:r>
          </w:p>
        </w:tc>
      </w:tr>
    </w:tbl>
    <w:p w14:paraId="58FCDEF8" w14:textId="77777777" w:rsidR="00001D34" w:rsidRPr="00446240" w:rsidRDefault="00001D34" w:rsidP="00001D34">
      <w:pPr>
        <w:spacing w:line="276" w:lineRule="auto"/>
        <w:jc w:val="both"/>
        <w:rPr>
          <w:rFonts w:ascii="Aptos Display" w:hAnsi="Aptos Display"/>
          <w:lang w:val="en-US"/>
        </w:rPr>
      </w:pPr>
    </w:p>
    <w:p w14:paraId="7802AA3B" w14:textId="77777777" w:rsidR="00001D34" w:rsidRPr="00446240" w:rsidRDefault="00001D34" w:rsidP="00001D34">
      <w:pPr>
        <w:spacing w:line="276" w:lineRule="auto"/>
        <w:jc w:val="both"/>
        <w:rPr>
          <w:rFonts w:ascii="Aptos Display" w:hAnsi="Aptos Display"/>
        </w:rPr>
      </w:pPr>
      <w:r w:rsidRPr="00446240">
        <w:rPr>
          <w:rFonts w:ascii="Aptos Display" w:hAnsi="Aptos Display"/>
        </w:rPr>
        <w:t xml:space="preserve">HRK S.A. to jedna z największych firm doradczych z obszaru zarządzania kapitałem ludzkim. Oferujemy usługi rekrutacji kadry średniego i wyższego szczebla, badań i rozwoju potencjału zawodowego (łącznie z badaniami </w:t>
      </w:r>
      <w:proofErr w:type="spellStart"/>
      <w:r w:rsidRPr="00446240">
        <w:rPr>
          <w:rFonts w:ascii="Aptos Display" w:hAnsi="Aptos Display"/>
        </w:rPr>
        <w:t>Assessment</w:t>
      </w:r>
      <w:proofErr w:type="spellEnd"/>
      <w:r w:rsidRPr="00446240">
        <w:rPr>
          <w:rFonts w:ascii="Aptos Display" w:hAnsi="Aptos Display"/>
        </w:rPr>
        <w:t xml:space="preserve"> &amp; Development Center), budowanie ścieżek kariery, a także usługi z zakresu </w:t>
      </w:r>
      <w:proofErr w:type="spellStart"/>
      <w:r w:rsidRPr="00446240">
        <w:rPr>
          <w:rFonts w:ascii="Aptos Display" w:hAnsi="Aptos Display"/>
        </w:rPr>
        <w:t>employer</w:t>
      </w:r>
      <w:proofErr w:type="spellEnd"/>
      <w:r w:rsidRPr="00446240">
        <w:rPr>
          <w:rFonts w:ascii="Aptos Display" w:hAnsi="Aptos Display"/>
        </w:rPr>
        <w:t xml:space="preserve"> </w:t>
      </w:r>
      <w:proofErr w:type="spellStart"/>
      <w:r w:rsidRPr="00446240">
        <w:rPr>
          <w:rFonts w:ascii="Aptos Display" w:hAnsi="Aptos Display"/>
        </w:rPr>
        <w:t>brandingu</w:t>
      </w:r>
      <w:proofErr w:type="spellEnd"/>
      <w:r w:rsidRPr="00446240">
        <w:rPr>
          <w:rFonts w:ascii="Aptos Display" w:hAnsi="Aptos Display"/>
        </w:rPr>
        <w:t xml:space="preserve"> oraz obsługi kadr i płac.</w:t>
      </w:r>
    </w:p>
    <w:p w14:paraId="194986FB" w14:textId="77777777" w:rsidR="00001D34" w:rsidRPr="00446240" w:rsidRDefault="00001D34" w:rsidP="00001D34">
      <w:pPr>
        <w:spacing w:line="276" w:lineRule="auto"/>
        <w:jc w:val="both"/>
        <w:rPr>
          <w:rFonts w:ascii="Aptos Display" w:hAnsi="Aptos Display"/>
        </w:rPr>
      </w:pPr>
      <w:r w:rsidRPr="00446240">
        <w:rPr>
          <w:rFonts w:ascii="Aptos Display" w:hAnsi="Aptos Display"/>
        </w:rPr>
        <w:lastRenderedPageBreak/>
        <w:t xml:space="preserve"> </w:t>
      </w:r>
    </w:p>
    <w:p w14:paraId="07ADC8D9" w14:textId="0B550AD0" w:rsidR="00070B41" w:rsidRPr="00446240" w:rsidRDefault="00070B41" w:rsidP="00001D34">
      <w:pPr>
        <w:spacing w:line="276" w:lineRule="auto"/>
        <w:rPr>
          <w:rFonts w:ascii="Aptos Display" w:hAnsi="Aptos Display"/>
        </w:rPr>
      </w:pPr>
    </w:p>
    <w:sectPr w:rsidR="00070B41" w:rsidRPr="0044624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21969" w14:textId="77777777" w:rsidR="006E7C26" w:rsidRDefault="006E7C26" w:rsidP="00934983">
      <w:pPr>
        <w:spacing w:after="0" w:line="240" w:lineRule="auto"/>
      </w:pPr>
      <w:r>
        <w:separator/>
      </w:r>
    </w:p>
  </w:endnote>
  <w:endnote w:type="continuationSeparator" w:id="0">
    <w:p w14:paraId="1F72AB23" w14:textId="77777777" w:rsidR="006E7C26" w:rsidRDefault="006E7C26" w:rsidP="0093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D67" w14:textId="77777777" w:rsidR="0070242D" w:rsidRDefault="007024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1FB55" w14:textId="77777777" w:rsidR="006E7C26" w:rsidRDefault="006E7C26" w:rsidP="00934983">
      <w:pPr>
        <w:spacing w:after="0" w:line="240" w:lineRule="auto"/>
      </w:pPr>
      <w:r>
        <w:separator/>
      </w:r>
    </w:p>
  </w:footnote>
  <w:footnote w:type="continuationSeparator" w:id="0">
    <w:p w14:paraId="25C34638" w14:textId="77777777" w:rsidR="006E7C26" w:rsidRDefault="006E7C26" w:rsidP="00934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E448" w14:textId="41AE545A" w:rsidR="0058273F" w:rsidRDefault="0058273F">
    <w:pPr>
      <w:pStyle w:val="Nagwek"/>
    </w:pPr>
    <w:r>
      <w:rPr>
        <w:noProof/>
        <w:color w:val="2B579A"/>
        <w:shd w:val="clear" w:color="auto" w:fill="E6E6E6"/>
      </w:rPr>
      <w:drawing>
        <wp:anchor distT="0" distB="0" distL="114300" distR="114300" simplePos="0" relativeHeight="251658240" behindDoc="1" locked="0" layoutInCell="1" allowOverlap="1" wp14:anchorId="2AFF1167" wp14:editId="6F53E9A8">
          <wp:simplePos x="0" y="0"/>
          <wp:positionH relativeFrom="column">
            <wp:posOffset>5516245</wp:posOffset>
          </wp:positionH>
          <wp:positionV relativeFrom="paragraph">
            <wp:posOffset>-99060</wp:posOffset>
          </wp:positionV>
          <wp:extent cx="719859" cy="495300"/>
          <wp:effectExtent l="0" t="0" r="4445" b="0"/>
          <wp:wrapTight wrapText="bothSides">
            <wp:wrapPolygon edited="0">
              <wp:start x="0" y="0"/>
              <wp:lineTo x="0" y="20769"/>
              <wp:lineTo x="21162" y="20769"/>
              <wp:lineTo x="21162" y="0"/>
              <wp:lineTo x="0" y="0"/>
            </wp:wrapPolygon>
          </wp:wrapTight>
          <wp:docPr id="2" name="Obraz 2" descr="H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859"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7C85"/>
    <w:multiLevelType w:val="hybridMultilevel"/>
    <w:tmpl w:val="B87AC73A"/>
    <w:lvl w:ilvl="0" w:tplc="95EC12A0">
      <w:start w:val="1"/>
      <w:numFmt w:val="bullet"/>
      <w:lvlText w:val="-"/>
      <w:lvlJc w:val="left"/>
      <w:pPr>
        <w:ind w:left="720" w:hanging="360"/>
      </w:pPr>
      <w:rPr>
        <w:rFonts w:ascii="Aptos" w:hAnsi="Aptos" w:hint="default"/>
      </w:rPr>
    </w:lvl>
    <w:lvl w:ilvl="1" w:tplc="C36A42A4">
      <w:start w:val="1"/>
      <w:numFmt w:val="bullet"/>
      <w:lvlText w:val="o"/>
      <w:lvlJc w:val="left"/>
      <w:pPr>
        <w:ind w:left="1440" w:hanging="360"/>
      </w:pPr>
      <w:rPr>
        <w:rFonts w:ascii="Courier New" w:hAnsi="Courier New" w:hint="default"/>
      </w:rPr>
    </w:lvl>
    <w:lvl w:ilvl="2" w:tplc="04DA69E6">
      <w:start w:val="1"/>
      <w:numFmt w:val="bullet"/>
      <w:lvlText w:val=""/>
      <w:lvlJc w:val="left"/>
      <w:pPr>
        <w:ind w:left="2160" w:hanging="360"/>
      </w:pPr>
      <w:rPr>
        <w:rFonts w:ascii="Wingdings" w:hAnsi="Wingdings" w:hint="default"/>
      </w:rPr>
    </w:lvl>
    <w:lvl w:ilvl="3" w:tplc="FAA882DE">
      <w:start w:val="1"/>
      <w:numFmt w:val="bullet"/>
      <w:lvlText w:val=""/>
      <w:lvlJc w:val="left"/>
      <w:pPr>
        <w:ind w:left="2880" w:hanging="360"/>
      </w:pPr>
      <w:rPr>
        <w:rFonts w:ascii="Symbol" w:hAnsi="Symbol" w:hint="default"/>
      </w:rPr>
    </w:lvl>
    <w:lvl w:ilvl="4" w:tplc="135649C8">
      <w:start w:val="1"/>
      <w:numFmt w:val="bullet"/>
      <w:lvlText w:val="o"/>
      <w:lvlJc w:val="left"/>
      <w:pPr>
        <w:ind w:left="3600" w:hanging="360"/>
      </w:pPr>
      <w:rPr>
        <w:rFonts w:ascii="Courier New" w:hAnsi="Courier New" w:hint="default"/>
      </w:rPr>
    </w:lvl>
    <w:lvl w:ilvl="5" w:tplc="CD7EF4D2">
      <w:start w:val="1"/>
      <w:numFmt w:val="bullet"/>
      <w:lvlText w:val=""/>
      <w:lvlJc w:val="left"/>
      <w:pPr>
        <w:ind w:left="4320" w:hanging="360"/>
      </w:pPr>
      <w:rPr>
        <w:rFonts w:ascii="Wingdings" w:hAnsi="Wingdings" w:hint="default"/>
      </w:rPr>
    </w:lvl>
    <w:lvl w:ilvl="6" w:tplc="D3B8DCE8">
      <w:start w:val="1"/>
      <w:numFmt w:val="bullet"/>
      <w:lvlText w:val=""/>
      <w:lvlJc w:val="left"/>
      <w:pPr>
        <w:ind w:left="5040" w:hanging="360"/>
      </w:pPr>
      <w:rPr>
        <w:rFonts w:ascii="Symbol" w:hAnsi="Symbol" w:hint="default"/>
      </w:rPr>
    </w:lvl>
    <w:lvl w:ilvl="7" w:tplc="5C2EADA6">
      <w:start w:val="1"/>
      <w:numFmt w:val="bullet"/>
      <w:lvlText w:val="o"/>
      <w:lvlJc w:val="left"/>
      <w:pPr>
        <w:ind w:left="5760" w:hanging="360"/>
      </w:pPr>
      <w:rPr>
        <w:rFonts w:ascii="Courier New" w:hAnsi="Courier New" w:hint="default"/>
      </w:rPr>
    </w:lvl>
    <w:lvl w:ilvl="8" w:tplc="2D58FC30">
      <w:start w:val="1"/>
      <w:numFmt w:val="bullet"/>
      <w:lvlText w:val=""/>
      <w:lvlJc w:val="left"/>
      <w:pPr>
        <w:ind w:left="6480" w:hanging="360"/>
      </w:pPr>
      <w:rPr>
        <w:rFonts w:ascii="Wingdings" w:hAnsi="Wingdings" w:hint="default"/>
      </w:rPr>
    </w:lvl>
  </w:abstractNum>
  <w:abstractNum w:abstractNumId="1" w15:restartNumberingAfterBreak="0">
    <w:nsid w:val="16946BFA"/>
    <w:multiLevelType w:val="multilevel"/>
    <w:tmpl w:val="25D2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D9244C"/>
    <w:multiLevelType w:val="hybridMultilevel"/>
    <w:tmpl w:val="7402C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DB665E4"/>
    <w:multiLevelType w:val="multilevel"/>
    <w:tmpl w:val="32E6F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2B33BE"/>
    <w:multiLevelType w:val="multilevel"/>
    <w:tmpl w:val="62A4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67205E"/>
    <w:multiLevelType w:val="multilevel"/>
    <w:tmpl w:val="DC38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3E1A08"/>
    <w:multiLevelType w:val="hybridMultilevel"/>
    <w:tmpl w:val="47DE9324"/>
    <w:lvl w:ilvl="0" w:tplc="33DC0E10">
      <w:start w:val="1"/>
      <w:numFmt w:val="bullet"/>
      <w:lvlText w:val="-"/>
      <w:lvlJc w:val="left"/>
      <w:pPr>
        <w:ind w:left="720" w:hanging="360"/>
      </w:pPr>
      <w:rPr>
        <w:rFonts w:ascii="Aptos" w:hAnsi="Aptos" w:hint="default"/>
      </w:rPr>
    </w:lvl>
    <w:lvl w:ilvl="1" w:tplc="D8B2DCEE">
      <w:start w:val="1"/>
      <w:numFmt w:val="bullet"/>
      <w:lvlText w:val="o"/>
      <w:lvlJc w:val="left"/>
      <w:pPr>
        <w:ind w:left="1440" w:hanging="360"/>
      </w:pPr>
      <w:rPr>
        <w:rFonts w:ascii="Courier New" w:hAnsi="Courier New" w:hint="default"/>
      </w:rPr>
    </w:lvl>
    <w:lvl w:ilvl="2" w:tplc="207CA7E6">
      <w:start w:val="1"/>
      <w:numFmt w:val="bullet"/>
      <w:lvlText w:val=""/>
      <w:lvlJc w:val="left"/>
      <w:pPr>
        <w:ind w:left="2160" w:hanging="360"/>
      </w:pPr>
      <w:rPr>
        <w:rFonts w:ascii="Wingdings" w:hAnsi="Wingdings" w:hint="default"/>
      </w:rPr>
    </w:lvl>
    <w:lvl w:ilvl="3" w:tplc="D3C48950">
      <w:start w:val="1"/>
      <w:numFmt w:val="bullet"/>
      <w:lvlText w:val=""/>
      <w:lvlJc w:val="left"/>
      <w:pPr>
        <w:ind w:left="2880" w:hanging="360"/>
      </w:pPr>
      <w:rPr>
        <w:rFonts w:ascii="Symbol" w:hAnsi="Symbol" w:hint="default"/>
      </w:rPr>
    </w:lvl>
    <w:lvl w:ilvl="4" w:tplc="3356BEB6">
      <w:start w:val="1"/>
      <w:numFmt w:val="bullet"/>
      <w:lvlText w:val="o"/>
      <w:lvlJc w:val="left"/>
      <w:pPr>
        <w:ind w:left="3600" w:hanging="360"/>
      </w:pPr>
      <w:rPr>
        <w:rFonts w:ascii="Courier New" w:hAnsi="Courier New" w:hint="default"/>
      </w:rPr>
    </w:lvl>
    <w:lvl w:ilvl="5" w:tplc="D7D6E88E">
      <w:start w:val="1"/>
      <w:numFmt w:val="bullet"/>
      <w:lvlText w:val=""/>
      <w:lvlJc w:val="left"/>
      <w:pPr>
        <w:ind w:left="4320" w:hanging="360"/>
      </w:pPr>
      <w:rPr>
        <w:rFonts w:ascii="Wingdings" w:hAnsi="Wingdings" w:hint="default"/>
      </w:rPr>
    </w:lvl>
    <w:lvl w:ilvl="6" w:tplc="16087234">
      <w:start w:val="1"/>
      <w:numFmt w:val="bullet"/>
      <w:lvlText w:val=""/>
      <w:lvlJc w:val="left"/>
      <w:pPr>
        <w:ind w:left="5040" w:hanging="360"/>
      </w:pPr>
      <w:rPr>
        <w:rFonts w:ascii="Symbol" w:hAnsi="Symbol" w:hint="default"/>
      </w:rPr>
    </w:lvl>
    <w:lvl w:ilvl="7" w:tplc="8F763358">
      <w:start w:val="1"/>
      <w:numFmt w:val="bullet"/>
      <w:lvlText w:val="o"/>
      <w:lvlJc w:val="left"/>
      <w:pPr>
        <w:ind w:left="5760" w:hanging="360"/>
      </w:pPr>
      <w:rPr>
        <w:rFonts w:ascii="Courier New" w:hAnsi="Courier New" w:hint="default"/>
      </w:rPr>
    </w:lvl>
    <w:lvl w:ilvl="8" w:tplc="38B87AB0">
      <w:start w:val="1"/>
      <w:numFmt w:val="bullet"/>
      <w:lvlText w:val=""/>
      <w:lvlJc w:val="left"/>
      <w:pPr>
        <w:ind w:left="6480" w:hanging="360"/>
      </w:pPr>
      <w:rPr>
        <w:rFonts w:ascii="Wingdings" w:hAnsi="Wingdings" w:hint="default"/>
      </w:rPr>
    </w:lvl>
  </w:abstractNum>
  <w:abstractNum w:abstractNumId="7" w15:restartNumberingAfterBreak="0">
    <w:nsid w:val="5A746BB0"/>
    <w:multiLevelType w:val="multilevel"/>
    <w:tmpl w:val="0750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164EDC"/>
    <w:multiLevelType w:val="hybridMultilevel"/>
    <w:tmpl w:val="2DD834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F733643"/>
    <w:multiLevelType w:val="hybridMultilevel"/>
    <w:tmpl w:val="E578B856"/>
    <w:lvl w:ilvl="0" w:tplc="611497E0">
      <w:start w:val="1"/>
      <w:numFmt w:val="bullet"/>
      <w:lvlText w:val="-"/>
      <w:lvlJc w:val="left"/>
      <w:pPr>
        <w:ind w:left="720" w:hanging="360"/>
      </w:pPr>
      <w:rPr>
        <w:rFonts w:ascii="Aptos" w:hAnsi="Aptos" w:hint="default"/>
      </w:rPr>
    </w:lvl>
    <w:lvl w:ilvl="1" w:tplc="E27428C6">
      <w:start w:val="1"/>
      <w:numFmt w:val="bullet"/>
      <w:lvlText w:val="o"/>
      <w:lvlJc w:val="left"/>
      <w:pPr>
        <w:ind w:left="1440" w:hanging="360"/>
      </w:pPr>
      <w:rPr>
        <w:rFonts w:ascii="Courier New" w:hAnsi="Courier New" w:hint="default"/>
      </w:rPr>
    </w:lvl>
    <w:lvl w:ilvl="2" w:tplc="A5287A96">
      <w:start w:val="1"/>
      <w:numFmt w:val="bullet"/>
      <w:lvlText w:val=""/>
      <w:lvlJc w:val="left"/>
      <w:pPr>
        <w:ind w:left="2160" w:hanging="360"/>
      </w:pPr>
      <w:rPr>
        <w:rFonts w:ascii="Wingdings" w:hAnsi="Wingdings" w:hint="default"/>
      </w:rPr>
    </w:lvl>
    <w:lvl w:ilvl="3" w:tplc="4546FF32">
      <w:start w:val="1"/>
      <w:numFmt w:val="bullet"/>
      <w:lvlText w:val=""/>
      <w:lvlJc w:val="left"/>
      <w:pPr>
        <w:ind w:left="2880" w:hanging="360"/>
      </w:pPr>
      <w:rPr>
        <w:rFonts w:ascii="Symbol" w:hAnsi="Symbol" w:hint="default"/>
      </w:rPr>
    </w:lvl>
    <w:lvl w:ilvl="4" w:tplc="B142B112">
      <w:start w:val="1"/>
      <w:numFmt w:val="bullet"/>
      <w:lvlText w:val="o"/>
      <w:lvlJc w:val="left"/>
      <w:pPr>
        <w:ind w:left="3600" w:hanging="360"/>
      </w:pPr>
      <w:rPr>
        <w:rFonts w:ascii="Courier New" w:hAnsi="Courier New" w:hint="default"/>
      </w:rPr>
    </w:lvl>
    <w:lvl w:ilvl="5" w:tplc="925A1326">
      <w:start w:val="1"/>
      <w:numFmt w:val="bullet"/>
      <w:lvlText w:val=""/>
      <w:lvlJc w:val="left"/>
      <w:pPr>
        <w:ind w:left="4320" w:hanging="360"/>
      </w:pPr>
      <w:rPr>
        <w:rFonts w:ascii="Wingdings" w:hAnsi="Wingdings" w:hint="default"/>
      </w:rPr>
    </w:lvl>
    <w:lvl w:ilvl="6" w:tplc="EE44619A">
      <w:start w:val="1"/>
      <w:numFmt w:val="bullet"/>
      <w:lvlText w:val=""/>
      <w:lvlJc w:val="left"/>
      <w:pPr>
        <w:ind w:left="5040" w:hanging="360"/>
      </w:pPr>
      <w:rPr>
        <w:rFonts w:ascii="Symbol" w:hAnsi="Symbol" w:hint="default"/>
      </w:rPr>
    </w:lvl>
    <w:lvl w:ilvl="7" w:tplc="EF02E060">
      <w:start w:val="1"/>
      <w:numFmt w:val="bullet"/>
      <w:lvlText w:val="o"/>
      <w:lvlJc w:val="left"/>
      <w:pPr>
        <w:ind w:left="5760" w:hanging="360"/>
      </w:pPr>
      <w:rPr>
        <w:rFonts w:ascii="Courier New" w:hAnsi="Courier New" w:hint="default"/>
      </w:rPr>
    </w:lvl>
    <w:lvl w:ilvl="8" w:tplc="533A53C6">
      <w:start w:val="1"/>
      <w:numFmt w:val="bullet"/>
      <w:lvlText w:val=""/>
      <w:lvlJc w:val="left"/>
      <w:pPr>
        <w:ind w:left="6480" w:hanging="360"/>
      </w:pPr>
      <w:rPr>
        <w:rFonts w:ascii="Wingdings" w:hAnsi="Wingdings" w:hint="default"/>
      </w:rPr>
    </w:lvl>
  </w:abstractNum>
  <w:abstractNum w:abstractNumId="10" w15:restartNumberingAfterBreak="0">
    <w:nsid w:val="61B76203"/>
    <w:multiLevelType w:val="multilevel"/>
    <w:tmpl w:val="C3A8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4D1FF"/>
    <w:multiLevelType w:val="hybridMultilevel"/>
    <w:tmpl w:val="839C7EC8"/>
    <w:lvl w:ilvl="0" w:tplc="500E95EE">
      <w:start w:val="1"/>
      <w:numFmt w:val="bullet"/>
      <w:lvlText w:val="-"/>
      <w:lvlJc w:val="left"/>
      <w:pPr>
        <w:ind w:left="720" w:hanging="360"/>
      </w:pPr>
      <w:rPr>
        <w:rFonts w:ascii="Aptos" w:hAnsi="Aptos" w:hint="default"/>
      </w:rPr>
    </w:lvl>
    <w:lvl w:ilvl="1" w:tplc="50343AC4">
      <w:start w:val="1"/>
      <w:numFmt w:val="bullet"/>
      <w:lvlText w:val="o"/>
      <w:lvlJc w:val="left"/>
      <w:pPr>
        <w:ind w:left="1440" w:hanging="360"/>
      </w:pPr>
      <w:rPr>
        <w:rFonts w:ascii="Courier New" w:hAnsi="Courier New" w:hint="default"/>
      </w:rPr>
    </w:lvl>
    <w:lvl w:ilvl="2" w:tplc="01C64CE6">
      <w:start w:val="1"/>
      <w:numFmt w:val="bullet"/>
      <w:lvlText w:val=""/>
      <w:lvlJc w:val="left"/>
      <w:pPr>
        <w:ind w:left="2160" w:hanging="360"/>
      </w:pPr>
      <w:rPr>
        <w:rFonts w:ascii="Wingdings" w:hAnsi="Wingdings" w:hint="default"/>
      </w:rPr>
    </w:lvl>
    <w:lvl w:ilvl="3" w:tplc="685AA380">
      <w:start w:val="1"/>
      <w:numFmt w:val="bullet"/>
      <w:lvlText w:val=""/>
      <w:lvlJc w:val="left"/>
      <w:pPr>
        <w:ind w:left="2880" w:hanging="360"/>
      </w:pPr>
      <w:rPr>
        <w:rFonts w:ascii="Symbol" w:hAnsi="Symbol" w:hint="default"/>
      </w:rPr>
    </w:lvl>
    <w:lvl w:ilvl="4" w:tplc="F63C0134">
      <w:start w:val="1"/>
      <w:numFmt w:val="bullet"/>
      <w:lvlText w:val="o"/>
      <w:lvlJc w:val="left"/>
      <w:pPr>
        <w:ind w:left="3600" w:hanging="360"/>
      </w:pPr>
      <w:rPr>
        <w:rFonts w:ascii="Courier New" w:hAnsi="Courier New" w:hint="default"/>
      </w:rPr>
    </w:lvl>
    <w:lvl w:ilvl="5" w:tplc="863E5AF0">
      <w:start w:val="1"/>
      <w:numFmt w:val="bullet"/>
      <w:lvlText w:val=""/>
      <w:lvlJc w:val="left"/>
      <w:pPr>
        <w:ind w:left="4320" w:hanging="360"/>
      </w:pPr>
      <w:rPr>
        <w:rFonts w:ascii="Wingdings" w:hAnsi="Wingdings" w:hint="default"/>
      </w:rPr>
    </w:lvl>
    <w:lvl w:ilvl="6" w:tplc="421A72B4">
      <w:start w:val="1"/>
      <w:numFmt w:val="bullet"/>
      <w:lvlText w:val=""/>
      <w:lvlJc w:val="left"/>
      <w:pPr>
        <w:ind w:left="5040" w:hanging="360"/>
      </w:pPr>
      <w:rPr>
        <w:rFonts w:ascii="Symbol" w:hAnsi="Symbol" w:hint="default"/>
      </w:rPr>
    </w:lvl>
    <w:lvl w:ilvl="7" w:tplc="D34A574A">
      <w:start w:val="1"/>
      <w:numFmt w:val="bullet"/>
      <w:lvlText w:val="o"/>
      <w:lvlJc w:val="left"/>
      <w:pPr>
        <w:ind w:left="5760" w:hanging="360"/>
      </w:pPr>
      <w:rPr>
        <w:rFonts w:ascii="Courier New" w:hAnsi="Courier New" w:hint="default"/>
      </w:rPr>
    </w:lvl>
    <w:lvl w:ilvl="8" w:tplc="2878E2CA">
      <w:start w:val="1"/>
      <w:numFmt w:val="bullet"/>
      <w:lvlText w:val=""/>
      <w:lvlJc w:val="left"/>
      <w:pPr>
        <w:ind w:left="6480" w:hanging="360"/>
      </w:pPr>
      <w:rPr>
        <w:rFonts w:ascii="Wingdings" w:hAnsi="Wingdings" w:hint="default"/>
      </w:rPr>
    </w:lvl>
  </w:abstractNum>
  <w:abstractNum w:abstractNumId="12" w15:restartNumberingAfterBreak="0">
    <w:nsid w:val="6A2563E7"/>
    <w:multiLevelType w:val="hybridMultilevel"/>
    <w:tmpl w:val="664286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6A2D7BA2"/>
    <w:multiLevelType w:val="hybridMultilevel"/>
    <w:tmpl w:val="A4B08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12577C2"/>
    <w:multiLevelType w:val="multilevel"/>
    <w:tmpl w:val="454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47FA6D"/>
    <w:multiLevelType w:val="hybridMultilevel"/>
    <w:tmpl w:val="1304FF56"/>
    <w:lvl w:ilvl="0" w:tplc="34808E9A">
      <w:start w:val="1"/>
      <w:numFmt w:val="bullet"/>
      <w:lvlText w:val="-"/>
      <w:lvlJc w:val="left"/>
      <w:pPr>
        <w:ind w:left="720" w:hanging="360"/>
      </w:pPr>
      <w:rPr>
        <w:rFonts w:ascii="Aptos" w:hAnsi="Aptos" w:hint="default"/>
      </w:rPr>
    </w:lvl>
    <w:lvl w:ilvl="1" w:tplc="18165B66">
      <w:start w:val="1"/>
      <w:numFmt w:val="bullet"/>
      <w:lvlText w:val="o"/>
      <w:lvlJc w:val="left"/>
      <w:pPr>
        <w:ind w:left="1440" w:hanging="360"/>
      </w:pPr>
      <w:rPr>
        <w:rFonts w:ascii="Courier New" w:hAnsi="Courier New" w:hint="default"/>
      </w:rPr>
    </w:lvl>
    <w:lvl w:ilvl="2" w:tplc="D50EF162">
      <w:start w:val="1"/>
      <w:numFmt w:val="bullet"/>
      <w:lvlText w:val=""/>
      <w:lvlJc w:val="left"/>
      <w:pPr>
        <w:ind w:left="2160" w:hanging="360"/>
      </w:pPr>
      <w:rPr>
        <w:rFonts w:ascii="Wingdings" w:hAnsi="Wingdings" w:hint="default"/>
      </w:rPr>
    </w:lvl>
    <w:lvl w:ilvl="3" w:tplc="C8227D7A">
      <w:start w:val="1"/>
      <w:numFmt w:val="bullet"/>
      <w:lvlText w:val=""/>
      <w:lvlJc w:val="left"/>
      <w:pPr>
        <w:ind w:left="2880" w:hanging="360"/>
      </w:pPr>
      <w:rPr>
        <w:rFonts w:ascii="Symbol" w:hAnsi="Symbol" w:hint="default"/>
      </w:rPr>
    </w:lvl>
    <w:lvl w:ilvl="4" w:tplc="2FB47144">
      <w:start w:val="1"/>
      <w:numFmt w:val="bullet"/>
      <w:lvlText w:val="o"/>
      <w:lvlJc w:val="left"/>
      <w:pPr>
        <w:ind w:left="3600" w:hanging="360"/>
      </w:pPr>
      <w:rPr>
        <w:rFonts w:ascii="Courier New" w:hAnsi="Courier New" w:hint="default"/>
      </w:rPr>
    </w:lvl>
    <w:lvl w:ilvl="5" w:tplc="D5C22644">
      <w:start w:val="1"/>
      <w:numFmt w:val="bullet"/>
      <w:lvlText w:val=""/>
      <w:lvlJc w:val="left"/>
      <w:pPr>
        <w:ind w:left="4320" w:hanging="360"/>
      </w:pPr>
      <w:rPr>
        <w:rFonts w:ascii="Wingdings" w:hAnsi="Wingdings" w:hint="default"/>
      </w:rPr>
    </w:lvl>
    <w:lvl w:ilvl="6" w:tplc="66F2DC64">
      <w:start w:val="1"/>
      <w:numFmt w:val="bullet"/>
      <w:lvlText w:val=""/>
      <w:lvlJc w:val="left"/>
      <w:pPr>
        <w:ind w:left="5040" w:hanging="360"/>
      </w:pPr>
      <w:rPr>
        <w:rFonts w:ascii="Symbol" w:hAnsi="Symbol" w:hint="default"/>
      </w:rPr>
    </w:lvl>
    <w:lvl w:ilvl="7" w:tplc="80607B8E">
      <w:start w:val="1"/>
      <w:numFmt w:val="bullet"/>
      <w:lvlText w:val="o"/>
      <w:lvlJc w:val="left"/>
      <w:pPr>
        <w:ind w:left="5760" w:hanging="360"/>
      </w:pPr>
      <w:rPr>
        <w:rFonts w:ascii="Courier New" w:hAnsi="Courier New" w:hint="default"/>
      </w:rPr>
    </w:lvl>
    <w:lvl w:ilvl="8" w:tplc="93A81210">
      <w:start w:val="1"/>
      <w:numFmt w:val="bullet"/>
      <w:lvlText w:val=""/>
      <w:lvlJc w:val="left"/>
      <w:pPr>
        <w:ind w:left="6480" w:hanging="360"/>
      </w:pPr>
      <w:rPr>
        <w:rFonts w:ascii="Wingdings" w:hAnsi="Wingdings" w:hint="default"/>
      </w:rPr>
    </w:lvl>
  </w:abstractNum>
  <w:abstractNum w:abstractNumId="16" w15:restartNumberingAfterBreak="0">
    <w:nsid w:val="776C359B"/>
    <w:multiLevelType w:val="multilevel"/>
    <w:tmpl w:val="95A4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D5DE58A"/>
    <w:multiLevelType w:val="hybridMultilevel"/>
    <w:tmpl w:val="B57A83D0"/>
    <w:lvl w:ilvl="0" w:tplc="53240C2C">
      <w:start w:val="1"/>
      <w:numFmt w:val="bullet"/>
      <w:lvlText w:val="-"/>
      <w:lvlJc w:val="left"/>
      <w:pPr>
        <w:ind w:left="720" w:hanging="360"/>
      </w:pPr>
      <w:rPr>
        <w:rFonts w:ascii="Aptos" w:hAnsi="Aptos" w:hint="default"/>
      </w:rPr>
    </w:lvl>
    <w:lvl w:ilvl="1" w:tplc="55EE1F88">
      <w:start w:val="1"/>
      <w:numFmt w:val="bullet"/>
      <w:lvlText w:val="o"/>
      <w:lvlJc w:val="left"/>
      <w:pPr>
        <w:ind w:left="1440" w:hanging="360"/>
      </w:pPr>
      <w:rPr>
        <w:rFonts w:ascii="Courier New" w:hAnsi="Courier New" w:hint="default"/>
      </w:rPr>
    </w:lvl>
    <w:lvl w:ilvl="2" w:tplc="F4748988">
      <w:start w:val="1"/>
      <w:numFmt w:val="bullet"/>
      <w:lvlText w:val=""/>
      <w:lvlJc w:val="left"/>
      <w:pPr>
        <w:ind w:left="2160" w:hanging="360"/>
      </w:pPr>
      <w:rPr>
        <w:rFonts w:ascii="Wingdings" w:hAnsi="Wingdings" w:hint="default"/>
      </w:rPr>
    </w:lvl>
    <w:lvl w:ilvl="3" w:tplc="93A48528">
      <w:start w:val="1"/>
      <w:numFmt w:val="bullet"/>
      <w:lvlText w:val=""/>
      <w:lvlJc w:val="left"/>
      <w:pPr>
        <w:ind w:left="2880" w:hanging="360"/>
      </w:pPr>
      <w:rPr>
        <w:rFonts w:ascii="Symbol" w:hAnsi="Symbol" w:hint="default"/>
      </w:rPr>
    </w:lvl>
    <w:lvl w:ilvl="4" w:tplc="C7E063D0">
      <w:start w:val="1"/>
      <w:numFmt w:val="bullet"/>
      <w:lvlText w:val="o"/>
      <w:lvlJc w:val="left"/>
      <w:pPr>
        <w:ind w:left="3600" w:hanging="360"/>
      </w:pPr>
      <w:rPr>
        <w:rFonts w:ascii="Courier New" w:hAnsi="Courier New" w:hint="default"/>
      </w:rPr>
    </w:lvl>
    <w:lvl w:ilvl="5" w:tplc="BDD633F2">
      <w:start w:val="1"/>
      <w:numFmt w:val="bullet"/>
      <w:lvlText w:val=""/>
      <w:lvlJc w:val="left"/>
      <w:pPr>
        <w:ind w:left="4320" w:hanging="360"/>
      </w:pPr>
      <w:rPr>
        <w:rFonts w:ascii="Wingdings" w:hAnsi="Wingdings" w:hint="default"/>
      </w:rPr>
    </w:lvl>
    <w:lvl w:ilvl="6" w:tplc="249CED00">
      <w:start w:val="1"/>
      <w:numFmt w:val="bullet"/>
      <w:lvlText w:val=""/>
      <w:lvlJc w:val="left"/>
      <w:pPr>
        <w:ind w:left="5040" w:hanging="360"/>
      </w:pPr>
      <w:rPr>
        <w:rFonts w:ascii="Symbol" w:hAnsi="Symbol" w:hint="default"/>
      </w:rPr>
    </w:lvl>
    <w:lvl w:ilvl="7" w:tplc="AE187EB0">
      <w:start w:val="1"/>
      <w:numFmt w:val="bullet"/>
      <w:lvlText w:val="o"/>
      <w:lvlJc w:val="left"/>
      <w:pPr>
        <w:ind w:left="5760" w:hanging="360"/>
      </w:pPr>
      <w:rPr>
        <w:rFonts w:ascii="Courier New" w:hAnsi="Courier New" w:hint="default"/>
      </w:rPr>
    </w:lvl>
    <w:lvl w:ilvl="8" w:tplc="A8567562">
      <w:start w:val="1"/>
      <w:numFmt w:val="bullet"/>
      <w:lvlText w:val=""/>
      <w:lvlJc w:val="left"/>
      <w:pPr>
        <w:ind w:left="6480" w:hanging="360"/>
      </w:pPr>
      <w:rPr>
        <w:rFonts w:ascii="Wingdings" w:hAnsi="Wingdings" w:hint="default"/>
      </w:rPr>
    </w:lvl>
  </w:abstractNum>
  <w:num w:numId="1" w16cid:durableId="897975222">
    <w:abstractNumId w:val="6"/>
  </w:num>
  <w:num w:numId="2" w16cid:durableId="333264056">
    <w:abstractNumId w:val="9"/>
  </w:num>
  <w:num w:numId="3" w16cid:durableId="538586523">
    <w:abstractNumId w:val="11"/>
  </w:num>
  <w:num w:numId="4" w16cid:durableId="96222430">
    <w:abstractNumId w:val="15"/>
  </w:num>
  <w:num w:numId="5" w16cid:durableId="739836220">
    <w:abstractNumId w:val="0"/>
  </w:num>
  <w:num w:numId="6" w16cid:durableId="1619488507">
    <w:abstractNumId w:val="17"/>
  </w:num>
  <w:num w:numId="7" w16cid:durableId="169372491">
    <w:abstractNumId w:val="8"/>
  </w:num>
  <w:num w:numId="8" w16cid:durableId="41447091">
    <w:abstractNumId w:val="2"/>
  </w:num>
  <w:num w:numId="9" w16cid:durableId="18211894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1852632">
    <w:abstractNumId w:val="12"/>
  </w:num>
  <w:num w:numId="11" w16cid:durableId="1617132034">
    <w:abstractNumId w:val="13"/>
  </w:num>
  <w:num w:numId="12" w16cid:durableId="1161851987">
    <w:abstractNumId w:val="10"/>
  </w:num>
  <w:num w:numId="13" w16cid:durableId="18748321">
    <w:abstractNumId w:val="14"/>
  </w:num>
  <w:num w:numId="14" w16cid:durableId="1568614165">
    <w:abstractNumId w:val="4"/>
  </w:num>
  <w:num w:numId="15" w16cid:durableId="761026277">
    <w:abstractNumId w:val="7"/>
  </w:num>
  <w:num w:numId="16" w16cid:durableId="1064061923">
    <w:abstractNumId w:val="5"/>
  </w:num>
  <w:num w:numId="17" w16cid:durableId="1050571243">
    <w:abstractNumId w:val="16"/>
  </w:num>
  <w:num w:numId="18" w16cid:durableId="1624266568">
    <w:abstractNumId w:val="1"/>
  </w:num>
  <w:num w:numId="19" w16cid:durableId="764497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820"/>
    <w:rsid w:val="0000004E"/>
    <w:rsid w:val="00001D34"/>
    <w:rsid w:val="00003F25"/>
    <w:rsid w:val="000066CA"/>
    <w:rsid w:val="00006CA0"/>
    <w:rsid w:val="000102F6"/>
    <w:rsid w:val="00010BFF"/>
    <w:rsid w:val="0001227E"/>
    <w:rsid w:val="000131C3"/>
    <w:rsid w:val="00013A90"/>
    <w:rsid w:val="000146CC"/>
    <w:rsid w:val="00015591"/>
    <w:rsid w:val="00015A8A"/>
    <w:rsid w:val="00017BE8"/>
    <w:rsid w:val="00023206"/>
    <w:rsid w:val="00025986"/>
    <w:rsid w:val="00026FE7"/>
    <w:rsid w:val="000307F1"/>
    <w:rsid w:val="000309FA"/>
    <w:rsid w:val="00033E30"/>
    <w:rsid w:val="00033F1C"/>
    <w:rsid w:val="00034645"/>
    <w:rsid w:val="00037E14"/>
    <w:rsid w:val="000408D4"/>
    <w:rsid w:val="00041E27"/>
    <w:rsid w:val="00042320"/>
    <w:rsid w:val="0004233A"/>
    <w:rsid w:val="000429E1"/>
    <w:rsid w:val="00043274"/>
    <w:rsid w:val="00046664"/>
    <w:rsid w:val="0005054C"/>
    <w:rsid w:val="00053A05"/>
    <w:rsid w:val="000563A3"/>
    <w:rsid w:val="00060DA9"/>
    <w:rsid w:val="00062103"/>
    <w:rsid w:val="00062600"/>
    <w:rsid w:val="00065B40"/>
    <w:rsid w:val="000709A9"/>
    <w:rsid w:val="00070B41"/>
    <w:rsid w:val="00071E33"/>
    <w:rsid w:val="00074AC5"/>
    <w:rsid w:val="00075D21"/>
    <w:rsid w:val="000804F5"/>
    <w:rsid w:val="00080A29"/>
    <w:rsid w:val="0008331D"/>
    <w:rsid w:val="00085955"/>
    <w:rsid w:val="00091C4A"/>
    <w:rsid w:val="000944EC"/>
    <w:rsid w:val="00094609"/>
    <w:rsid w:val="00097EA0"/>
    <w:rsid w:val="000A2B2B"/>
    <w:rsid w:val="000A311B"/>
    <w:rsid w:val="000A4465"/>
    <w:rsid w:val="000A72A2"/>
    <w:rsid w:val="000A7BB2"/>
    <w:rsid w:val="000B69B5"/>
    <w:rsid w:val="000B6A23"/>
    <w:rsid w:val="000B7E76"/>
    <w:rsid w:val="000C1DEC"/>
    <w:rsid w:val="000C63A8"/>
    <w:rsid w:val="000D3300"/>
    <w:rsid w:val="000D42D3"/>
    <w:rsid w:val="000E1404"/>
    <w:rsid w:val="000E3CED"/>
    <w:rsid w:val="000E4DF1"/>
    <w:rsid w:val="000F177E"/>
    <w:rsid w:val="000F227C"/>
    <w:rsid w:val="000F3C17"/>
    <w:rsid w:val="000F524B"/>
    <w:rsid w:val="000F6051"/>
    <w:rsid w:val="001002A3"/>
    <w:rsid w:val="00101CA8"/>
    <w:rsid w:val="00107550"/>
    <w:rsid w:val="00110876"/>
    <w:rsid w:val="0011621A"/>
    <w:rsid w:val="00117A71"/>
    <w:rsid w:val="00120441"/>
    <w:rsid w:val="00121AF6"/>
    <w:rsid w:val="0012208E"/>
    <w:rsid w:val="00124AB8"/>
    <w:rsid w:val="001279B1"/>
    <w:rsid w:val="0013278E"/>
    <w:rsid w:val="00135D2E"/>
    <w:rsid w:val="0013610E"/>
    <w:rsid w:val="00137987"/>
    <w:rsid w:val="00142A79"/>
    <w:rsid w:val="0014401B"/>
    <w:rsid w:val="00155275"/>
    <w:rsid w:val="00155CFB"/>
    <w:rsid w:val="0015771E"/>
    <w:rsid w:val="00161C85"/>
    <w:rsid w:val="00163CC0"/>
    <w:rsid w:val="00166CC0"/>
    <w:rsid w:val="001678DE"/>
    <w:rsid w:val="001712EA"/>
    <w:rsid w:val="00172B74"/>
    <w:rsid w:val="00173067"/>
    <w:rsid w:val="001738FE"/>
    <w:rsid w:val="00173E58"/>
    <w:rsid w:val="001765E7"/>
    <w:rsid w:val="00177088"/>
    <w:rsid w:val="00184B0E"/>
    <w:rsid w:val="001876FF"/>
    <w:rsid w:val="00190BB1"/>
    <w:rsid w:val="001921F5"/>
    <w:rsid w:val="001A2FF4"/>
    <w:rsid w:val="001A75D7"/>
    <w:rsid w:val="001A7D85"/>
    <w:rsid w:val="001B3516"/>
    <w:rsid w:val="001B6CD3"/>
    <w:rsid w:val="001B7B67"/>
    <w:rsid w:val="001C2ABC"/>
    <w:rsid w:val="001D3BAC"/>
    <w:rsid w:val="001D504F"/>
    <w:rsid w:val="001D5CBF"/>
    <w:rsid w:val="001E1169"/>
    <w:rsid w:val="001E6BED"/>
    <w:rsid w:val="001F2546"/>
    <w:rsid w:val="001F344B"/>
    <w:rsid w:val="001F40CB"/>
    <w:rsid w:val="001F48F7"/>
    <w:rsid w:val="001F5430"/>
    <w:rsid w:val="001F680F"/>
    <w:rsid w:val="002007B5"/>
    <w:rsid w:val="00201FB8"/>
    <w:rsid w:val="00203FEA"/>
    <w:rsid w:val="00205F95"/>
    <w:rsid w:val="00210F5A"/>
    <w:rsid w:val="002147A1"/>
    <w:rsid w:val="00215C41"/>
    <w:rsid w:val="00220A3A"/>
    <w:rsid w:val="00221F91"/>
    <w:rsid w:val="002225E5"/>
    <w:rsid w:val="00222CCC"/>
    <w:rsid w:val="00223902"/>
    <w:rsid w:val="002274AB"/>
    <w:rsid w:val="00232011"/>
    <w:rsid w:val="00233FE1"/>
    <w:rsid w:val="00236EED"/>
    <w:rsid w:val="0024074E"/>
    <w:rsid w:val="002417D3"/>
    <w:rsid w:val="002425FB"/>
    <w:rsid w:val="00254E50"/>
    <w:rsid w:val="00257CF6"/>
    <w:rsid w:val="00260B42"/>
    <w:rsid w:val="00263687"/>
    <w:rsid w:val="00264A7D"/>
    <w:rsid w:val="00265D63"/>
    <w:rsid w:val="0027278A"/>
    <w:rsid w:val="00272DE1"/>
    <w:rsid w:val="00275B66"/>
    <w:rsid w:val="00281545"/>
    <w:rsid w:val="00281DF3"/>
    <w:rsid w:val="00286C6C"/>
    <w:rsid w:val="002913A2"/>
    <w:rsid w:val="002931BC"/>
    <w:rsid w:val="002944C5"/>
    <w:rsid w:val="00294997"/>
    <w:rsid w:val="00295986"/>
    <w:rsid w:val="002965C7"/>
    <w:rsid w:val="002A34E0"/>
    <w:rsid w:val="002A6AE6"/>
    <w:rsid w:val="002B1F53"/>
    <w:rsid w:val="002B43DE"/>
    <w:rsid w:val="002B6BF0"/>
    <w:rsid w:val="002C157A"/>
    <w:rsid w:val="002C5B76"/>
    <w:rsid w:val="002D0A65"/>
    <w:rsid w:val="002D169A"/>
    <w:rsid w:val="002E4C9A"/>
    <w:rsid w:val="002E62A8"/>
    <w:rsid w:val="002E71C2"/>
    <w:rsid w:val="002F10AB"/>
    <w:rsid w:val="002F3369"/>
    <w:rsid w:val="002F4BDE"/>
    <w:rsid w:val="002F6E4B"/>
    <w:rsid w:val="003006CA"/>
    <w:rsid w:val="00300980"/>
    <w:rsid w:val="00301E8E"/>
    <w:rsid w:val="00301ECC"/>
    <w:rsid w:val="00303A09"/>
    <w:rsid w:val="0031018A"/>
    <w:rsid w:val="00310452"/>
    <w:rsid w:val="00314709"/>
    <w:rsid w:val="00314B29"/>
    <w:rsid w:val="0031772B"/>
    <w:rsid w:val="00317F14"/>
    <w:rsid w:val="00321612"/>
    <w:rsid w:val="00321CB7"/>
    <w:rsid w:val="003235CA"/>
    <w:rsid w:val="00326085"/>
    <w:rsid w:val="003267A8"/>
    <w:rsid w:val="003271E5"/>
    <w:rsid w:val="00327BA0"/>
    <w:rsid w:val="00330620"/>
    <w:rsid w:val="00331FF4"/>
    <w:rsid w:val="003404A0"/>
    <w:rsid w:val="0034107F"/>
    <w:rsid w:val="00342F5E"/>
    <w:rsid w:val="00343B51"/>
    <w:rsid w:val="00345149"/>
    <w:rsid w:val="00347CB8"/>
    <w:rsid w:val="00350A61"/>
    <w:rsid w:val="00352B32"/>
    <w:rsid w:val="00353786"/>
    <w:rsid w:val="00361433"/>
    <w:rsid w:val="00361D93"/>
    <w:rsid w:val="0036298B"/>
    <w:rsid w:val="003674B4"/>
    <w:rsid w:val="0037246A"/>
    <w:rsid w:val="0037402D"/>
    <w:rsid w:val="003741B1"/>
    <w:rsid w:val="00377206"/>
    <w:rsid w:val="003808CA"/>
    <w:rsid w:val="00381C76"/>
    <w:rsid w:val="003913AC"/>
    <w:rsid w:val="00392956"/>
    <w:rsid w:val="003A0F6E"/>
    <w:rsid w:val="003A26A6"/>
    <w:rsid w:val="003A5B11"/>
    <w:rsid w:val="003A63C8"/>
    <w:rsid w:val="003A6A7F"/>
    <w:rsid w:val="003C280D"/>
    <w:rsid w:val="003C7B7C"/>
    <w:rsid w:val="003D0101"/>
    <w:rsid w:val="003D05F6"/>
    <w:rsid w:val="003D18C6"/>
    <w:rsid w:val="003D33D9"/>
    <w:rsid w:val="003E316B"/>
    <w:rsid w:val="003E3184"/>
    <w:rsid w:val="003E4ED4"/>
    <w:rsid w:val="003E7117"/>
    <w:rsid w:val="003F050B"/>
    <w:rsid w:val="003F1B9F"/>
    <w:rsid w:val="003F215F"/>
    <w:rsid w:val="003F3E4F"/>
    <w:rsid w:val="003F7508"/>
    <w:rsid w:val="00406FC0"/>
    <w:rsid w:val="004074AF"/>
    <w:rsid w:val="004075B8"/>
    <w:rsid w:val="00411A41"/>
    <w:rsid w:val="00414695"/>
    <w:rsid w:val="004171DA"/>
    <w:rsid w:val="00417CC4"/>
    <w:rsid w:val="00417D68"/>
    <w:rsid w:val="00420A03"/>
    <w:rsid w:val="00420D51"/>
    <w:rsid w:val="004210D0"/>
    <w:rsid w:val="00421CB1"/>
    <w:rsid w:val="00422A66"/>
    <w:rsid w:val="0042461A"/>
    <w:rsid w:val="00424862"/>
    <w:rsid w:val="004260A4"/>
    <w:rsid w:val="00426204"/>
    <w:rsid w:val="00427474"/>
    <w:rsid w:val="00432146"/>
    <w:rsid w:val="00432164"/>
    <w:rsid w:val="004331CE"/>
    <w:rsid w:val="00437483"/>
    <w:rsid w:val="00437C14"/>
    <w:rsid w:val="00440E44"/>
    <w:rsid w:val="00441E96"/>
    <w:rsid w:val="004422F1"/>
    <w:rsid w:val="004443E8"/>
    <w:rsid w:val="00446240"/>
    <w:rsid w:val="00451812"/>
    <w:rsid w:val="00451FD4"/>
    <w:rsid w:val="004566D3"/>
    <w:rsid w:val="004578A7"/>
    <w:rsid w:val="00460140"/>
    <w:rsid w:val="0047026C"/>
    <w:rsid w:val="004725CF"/>
    <w:rsid w:val="00475ED2"/>
    <w:rsid w:val="0047689E"/>
    <w:rsid w:val="004807EF"/>
    <w:rsid w:val="00480BF2"/>
    <w:rsid w:val="00482CFD"/>
    <w:rsid w:val="004836A0"/>
    <w:rsid w:val="00495294"/>
    <w:rsid w:val="004A4784"/>
    <w:rsid w:val="004A5FDB"/>
    <w:rsid w:val="004A771A"/>
    <w:rsid w:val="004B1215"/>
    <w:rsid w:val="004B121B"/>
    <w:rsid w:val="004B17CF"/>
    <w:rsid w:val="004B3F84"/>
    <w:rsid w:val="004B5F88"/>
    <w:rsid w:val="004B62B3"/>
    <w:rsid w:val="004B6B8E"/>
    <w:rsid w:val="004C1F50"/>
    <w:rsid w:val="004C2FC3"/>
    <w:rsid w:val="004C35B7"/>
    <w:rsid w:val="004C4193"/>
    <w:rsid w:val="004C4356"/>
    <w:rsid w:val="004C4C59"/>
    <w:rsid w:val="004C57B4"/>
    <w:rsid w:val="004C5BC6"/>
    <w:rsid w:val="004C7012"/>
    <w:rsid w:val="004C7FB8"/>
    <w:rsid w:val="004D1B80"/>
    <w:rsid w:val="004D7B7E"/>
    <w:rsid w:val="004D7B8A"/>
    <w:rsid w:val="004E2ADF"/>
    <w:rsid w:val="004E3453"/>
    <w:rsid w:val="004E3A5A"/>
    <w:rsid w:val="004F4E95"/>
    <w:rsid w:val="004F5E7B"/>
    <w:rsid w:val="004F60F4"/>
    <w:rsid w:val="005036D6"/>
    <w:rsid w:val="00505A32"/>
    <w:rsid w:val="005103A1"/>
    <w:rsid w:val="0051094A"/>
    <w:rsid w:val="0051598E"/>
    <w:rsid w:val="00515FC5"/>
    <w:rsid w:val="005171DC"/>
    <w:rsid w:val="0051767A"/>
    <w:rsid w:val="00520791"/>
    <w:rsid w:val="00526188"/>
    <w:rsid w:val="005270A5"/>
    <w:rsid w:val="00530C28"/>
    <w:rsid w:val="00535464"/>
    <w:rsid w:val="00535553"/>
    <w:rsid w:val="0053686D"/>
    <w:rsid w:val="00537256"/>
    <w:rsid w:val="005372EB"/>
    <w:rsid w:val="00540E7E"/>
    <w:rsid w:val="005431AE"/>
    <w:rsid w:val="00545C9E"/>
    <w:rsid w:val="00546456"/>
    <w:rsid w:val="00546912"/>
    <w:rsid w:val="0055171D"/>
    <w:rsid w:val="005523F6"/>
    <w:rsid w:val="00552855"/>
    <w:rsid w:val="00553D25"/>
    <w:rsid w:val="005558B1"/>
    <w:rsid w:val="00555990"/>
    <w:rsid w:val="005639AA"/>
    <w:rsid w:val="005647EC"/>
    <w:rsid w:val="00565B68"/>
    <w:rsid w:val="00570C5F"/>
    <w:rsid w:val="00570EA1"/>
    <w:rsid w:val="00572FD9"/>
    <w:rsid w:val="00573C88"/>
    <w:rsid w:val="00574A05"/>
    <w:rsid w:val="00575C36"/>
    <w:rsid w:val="0058036F"/>
    <w:rsid w:val="0058273F"/>
    <w:rsid w:val="005872D3"/>
    <w:rsid w:val="00587994"/>
    <w:rsid w:val="005918C2"/>
    <w:rsid w:val="00595C3D"/>
    <w:rsid w:val="00595EB9"/>
    <w:rsid w:val="005A0316"/>
    <w:rsid w:val="005A5A05"/>
    <w:rsid w:val="005A6DED"/>
    <w:rsid w:val="005B1C0C"/>
    <w:rsid w:val="005B7AC0"/>
    <w:rsid w:val="005C0F3D"/>
    <w:rsid w:val="005C4170"/>
    <w:rsid w:val="005C548A"/>
    <w:rsid w:val="005D1BAC"/>
    <w:rsid w:val="005D295E"/>
    <w:rsid w:val="005D39A6"/>
    <w:rsid w:val="005E0B77"/>
    <w:rsid w:val="005E1951"/>
    <w:rsid w:val="005E1FD0"/>
    <w:rsid w:val="005E4ABD"/>
    <w:rsid w:val="005E705B"/>
    <w:rsid w:val="005F0FBA"/>
    <w:rsid w:val="005F2A98"/>
    <w:rsid w:val="005F36B8"/>
    <w:rsid w:val="005F579D"/>
    <w:rsid w:val="005F584C"/>
    <w:rsid w:val="005F5BE7"/>
    <w:rsid w:val="005F6E80"/>
    <w:rsid w:val="005F743E"/>
    <w:rsid w:val="006108B9"/>
    <w:rsid w:val="00610F78"/>
    <w:rsid w:val="00611260"/>
    <w:rsid w:val="00613699"/>
    <w:rsid w:val="00613F39"/>
    <w:rsid w:val="00621D1E"/>
    <w:rsid w:val="00623CC9"/>
    <w:rsid w:val="006275FB"/>
    <w:rsid w:val="006310D4"/>
    <w:rsid w:val="006363D7"/>
    <w:rsid w:val="00636934"/>
    <w:rsid w:val="00636F18"/>
    <w:rsid w:val="006441CA"/>
    <w:rsid w:val="006462C2"/>
    <w:rsid w:val="0065260A"/>
    <w:rsid w:val="00652F00"/>
    <w:rsid w:val="0065444D"/>
    <w:rsid w:val="00656300"/>
    <w:rsid w:val="006568E0"/>
    <w:rsid w:val="0066584B"/>
    <w:rsid w:val="00667279"/>
    <w:rsid w:val="00670A14"/>
    <w:rsid w:val="006712B7"/>
    <w:rsid w:val="006718EA"/>
    <w:rsid w:val="006803AC"/>
    <w:rsid w:val="00682F2C"/>
    <w:rsid w:val="00687C35"/>
    <w:rsid w:val="00687E81"/>
    <w:rsid w:val="006909C8"/>
    <w:rsid w:val="0069143A"/>
    <w:rsid w:val="00692F4C"/>
    <w:rsid w:val="00694D7F"/>
    <w:rsid w:val="006A1B76"/>
    <w:rsid w:val="006A3279"/>
    <w:rsid w:val="006A42B5"/>
    <w:rsid w:val="006A59B9"/>
    <w:rsid w:val="006B1575"/>
    <w:rsid w:val="006B1A7C"/>
    <w:rsid w:val="006B301E"/>
    <w:rsid w:val="006B3BD7"/>
    <w:rsid w:val="006B5394"/>
    <w:rsid w:val="006B62C0"/>
    <w:rsid w:val="006C3D0B"/>
    <w:rsid w:val="006C3D5A"/>
    <w:rsid w:val="006D3198"/>
    <w:rsid w:val="006D5BEE"/>
    <w:rsid w:val="006E2995"/>
    <w:rsid w:val="006E5CD8"/>
    <w:rsid w:val="006E6917"/>
    <w:rsid w:val="006E7334"/>
    <w:rsid w:val="006E7C26"/>
    <w:rsid w:val="006F511A"/>
    <w:rsid w:val="0070242D"/>
    <w:rsid w:val="00707850"/>
    <w:rsid w:val="0071029F"/>
    <w:rsid w:val="0071641C"/>
    <w:rsid w:val="007174A9"/>
    <w:rsid w:val="00723B15"/>
    <w:rsid w:val="0072417D"/>
    <w:rsid w:val="007249CD"/>
    <w:rsid w:val="00731CE0"/>
    <w:rsid w:val="007321A8"/>
    <w:rsid w:val="00733C78"/>
    <w:rsid w:val="007370C0"/>
    <w:rsid w:val="00737D7C"/>
    <w:rsid w:val="00744238"/>
    <w:rsid w:val="00753B71"/>
    <w:rsid w:val="00755E34"/>
    <w:rsid w:val="00756248"/>
    <w:rsid w:val="00761934"/>
    <w:rsid w:val="00763F4D"/>
    <w:rsid w:val="00765C99"/>
    <w:rsid w:val="00766479"/>
    <w:rsid w:val="007701FC"/>
    <w:rsid w:val="00770E02"/>
    <w:rsid w:val="00773778"/>
    <w:rsid w:val="007770F4"/>
    <w:rsid w:val="007777F8"/>
    <w:rsid w:val="00782F1C"/>
    <w:rsid w:val="007853CD"/>
    <w:rsid w:val="00785760"/>
    <w:rsid w:val="007861E2"/>
    <w:rsid w:val="00787837"/>
    <w:rsid w:val="00793793"/>
    <w:rsid w:val="007A122B"/>
    <w:rsid w:val="007A2E28"/>
    <w:rsid w:val="007A56B8"/>
    <w:rsid w:val="007A5D7B"/>
    <w:rsid w:val="007A7D61"/>
    <w:rsid w:val="007B311D"/>
    <w:rsid w:val="007B3AF0"/>
    <w:rsid w:val="007C03F1"/>
    <w:rsid w:val="007C1B8A"/>
    <w:rsid w:val="007C2379"/>
    <w:rsid w:val="007C4EF7"/>
    <w:rsid w:val="007C59A4"/>
    <w:rsid w:val="007D0369"/>
    <w:rsid w:val="007D756B"/>
    <w:rsid w:val="007D7960"/>
    <w:rsid w:val="007D7EA0"/>
    <w:rsid w:val="007E1644"/>
    <w:rsid w:val="007E321B"/>
    <w:rsid w:val="007E5EA1"/>
    <w:rsid w:val="007E6E49"/>
    <w:rsid w:val="007F3C0C"/>
    <w:rsid w:val="007F504F"/>
    <w:rsid w:val="007F6456"/>
    <w:rsid w:val="008003B8"/>
    <w:rsid w:val="00801FB8"/>
    <w:rsid w:val="008049D8"/>
    <w:rsid w:val="00805600"/>
    <w:rsid w:val="00805A97"/>
    <w:rsid w:val="00805FBB"/>
    <w:rsid w:val="00815A73"/>
    <w:rsid w:val="008201D8"/>
    <w:rsid w:val="00826B16"/>
    <w:rsid w:val="00831835"/>
    <w:rsid w:val="00832B48"/>
    <w:rsid w:val="00836665"/>
    <w:rsid w:val="00836851"/>
    <w:rsid w:val="0083707A"/>
    <w:rsid w:val="00837DB3"/>
    <w:rsid w:val="00841F32"/>
    <w:rsid w:val="00843C32"/>
    <w:rsid w:val="00845903"/>
    <w:rsid w:val="00847B78"/>
    <w:rsid w:val="00851E49"/>
    <w:rsid w:val="00852A51"/>
    <w:rsid w:val="00861870"/>
    <w:rsid w:val="00862732"/>
    <w:rsid w:val="00862C68"/>
    <w:rsid w:val="00867554"/>
    <w:rsid w:val="00867C2C"/>
    <w:rsid w:val="00867D90"/>
    <w:rsid w:val="0087214A"/>
    <w:rsid w:val="00876E85"/>
    <w:rsid w:val="00880606"/>
    <w:rsid w:val="00883F89"/>
    <w:rsid w:val="008862CB"/>
    <w:rsid w:val="0088757C"/>
    <w:rsid w:val="00890EAB"/>
    <w:rsid w:val="00895847"/>
    <w:rsid w:val="00897E5E"/>
    <w:rsid w:val="00897FE6"/>
    <w:rsid w:val="008A40C1"/>
    <w:rsid w:val="008A5E93"/>
    <w:rsid w:val="008B079D"/>
    <w:rsid w:val="008B07F1"/>
    <w:rsid w:val="008B266D"/>
    <w:rsid w:val="008B4921"/>
    <w:rsid w:val="008B6279"/>
    <w:rsid w:val="008C0C24"/>
    <w:rsid w:val="008C5F3B"/>
    <w:rsid w:val="008C6BF7"/>
    <w:rsid w:val="008C7E64"/>
    <w:rsid w:val="008C7F74"/>
    <w:rsid w:val="008D04A7"/>
    <w:rsid w:val="008D2540"/>
    <w:rsid w:val="008D654E"/>
    <w:rsid w:val="008D7DE1"/>
    <w:rsid w:val="008E0431"/>
    <w:rsid w:val="008E1BF7"/>
    <w:rsid w:val="008F7419"/>
    <w:rsid w:val="008F7F80"/>
    <w:rsid w:val="00902F7E"/>
    <w:rsid w:val="00904717"/>
    <w:rsid w:val="00904966"/>
    <w:rsid w:val="00904D45"/>
    <w:rsid w:val="009056D8"/>
    <w:rsid w:val="009061E7"/>
    <w:rsid w:val="0090651F"/>
    <w:rsid w:val="009071CB"/>
    <w:rsid w:val="00910574"/>
    <w:rsid w:val="009117C3"/>
    <w:rsid w:val="00911E19"/>
    <w:rsid w:val="009122D1"/>
    <w:rsid w:val="00912653"/>
    <w:rsid w:val="00915507"/>
    <w:rsid w:val="0091565B"/>
    <w:rsid w:val="0092019E"/>
    <w:rsid w:val="0092100A"/>
    <w:rsid w:val="009239E8"/>
    <w:rsid w:val="00925DC3"/>
    <w:rsid w:val="00925E07"/>
    <w:rsid w:val="00933D9A"/>
    <w:rsid w:val="009348A8"/>
    <w:rsid w:val="00934983"/>
    <w:rsid w:val="00936969"/>
    <w:rsid w:val="009419C5"/>
    <w:rsid w:val="009503AF"/>
    <w:rsid w:val="0095183A"/>
    <w:rsid w:val="00951DB6"/>
    <w:rsid w:val="00954BE4"/>
    <w:rsid w:val="00961AF9"/>
    <w:rsid w:val="0096251B"/>
    <w:rsid w:val="009626C7"/>
    <w:rsid w:val="00965D8C"/>
    <w:rsid w:val="009703E6"/>
    <w:rsid w:val="00970F7A"/>
    <w:rsid w:val="00974F00"/>
    <w:rsid w:val="009754C9"/>
    <w:rsid w:val="009814DC"/>
    <w:rsid w:val="00981FC4"/>
    <w:rsid w:val="00982B20"/>
    <w:rsid w:val="00983C35"/>
    <w:rsid w:val="00985281"/>
    <w:rsid w:val="00986A69"/>
    <w:rsid w:val="0098742B"/>
    <w:rsid w:val="00987AD2"/>
    <w:rsid w:val="009905A0"/>
    <w:rsid w:val="00993292"/>
    <w:rsid w:val="00994ADF"/>
    <w:rsid w:val="00996535"/>
    <w:rsid w:val="009A344C"/>
    <w:rsid w:val="009A3EB3"/>
    <w:rsid w:val="009A4336"/>
    <w:rsid w:val="009B0507"/>
    <w:rsid w:val="009B3FBE"/>
    <w:rsid w:val="009B4462"/>
    <w:rsid w:val="009B4D57"/>
    <w:rsid w:val="009C1C00"/>
    <w:rsid w:val="009D07CE"/>
    <w:rsid w:val="009D16EB"/>
    <w:rsid w:val="009D24C0"/>
    <w:rsid w:val="009D301F"/>
    <w:rsid w:val="009D5F1D"/>
    <w:rsid w:val="009D6EFF"/>
    <w:rsid w:val="009D7A59"/>
    <w:rsid w:val="009E6A5F"/>
    <w:rsid w:val="009F0322"/>
    <w:rsid w:val="009F08D6"/>
    <w:rsid w:val="009F2C05"/>
    <w:rsid w:val="009F3CC0"/>
    <w:rsid w:val="00A00660"/>
    <w:rsid w:val="00A0126F"/>
    <w:rsid w:val="00A01647"/>
    <w:rsid w:val="00A05356"/>
    <w:rsid w:val="00A078C3"/>
    <w:rsid w:val="00A078EC"/>
    <w:rsid w:val="00A134B6"/>
    <w:rsid w:val="00A202FC"/>
    <w:rsid w:val="00A2288F"/>
    <w:rsid w:val="00A229DD"/>
    <w:rsid w:val="00A27A17"/>
    <w:rsid w:val="00A35E75"/>
    <w:rsid w:val="00A419DD"/>
    <w:rsid w:val="00A4326E"/>
    <w:rsid w:val="00A473D8"/>
    <w:rsid w:val="00A5197C"/>
    <w:rsid w:val="00A53FD2"/>
    <w:rsid w:val="00A55556"/>
    <w:rsid w:val="00A61126"/>
    <w:rsid w:val="00A62D3A"/>
    <w:rsid w:val="00A70CF2"/>
    <w:rsid w:val="00A75134"/>
    <w:rsid w:val="00A756AF"/>
    <w:rsid w:val="00A761F7"/>
    <w:rsid w:val="00A7643B"/>
    <w:rsid w:val="00A76869"/>
    <w:rsid w:val="00A776DF"/>
    <w:rsid w:val="00A809E8"/>
    <w:rsid w:val="00A8509A"/>
    <w:rsid w:val="00A85154"/>
    <w:rsid w:val="00A85E04"/>
    <w:rsid w:val="00A90067"/>
    <w:rsid w:val="00A94A91"/>
    <w:rsid w:val="00A94AA6"/>
    <w:rsid w:val="00A9589F"/>
    <w:rsid w:val="00AA22DE"/>
    <w:rsid w:val="00AA37AB"/>
    <w:rsid w:val="00AA5F6A"/>
    <w:rsid w:val="00AB24E1"/>
    <w:rsid w:val="00AB60B6"/>
    <w:rsid w:val="00AB6C8C"/>
    <w:rsid w:val="00AC4345"/>
    <w:rsid w:val="00AC55B4"/>
    <w:rsid w:val="00AC564C"/>
    <w:rsid w:val="00AC60C8"/>
    <w:rsid w:val="00AC68E0"/>
    <w:rsid w:val="00AD1924"/>
    <w:rsid w:val="00AD5881"/>
    <w:rsid w:val="00AD5E0B"/>
    <w:rsid w:val="00AD6541"/>
    <w:rsid w:val="00AE6CC6"/>
    <w:rsid w:val="00AF208D"/>
    <w:rsid w:val="00AF28B4"/>
    <w:rsid w:val="00AF34E4"/>
    <w:rsid w:val="00AF4037"/>
    <w:rsid w:val="00AF41ED"/>
    <w:rsid w:val="00AF74E0"/>
    <w:rsid w:val="00B03A98"/>
    <w:rsid w:val="00B07686"/>
    <w:rsid w:val="00B10349"/>
    <w:rsid w:val="00B11C90"/>
    <w:rsid w:val="00B130EA"/>
    <w:rsid w:val="00B13550"/>
    <w:rsid w:val="00B14D0E"/>
    <w:rsid w:val="00B1751F"/>
    <w:rsid w:val="00B24399"/>
    <w:rsid w:val="00B24BD0"/>
    <w:rsid w:val="00B24D7C"/>
    <w:rsid w:val="00B27B4E"/>
    <w:rsid w:val="00B3087F"/>
    <w:rsid w:val="00B30AA2"/>
    <w:rsid w:val="00B36260"/>
    <w:rsid w:val="00B40267"/>
    <w:rsid w:val="00B47E18"/>
    <w:rsid w:val="00B555F5"/>
    <w:rsid w:val="00B563B0"/>
    <w:rsid w:val="00B56C73"/>
    <w:rsid w:val="00B57AE7"/>
    <w:rsid w:val="00B61DFF"/>
    <w:rsid w:val="00B63BB9"/>
    <w:rsid w:val="00B66975"/>
    <w:rsid w:val="00B6B255"/>
    <w:rsid w:val="00B74349"/>
    <w:rsid w:val="00B74E9B"/>
    <w:rsid w:val="00B8055B"/>
    <w:rsid w:val="00B8180D"/>
    <w:rsid w:val="00B87CC7"/>
    <w:rsid w:val="00B87DE5"/>
    <w:rsid w:val="00B91D82"/>
    <w:rsid w:val="00BA61B7"/>
    <w:rsid w:val="00BA78F9"/>
    <w:rsid w:val="00BB2638"/>
    <w:rsid w:val="00BB3937"/>
    <w:rsid w:val="00BB3D85"/>
    <w:rsid w:val="00BB48A0"/>
    <w:rsid w:val="00BB4BFC"/>
    <w:rsid w:val="00BB6949"/>
    <w:rsid w:val="00BC47AA"/>
    <w:rsid w:val="00BC5BD7"/>
    <w:rsid w:val="00BD1680"/>
    <w:rsid w:val="00BD1B0F"/>
    <w:rsid w:val="00BD522C"/>
    <w:rsid w:val="00BD6B24"/>
    <w:rsid w:val="00BE0D84"/>
    <w:rsid w:val="00BE16FB"/>
    <w:rsid w:val="00BE64A4"/>
    <w:rsid w:val="00BE6CC5"/>
    <w:rsid w:val="00BF031B"/>
    <w:rsid w:val="00BF2028"/>
    <w:rsid w:val="00BF3917"/>
    <w:rsid w:val="00C035EA"/>
    <w:rsid w:val="00C03C22"/>
    <w:rsid w:val="00C03FE3"/>
    <w:rsid w:val="00C0420E"/>
    <w:rsid w:val="00C051C2"/>
    <w:rsid w:val="00C076F6"/>
    <w:rsid w:val="00C11D1C"/>
    <w:rsid w:val="00C11EBE"/>
    <w:rsid w:val="00C2072C"/>
    <w:rsid w:val="00C20986"/>
    <w:rsid w:val="00C25086"/>
    <w:rsid w:val="00C25934"/>
    <w:rsid w:val="00C2768D"/>
    <w:rsid w:val="00C3013F"/>
    <w:rsid w:val="00C31A5C"/>
    <w:rsid w:val="00C33899"/>
    <w:rsid w:val="00C35608"/>
    <w:rsid w:val="00C35F7A"/>
    <w:rsid w:val="00C367BF"/>
    <w:rsid w:val="00C409EE"/>
    <w:rsid w:val="00C412F4"/>
    <w:rsid w:val="00C52634"/>
    <w:rsid w:val="00C53B3D"/>
    <w:rsid w:val="00C53E29"/>
    <w:rsid w:val="00C55E6F"/>
    <w:rsid w:val="00C56CF5"/>
    <w:rsid w:val="00C61C0B"/>
    <w:rsid w:val="00C642D0"/>
    <w:rsid w:val="00C64974"/>
    <w:rsid w:val="00C6713D"/>
    <w:rsid w:val="00C7272C"/>
    <w:rsid w:val="00C73583"/>
    <w:rsid w:val="00C76FAE"/>
    <w:rsid w:val="00C816E3"/>
    <w:rsid w:val="00C91840"/>
    <w:rsid w:val="00C95880"/>
    <w:rsid w:val="00C95B1C"/>
    <w:rsid w:val="00C96312"/>
    <w:rsid w:val="00C979C9"/>
    <w:rsid w:val="00C97C4C"/>
    <w:rsid w:val="00CA0B35"/>
    <w:rsid w:val="00CA3D1A"/>
    <w:rsid w:val="00CB20AF"/>
    <w:rsid w:val="00CB4F90"/>
    <w:rsid w:val="00CB7135"/>
    <w:rsid w:val="00CC26AA"/>
    <w:rsid w:val="00CD319F"/>
    <w:rsid w:val="00CD4DD3"/>
    <w:rsid w:val="00CD516A"/>
    <w:rsid w:val="00CE26E3"/>
    <w:rsid w:val="00CE7A18"/>
    <w:rsid w:val="00CF0B67"/>
    <w:rsid w:val="00CF1865"/>
    <w:rsid w:val="00CF3D5E"/>
    <w:rsid w:val="00CF4CCF"/>
    <w:rsid w:val="00D029A7"/>
    <w:rsid w:val="00D06E1D"/>
    <w:rsid w:val="00D11A7C"/>
    <w:rsid w:val="00D144C3"/>
    <w:rsid w:val="00D15E2F"/>
    <w:rsid w:val="00D165D7"/>
    <w:rsid w:val="00D16CDC"/>
    <w:rsid w:val="00D17FF7"/>
    <w:rsid w:val="00D21942"/>
    <w:rsid w:val="00D2254C"/>
    <w:rsid w:val="00D247BD"/>
    <w:rsid w:val="00D2598E"/>
    <w:rsid w:val="00D25C93"/>
    <w:rsid w:val="00D43EB4"/>
    <w:rsid w:val="00D45012"/>
    <w:rsid w:val="00D4661C"/>
    <w:rsid w:val="00D468C2"/>
    <w:rsid w:val="00D50E3B"/>
    <w:rsid w:val="00D51306"/>
    <w:rsid w:val="00D52E03"/>
    <w:rsid w:val="00D54F6C"/>
    <w:rsid w:val="00D5691F"/>
    <w:rsid w:val="00D60AA2"/>
    <w:rsid w:val="00D63022"/>
    <w:rsid w:val="00D72CE2"/>
    <w:rsid w:val="00D73BC5"/>
    <w:rsid w:val="00D74207"/>
    <w:rsid w:val="00D81AF8"/>
    <w:rsid w:val="00D83F75"/>
    <w:rsid w:val="00D86A67"/>
    <w:rsid w:val="00D86E10"/>
    <w:rsid w:val="00D877A8"/>
    <w:rsid w:val="00D87E86"/>
    <w:rsid w:val="00D87FDF"/>
    <w:rsid w:val="00D95BF3"/>
    <w:rsid w:val="00DA0416"/>
    <w:rsid w:val="00DA4352"/>
    <w:rsid w:val="00DA4B26"/>
    <w:rsid w:val="00DA6899"/>
    <w:rsid w:val="00DA7F0D"/>
    <w:rsid w:val="00DB3AC1"/>
    <w:rsid w:val="00DB46DC"/>
    <w:rsid w:val="00DB5842"/>
    <w:rsid w:val="00DB6BA5"/>
    <w:rsid w:val="00DB79E4"/>
    <w:rsid w:val="00DC04C5"/>
    <w:rsid w:val="00DC05F1"/>
    <w:rsid w:val="00DC6677"/>
    <w:rsid w:val="00DC6970"/>
    <w:rsid w:val="00DD52F6"/>
    <w:rsid w:val="00DD5357"/>
    <w:rsid w:val="00DD6BD5"/>
    <w:rsid w:val="00DD7A72"/>
    <w:rsid w:val="00DE0B96"/>
    <w:rsid w:val="00DE3AF4"/>
    <w:rsid w:val="00DE5A39"/>
    <w:rsid w:val="00DE71EA"/>
    <w:rsid w:val="00DF0BF7"/>
    <w:rsid w:val="00DF4BC7"/>
    <w:rsid w:val="00DF6344"/>
    <w:rsid w:val="00E010CF"/>
    <w:rsid w:val="00E01313"/>
    <w:rsid w:val="00E01E02"/>
    <w:rsid w:val="00E037CE"/>
    <w:rsid w:val="00E041A4"/>
    <w:rsid w:val="00E06AE3"/>
    <w:rsid w:val="00E06CB7"/>
    <w:rsid w:val="00E10301"/>
    <w:rsid w:val="00E111DF"/>
    <w:rsid w:val="00E14742"/>
    <w:rsid w:val="00E21492"/>
    <w:rsid w:val="00E2433B"/>
    <w:rsid w:val="00E251E7"/>
    <w:rsid w:val="00E25992"/>
    <w:rsid w:val="00E2726B"/>
    <w:rsid w:val="00E331A5"/>
    <w:rsid w:val="00E341A4"/>
    <w:rsid w:val="00E3487B"/>
    <w:rsid w:val="00E36D1E"/>
    <w:rsid w:val="00E469A4"/>
    <w:rsid w:val="00E50016"/>
    <w:rsid w:val="00E5094D"/>
    <w:rsid w:val="00E51BDB"/>
    <w:rsid w:val="00E54E94"/>
    <w:rsid w:val="00E5567C"/>
    <w:rsid w:val="00E57E14"/>
    <w:rsid w:val="00E615B8"/>
    <w:rsid w:val="00E637C8"/>
    <w:rsid w:val="00E649C3"/>
    <w:rsid w:val="00E7074E"/>
    <w:rsid w:val="00E710C0"/>
    <w:rsid w:val="00E7457F"/>
    <w:rsid w:val="00E82B32"/>
    <w:rsid w:val="00E8416F"/>
    <w:rsid w:val="00E879F2"/>
    <w:rsid w:val="00E93116"/>
    <w:rsid w:val="00E93655"/>
    <w:rsid w:val="00E95130"/>
    <w:rsid w:val="00E95A0A"/>
    <w:rsid w:val="00EA22DE"/>
    <w:rsid w:val="00EA37A3"/>
    <w:rsid w:val="00EB0619"/>
    <w:rsid w:val="00EB67C0"/>
    <w:rsid w:val="00EB730C"/>
    <w:rsid w:val="00ED0719"/>
    <w:rsid w:val="00ED116D"/>
    <w:rsid w:val="00ED1B41"/>
    <w:rsid w:val="00ED2C39"/>
    <w:rsid w:val="00ED3C7A"/>
    <w:rsid w:val="00ED6523"/>
    <w:rsid w:val="00EE2806"/>
    <w:rsid w:val="00EE38C1"/>
    <w:rsid w:val="00EE6FEB"/>
    <w:rsid w:val="00EF1408"/>
    <w:rsid w:val="00EF1670"/>
    <w:rsid w:val="00EF3631"/>
    <w:rsid w:val="00EF49DE"/>
    <w:rsid w:val="00F01530"/>
    <w:rsid w:val="00F02820"/>
    <w:rsid w:val="00F04DC8"/>
    <w:rsid w:val="00F07A1F"/>
    <w:rsid w:val="00F07A74"/>
    <w:rsid w:val="00F07E67"/>
    <w:rsid w:val="00F13F8B"/>
    <w:rsid w:val="00F233E7"/>
    <w:rsid w:val="00F24368"/>
    <w:rsid w:val="00F30D00"/>
    <w:rsid w:val="00F335D1"/>
    <w:rsid w:val="00F34FE7"/>
    <w:rsid w:val="00F35A1B"/>
    <w:rsid w:val="00F36F94"/>
    <w:rsid w:val="00F411D2"/>
    <w:rsid w:val="00F42680"/>
    <w:rsid w:val="00F4355D"/>
    <w:rsid w:val="00F44D1A"/>
    <w:rsid w:val="00F46911"/>
    <w:rsid w:val="00F56B50"/>
    <w:rsid w:val="00F613F9"/>
    <w:rsid w:val="00F6160A"/>
    <w:rsid w:val="00F6308F"/>
    <w:rsid w:val="00F63AD7"/>
    <w:rsid w:val="00F64074"/>
    <w:rsid w:val="00F653D9"/>
    <w:rsid w:val="00F703EA"/>
    <w:rsid w:val="00F71626"/>
    <w:rsid w:val="00F72898"/>
    <w:rsid w:val="00F7412A"/>
    <w:rsid w:val="00F8595C"/>
    <w:rsid w:val="00F85F68"/>
    <w:rsid w:val="00F87915"/>
    <w:rsid w:val="00F92DE4"/>
    <w:rsid w:val="00F930D3"/>
    <w:rsid w:val="00F948A0"/>
    <w:rsid w:val="00F950FF"/>
    <w:rsid w:val="00F960C6"/>
    <w:rsid w:val="00FA2DB9"/>
    <w:rsid w:val="00FA32B2"/>
    <w:rsid w:val="00FA45AA"/>
    <w:rsid w:val="00FA45CF"/>
    <w:rsid w:val="00FA4DB0"/>
    <w:rsid w:val="00FA6712"/>
    <w:rsid w:val="00FA7343"/>
    <w:rsid w:val="00FA7604"/>
    <w:rsid w:val="00FB0443"/>
    <w:rsid w:val="00FB17D8"/>
    <w:rsid w:val="00FB1A59"/>
    <w:rsid w:val="00FC0435"/>
    <w:rsid w:val="00FC0EDB"/>
    <w:rsid w:val="00FC2152"/>
    <w:rsid w:val="00FC28C8"/>
    <w:rsid w:val="00FC2EE8"/>
    <w:rsid w:val="00FC4689"/>
    <w:rsid w:val="00FC4AAF"/>
    <w:rsid w:val="00FC5648"/>
    <w:rsid w:val="00FC640E"/>
    <w:rsid w:val="00FC75FF"/>
    <w:rsid w:val="00FD0429"/>
    <w:rsid w:val="00FD22E1"/>
    <w:rsid w:val="00FD2443"/>
    <w:rsid w:val="00FD7892"/>
    <w:rsid w:val="00FE3614"/>
    <w:rsid w:val="00FE655F"/>
    <w:rsid w:val="00FE6F7F"/>
    <w:rsid w:val="00FE76BE"/>
    <w:rsid w:val="00FF03B3"/>
    <w:rsid w:val="00FF1FB8"/>
    <w:rsid w:val="00FF5F60"/>
    <w:rsid w:val="00FF60B3"/>
    <w:rsid w:val="00FF6E4E"/>
    <w:rsid w:val="00FF7E91"/>
    <w:rsid w:val="01D39FFB"/>
    <w:rsid w:val="01F94106"/>
    <w:rsid w:val="03099E0A"/>
    <w:rsid w:val="03A435E8"/>
    <w:rsid w:val="03AAABDB"/>
    <w:rsid w:val="0428F688"/>
    <w:rsid w:val="061075B4"/>
    <w:rsid w:val="06A7CED8"/>
    <w:rsid w:val="077BC25B"/>
    <w:rsid w:val="083BAF07"/>
    <w:rsid w:val="086F0088"/>
    <w:rsid w:val="090B9FCD"/>
    <w:rsid w:val="091C43AF"/>
    <w:rsid w:val="09781D89"/>
    <w:rsid w:val="09E8186F"/>
    <w:rsid w:val="09EB352D"/>
    <w:rsid w:val="0CCA9B7C"/>
    <w:rsid w:val="0DBA7A88"/>
    <w:rsid w:val="0DD5ADC5"/>
    <w:rsid w:val="0DFC59AD"/>
    <w:rsid w:val="0E12F894"/>
    <w:rsid w:val="0E4E3300"/>
    <w:rsid w:val="0E6DD769"/>
    <w:rsid w:val="0F86CFA3"/>
    <w:rsid w:val="11E4CD74"/>
    <w:rsid w:val="134567C2"/>
    <w:rsid w:val="13D6B5F5"/>
    <w:rsid w:val="140CE06D"/>
    <w:rsid w:val="1479042B"/>
    <w:rsid w:val="15420237"/>
    <w:rsid w:val="1546B5F5"/>
    <w:rsid w:val="1596214C"/>
    <w:rsid w:val="15CF2EC5"/>
    <w:rsid w:val="17D70BB2"/>
    <w:rsid w:val="1816B239"/>
    <w:rsid w:val="182E3252"/>
    <w:rsid w:val="18ADE452"/>
    <w:rsid w:val="1966B2A6"/>
    <w:rsid w:val="1D3463F2"/>
    <w:rsid w:val="1DD8E98F"/>
    <w:rsid w:val="1E868F9C"/>
    <w:rsid w:val="1F74B080"/>
    <w:rsid w:val="1FACBF5B"/>
    <w:rsid w:val="1FBC4E90"/>
    <w:rsid w:val="20213D26"/>
    <w:rsid w:val="206C04B4"/>
    <w:rsid w:val="20DAC1C1"/>
    <w:rsid w:val="21949089"/>
    <w:rsid w:val="2260EC6E"/>
    <w:rsid w:val="22721450"/>
    <w:rsid w:val="2280F360"/>
    <w:rsid w:val="23A5AFC7"/>
    <w:rsid w:val="23CC35F0"/>
    <w:rsid w:val="23E876EE"/>
    <w:rsid w:val="259A18E2"/>
    <w:rsid w:val="26E68194"/>
    <w:rsid w:val="26F10DCA"/>
    <w:rsid w:val="27688877"/>
    <w:rsid w:val="27A6616B"/>
    <w:rsid w:val="285BCB56"/>
    <w:rsid w:val="289D4196"/>
    <w:rsid w:val="28C6BEB5"/>
    <w:rsid w:val="28E5D3A6"/>
    <w:rsid w:val="294B490F"/>
    <w:rsid w:val="297296ED"/>
    <w:rsid w:val="2989A203"/>
    <w:rsid w:val="2AD98C61"/>
    <w:rsid w:val="2AED8190"/>
    <w:rsid w:val="2B9806BB"/>
    <w:rsid w:val="2C34D1FF"/>
    <w:rsid w:val="2E218D05"/>
    <w:rsid w:val="2E43A81D"/>
    <w:rsid w:val="2E7BB39C"/>
    <w:rsid w:val="2ED3DC75"/>
    <w:rsid w:val="2F33DE9E"/>
    <w:rsid w:val="2F4D4F0D"/>
    <w:rsid w:val="2F683598"/>
    <w:rsid w:val="304E14B3"/>
    <w:rsid w:val="30EF9C98"/>
    <w:rsid w:val="3102ECA3"/>
    <w:rsid w:val="31601CB1"/>
    <w:rsid w:val="3169E65F"/>
    <w:rsid w:val="31B527CE"/>
    <w:rsid w:val="31E4A87E"/>
    <w:rsid w:val="31F137E3"/>
    <w:rsid w:val="327C6A08"/>
    <w:rsid w:val="32EB225D"/>
    <w:rsid w:val="3372DFAE"/>
    <w:rsid w:val="33EC5643"/>
    <w:rsid w:val="3507A61D"/>
    <w:rsid w:val="358C1960"/>
    <w:rsid w:val="36B5D5D8"/>
    <w:rsid w:val="36C2CFDE"/>
    <w:rsid w:val="370D0860"/>
    <w:rsid w:val="3797B75B"/>
    <w:rsid w:val="37C6B315"/>
    <w:rsid w:val="3A52F505"/>
    <w:rsid w:val="3A6EAF98"/>
    <w:rsid w:val="3BEE6B1D"/>
    <w:rsid w:val="3D64A290"/>
    <w:rsid w:val="3D82D95A"/>
    <w:rsid w:val="3DC0AC73"/>
    <w:rsid w:val="3E8F1FB0"/>
    <w:rsid w:val="406928A5"/>
    <w:rsid w:val="40D7D7A8"/>
    <w:rsid w:val="4119EB80"/>
    <w:rsid w:val="41576061"/>
    <w:rsid w:val="42EEE22A"/>
    <w:rsid w:val="43ED2D42"/>
    <w:rsid w:val="44365C78"/>
    <w:rsid w:val="45C93FA1"/>
    <w:rsid w:val="46A716AE"/>
    <w:rsid w:val="46E72E2B"/>
    <w:rsid w:val="480287E2"/>
    <w:rsid w:val="4808DE5F"/>
    <w:rsid w:val="49628F58"/>
    <w:rsid w:val="498250FC"/>
    <w:rsid w:val="4A54FE0C"/>
    <w:rsid w:val="4A589359"/>
    <w:rsid w:val="4C319BF1"/>
    <w:rsid w:val="4C388125"/>
    <w:rsid w:val="4CA0C961"/>
    <w:rsid w:val="4D437107"/>
    <w:rsid w:val="4D4B5615"/>
    <w:rsid w:val="4D90341B"/>
    <w:rsid w:val="4DEF3772"/>
    <w:rsid w:val="4EE4A5B4"/>
    <w:rsid w:val="4FBE9F7F"/>
    <w:rsid w:val="4FFFA0EC"/>
    <w:rsid w:val="50489559"/>
    <w:rsid w:val="506B5B54"/>
    <w:rsid w:val="50C7D4DD"/>
    <w:rsid w:val="50EE0BC6"/>
    <w:rsid w:val="5107E8EB"/>
    <w:rsid w:val="510BF248"/>
    <w:rsid w:val="51B8F5E2"/>
    <w:rsid w:val="52179D9C"/>
    <w:rsid w:val="5293B8FF"/>
    <w:rsid w:val="52E6E757"/>
    <w:rsid w:val="53168684"/>
    <w:rsid w:val="532EC071"/>
    <w:rsid w:val="533EB185"/>
    <w:rsid w:val="54DA00FA"/>
    <w:rsid w:val="55125E8D"/>
    <w:rsid w:val="55398DE2"/>
    <w:rsid w:val="560ED49D"/>
    <w:rsid w:val="563F6DE6"/>
    <w:rsid w:val="57311A3D"/>
    <w:rsid w:val="589B6E8A"/>
    <w:rsid w:val="59016BE7"/>
    <w:rsid w:val="591B2AE6"/>
    <w:rsid w:val="59B6943E"/>
    <w:rsid w:val="5A0E1DCC"/>
    <w:rsid w:val="5A2A51A0"/>
    <w:rsid w:val="5A423505"/>
    <w:rsid w:val="5A63CB76"/>
    <w:rsid w:val="5A76A4A9"/>
    <w:rsid w:val="5B236D5D"/>
    <w:rsid w:val="5BAA005F"/>
    <w:rsid w:val="5D07F1F8"/>
    <w:rsid w:val="5D4267E2"/>
    <w:rsid w:val="5E97F7F2"/>
    <w:rsid w:val="5F1BED21"/>
    <w:rsid w:val="605906E7"/>
    <w:rsid w:val="61098638"/>
    <w:rsid w:val="615BB322"/>
    <w:rsid w:val="61B0B240"/>
    <w:rsid w:val="61B279DB"/>
    <w:rsid w:val="62149196"/>
    <w:rsid w:val="62D9D0C2"/>
    <w:rsid w:val="62E67022"/>
    <w:rsid w:val="63988109"/>
    <w:rsid w:val="6419F1A2"/>
    <w:rsid w:val="64320044"/>
    <w:rsid w:val="6475EC0D"/>
    <w:rsid w:val="64E42BB9"/>
    <w:rsid w:val="659F7DDE"/>
    <w:rsid w:val="6618062F"/>
    <w:rsid w:val="662D735F"/>
    <w:rsid w:val="663AFB29"/>
    <w:rsid w:val="66723FF3"/>
    <w:rsid w:val="66C502EB"/>
    <w:rsid w:val="66F41098"/>
    <w:rsid w:val="673BFF54"/>
    <w:rsid w:val="68F991A1"/>
    <w:rsid w:val="68FE766B"/>
    <w:rsid w:val="6999F128"/>
    <w:rsid w:val="6A1FD7AE"/>
    <w:rsid w:val="6A821FDC"/>
    <w:rsid w:val="6A8C6370"/>
    <w:rsid w:val="6B7CF619"/>
    <w:rsid w:val="6B989471"/>
    <w:rsid w:val="6B9F597D"/>
    <w:rsid w:val="6C0F7077"/>
    <w:rsid w:val="6C1B170D"/>
    <w:rsid w:val="6C2833D1"/>
    <w:rsid w:val="6CE9DB28"/>
    <w:rsid w:val="6FC96640"/>
    <w:rsid w:val="70DE3F21"/>
    <w:rsid w:val="70EAB09B"/>
    <w:rsid w:val="71D8134A"/>
    <w:rsid w:val="71E4F420"/>
    <w:rsid w:val="726D5C87"/>
    <w:rsid w:val="72BEE4AD"/>
    <w:rsid w:val="7356BBC9"/>
    <w:rsid w:val="746319AE"/>
    <w:rsid w:val="74893F69"/>
    <w:rsid w:val="7533EE00"/>
    <w:rsid w:val="7587CC47"/>
    <w:rsid w:val="760214FE"/>
    <w:rsid w:val="76C1EB0D"/>
    <w:rsid w:val="77F829A4"/>
    <w:rsid w:val="7898CABF"/>
    <w:rsid w:val="7903CC5B"/>
    <w:rsid w:val="791AC527"/>
    <w:rsid w:val="7922F870"/>
    <w:rsid w:val="7976D900"/>
    <w:rsid w:val="7A7428EC"/>
    <w:rsid w:val="7AEF9F01"/>
    <w:rsid w:val="7B08BAAE"/>
    <w:rsid w:val="7DA98B6D"/>
    <w:rsid w:val="7E61AFDA"/>
    <w:rsid w:val="7F789503"/>
    <w:rsid w:val="7FCBF2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01E19"/>
  <w15:chartTrackingRefBased/>
  <w15:docId w15:val="{9C0F6A5B-222E-4EA1-88BC-13579E2B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74207"/>
    <w:rPr>
      <w:color w:val="0563C1" w:themeColor="hyperlink"/>
      <w:u w:val="single"/>
    </w:rPr>
  </w:style>
  <w:style w:type="character" w:styleId="Nierozpoznanawzmianka">
    <w:name w:val="Unresolved Mention"/>
    <w:basedOn w:val="Domylnaczcionkaakapitu"/>
    <w:uiPriority w:val="99"/>
    <w:semiHidden/>
    <w:unhideWhenUsed/>
    <w:rsid w:val="00D74207"/>
    <w:rPr>
      <w:color w:val="605E5C"/>
      <w:shd w:val="clear" w:color="auto" w:fill="E1DFDD"/>
    </w:rPr>
  </w:style>
  <w:style w:type="paragraph" w:styleId="Nagwek">
    <w:name w:val="header"/>
    <w:basedOn w:val="Normalny"/>
    <w:link w:val="NagwekZnak"/>
    <w:uiPriority w:val="99"/>
    <w:unhideWhenUsed/>
    <w:rsid w:val="005827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273F"/>
  </w:style>
  <w:style w:type="paragraph" w:styleId="Stopka">
    <w:name w:val="footer"/>
    <w:basedOn w:val="Normalny"/>
    <w:link w:val="StopkaZnak"/>
    <w:uiPriority w:val="99"/>
    <w:unhideWhenUsed/>
    <w:rsid w:val="005827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273F"/>
  </w:style>
  <w:style w:type="paragraph" w:styleId="Akapitzlist">
    <w:name w:val="List Paragraph"/>
    <w:basedOn w:val="Normalny"/>
    <w:uiPriority w:val="34"/>
    <w:qFormat/>
    <w:rsid w:val="00897E5E"/>
    <w:pPr>
      <w:ind w:left="720"/>
      <w:contextualSpacing/>
    </w:pPr>
  </w:style>
  <w:style w:type="paragraph" w:styleId="Tekstprzypisukocowego">
    <w:name w:val="endnote text"/>
    <w:basedOn w:val="Normalny"/>
    <w:link w:val="TekstprzypisukocowegoZnak"/>
    <w:uiPriority w:val="99"/>
    <w:semiHidden/>
    <w:unhideWhenUsed/>
    <w:rsid w:val="00A0164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01647"/>
    <w:rPr>
      <w:sz w:val="20"/>
      <w:szCs w:val="20"/>
    </w:rPr>
  </w:style>
  <w:style w:type="character" w:styleId="Odwoanieprzypisukocowego">
    <w:name w:val="endnote reference"/>
    <w:basedOn w:val="Domylnaczcionkaakapitu"/>
    <w:uiPriority w:val="99"/>
    <w:semiHidden/>
    <w:unhideWhenUsed/>
    <w:rsid w:val="00A01647"/>
    <w:rPr>
      <w:vertAlign w:val="superscript"/>
    </w:rPr>
  </w:style>
  <w:style w:type="character" w:styleId="Odwoaniedokomentarza">
    <w:name w:val="annotation reference"/>
    <w:basedOn w:val="Domylnaczcionkaakapitu"/>
    <w:uiPriority w:val="99"/>
    <w:semiHidden/>
    <w:unhideWhenUsed/>
    <w:rsid w:val="00C412F4"/>
    <w:rPr>
      <w:sz w:val="16"/>
      <w:szCs w:val="16"/>
    </w:rPr>
  </w:style>
  <w:style w:type="paragraph" w:styleId="Tekstkomentarza">
    <w:name w:val="annotation text"/>
    <w:basedOn w:val="Normalny"/>
    <w:link w:val="TekstkomentarzaZnak"/>
    <w:uiPriority w:val="99"/>
    <w:unhideWhenUsed/>
    <w:rsid w:val="00C412F4"/>
    <w:pPr>
      <w:spacing w:line="240" w:lineRule="auto"/>
    </w:pPr>
    <w:rPr>
      <w:sz w:val="20"/>
      <w:szCs w:val="20"/>
    </w:rPr>
  </w:style>
  <w:style w:type="character" w:customStyle="1" w:styleId="TekstkomentarzaZnak">
    <w:name w:val="Tekst komentarza Znak"/>
    <w:basedOn w:val="Domylnaczcionkaakapitu"/>
    <w:link w:val="Tekstkomentarza"/>
    <w:uiPriority w:val="99"/>
    <w:rsid w:val="00C412F4"/>
    <w:rPr>
      <w:sz w:val="20"/>
      <w:szCs w:val="20"/>
    </w:rPr>
  </w:style>
  <w:style w:type="paragraph" w:styleId="Tematkomentarza">
    <w:name w:val="annotation subject"/>
    <w:basedOn w:val="Tekstkomentarza"/>
    <w:next w:val="Tekstkomentarza"/>
    <w:link w:val="TematkomentarzaZnak"/>
    <w:uiPriority w:val="99"/>
    <w:semiHidden/>
    <w:unhideWhenUsed/>
    <w:rsid w:val="00C412F4"/>
    <w:rPr>
      <w:b/>
      <w:bCs/>
    </w:rPr>
  </w:style>
  <w:style w:type="character" w:customStyle="1" w:styleId="TematkomentarzaZnak">
    <w:name w:val="Temat komentarza Znak"/>
    <w:basedOn w:val="TekstkomentarzaZnak"/>
    <w:link w:val="Tematkomentarza"/>
    <w:uiPriority w:val="99"/>
    <w:semiHidden/>
    <w:rsid w:val="00C412F4"/>
    <w:rPr>
      <w:b/>
      <w:bCs/>
      <w:sz w:val="20"/>
      <w:szCs w:val="20"/>
    </w:rPr>
  </w:style>
  <w:style w:type="character" w:styleId="Wzmianka">
    <w:name w:val="Mention"/>
    <w:basedOn w:val="Domylnaczcionkaakapitu"/>
    <w:uiPriority w:val="99"/>
    <w:unhideWhenUsed/>
    <w:rPr>
      <w:color w:val="2B579A"/>
      <w:shd w:val="clear" w:color="auto" w:fill="E6E6E6"/>
    </w:rPr>
  </w:style>
  <w:style w:type="paragraph" w:styleId="Tekstprzypisudolnego">
    <w:name w:val="footnote text"/>
    <w:basedOn w:val="Normalny"/>
    <w:link w:val="TekstprzypisudolnegoZnak"/>
    <w:uiPriority w:val="99"/>
    <w:semiHidden/>
    <w:unhideWhenUsed/>
    <w:rsid w:val="00D569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691F"/>
    <w:rPr>
      <w:sz w:val="20"/>
      <w:szCs w:val="20"/>
    </w:rPr>
  </w:style>
  <w:style w:type="character" w:styleId="Odwoanieprzypisudolnego">
    <w:name w:val="footnote reference"/>
    <w:basedOn w:val="Domylnaczcionkaakapitu"/>
    <w:uiPriority w:val="99"/>
    <w:semiHidden/>
    <w:unhideWhenUsed/>
    <w:rsid w:val="00D5691F"/>
    <w:rPr>
      <w:vertAlign w:val="superscript"/>
    </w:rPr>
  </w:style>
  <w:style w:type="character" w:styleId="Pogrubienie">
    <w:name w:val="Strong"/>
    <w:basedOn w:val="Domylnaczcionkaakapitu"/>
    <w:uiPriority w:val="22"/>
    <w:qFormat/>
    <w:rsid w:val="00DE71EA"/>
    <w:rPr>
      <w:b/>
      <w:bCs/>
    </w:rPr>
  </w:style>
  <w:style w:type="character" w:customStyle="1" w:styleId="normaltextrun">
    <w:name w:val="normaltextrun"/>
    <w:basedOn w:val="Domylnaczcionkaakapitu"/>
    <w:rsid w:val="002425FB"/>
  </w:style>
  <w:style w:type="character" w:customStyle="1" w:styleId="eop">
    <w:name w:val="eop"/>
    <w:basedOn w:val="Domylnaczcionkaakapitu"/>
    <w:rsid w:val="002425FB"/>
  </w:style>
  <w:style w:type="paragraph" w:styleId="NormalnyWeb">
    <w:name w:val="Normal (Web)"/>
    <w:basedOn w:val="Normalny"/>
    <w:uiPriority w:val="99"/>
    <w:unhideWhenUsed/>
    <w:rsid w:val="00AD588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C2072C"/>
    <w:rPr>
      <w:color w:val="954F72" w:themeColor="followedHyperlink"/>
      <w:u w:val="single"/>
    </w:rPr>
  </w:style>
  <w:style w:type="paragraph" w:styleId="Poprawka">
    <w:name w:val="Revision"/>
    <w:hidden/>
    <w:uiPriority w:val="99"/>
    <w:semiHidden/>
    <w:rsid w:val="007024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248">
      <w:bodyDiv w:val="1"/>
      <w:marLeft w:val="0"/>
      <w:marRight w:val="0"/>
      <w:marTop w:val="0"/>
      <w:marBottom w:val="0"/>
      <w:divBdr>
        <w:top w:val="none" w:sz="0" w:space="0" w:color="auto"/>
        <w:left w:val="none" w:sz="0" w:space="0" w:color="auto"/>
        <w:bottom w:val="none" w:sz="0" w:space="0" w:color="auto"/>
        <w:right w:val="none" w:sz="0" w:space="0" w:color="auto"/>
      </w:divBdr>
    </w:div>
    <w:div w:id="473573097">
      <w:bodyDiv w:val="1"/>
      <w:marLeft w:val="0"/>
      <w:marRight w:val="0"/>
      <w:marTop w:val="0"/>
      <w:marBottom w:val="0"/>
      <w:divBdr>
        <w:top w:val="none" w:sz="0" w:space="0" w:color="auto"/>
        <w:left w:val="none" w:sz="0" w:space="0" w:color="auto"/>
        <w:bottom w:val="none" w:sz="0" w:space="0" w:color="auto"/>
        <w:right w:val="none" w:sz="0" w:space="0" w:color="auto"/>
      </w:divBdr>
    </w:div>
    <w:div w:id="721908804">
      <w:bodyDiv w:val="1"/>
      <w:marLeft w:val="0"/>
      <w:marRight w:val="0"/>
      <w:marTop w:val="0"/>
      <w:marBottom w:val="0"/>
      <w:divBdr>
        <w:top w:val="none" w:sz="0" w:space="0" w:color="auto"/>
        <w:left w:val="none" w:sz="0" w:space="0" w:color="auto"/>
        <w:bottom w:val="none" w:sz="0" w:space="0" w:color="auto"/>
        <w:right w:val="none" w:sz="0" w:space="0" w:color="auto"/>
      </w:divBdr>
    </w:div>
    <w:div w:id="938371185">
      <w:bodyDiv w:val="1"/>
      <w:marLeft w:val="0"/>
      <w:marRight w:val="0"/>
      <w:marTop w:val="0"/>
      <w:marBottom w:val="0"/>
      <w:divBdr>
        <w:top w:val="none" w:sz="0" w:space="0" w:color="auto"/>
        <w:left w:val="none" w:sz="0" w:space="0" w:color="auto"/>
        <w:bottom w:val="none" w:sz="0" w:space="0" w:color="auto"/>
        <w:right w:val="none" w:sz="0" w:space="0" w:color="auto"/>
      </w:divBdr>
    </w:div>
    <w:div w:id="941450235">
      <w:bodyDiv w:val="1"/>
      <w:marLeft w:val="0"/>
      <w:marRight w:val="0"/>
      <w:marTop w:val="0"/>
      <w:marBottom w:val="0"/>
      <w:divBdr>
        <w:top w:val="none" w:sz="0" w:space="0" w:color="auto"/>
        <w:left w:val="none" w:sz="0" w:space="0" w:color="auto"/>
        <w:bottom w:val="none" w:sz="0" w:space="0" w:color="auto"/>
        <w:right w:val="none" w:sz="0" w:space="0" w:color="auto"/>
      </w:divBdr>
    </w:div>
    <w:div w:id="948388371">
      <w:bodyDiv w:val="1"/>
      <w:marLeft w:val="0"/>
      <w:marRight w:val="0"/>
      <w:marTop w:val="0"/>
      <w:marBottom w:val="0"/>
      <w:divBdr>
        <w:top w:val="none" w:sz="0" w:space="0" w:color="auto"/>
        <w:left w:val="none" w:sz="0" w:space="0" w:color="auto"/>
        <w:bottom w:val="none" w:sz="0" w:space="0" w:color="auto"/>
        <w:right w:val="none" w:sz="0" w:space="0" w:color="auto"/>
      </w:divBdr>
    </w:div>
    <w:div w:id="1127773687">
      <w:bodyDiv w:val="1"/>
      <w:marLeft w:val="0"/>
      <w:marRight w:val="0"/>
      <w:marTop w:val="0"/>
      <w:marBottom w:val="0"/>
      <w:divBdr>
        <w:top w:val="none" w:sz="0" w:space="0" w:color="auto"/>
        <w:left w:val="none" w:sz="0" w:space="0" w:color="auto"/>
        <w:bottom w:val="none" w:sz="0" w:space="0" w:color="auto"/>
        <w:right w:val="none" w:sz="0" w:space="0" w:color="auto"/>
      </w:divBdr>
    </w:div>
    <w:div w:id="1238592605">
      <w:bodyDiv w:val="1"/>
      <w:marLeft w:val="0"/>
      <w:marRight w:val="0"/>
      <w:marTop w:val="0"/>
      <w:marBottom w:val="0"/>
      <w:divBdr>
        <w:top w:val="none" w:sz="0" w:space="0" w:color="auto"/>
        <w:left w:val="none" w:sz="0" w:space="0" w:color="auto"/>
        <w:bottom w:val="none" w:sz="0" w:space="0" w:color="auto"/>
        <w:right w:val="none" w:sz="0" w:space="0" w:color="auto"/>
      </w:divBdr>
    </w:div>
    <w:div w:id="1343507262">
      <w:bodyDiv w:val="1"/>
      <w:marLeft w:val="0"/>
      <w:marRight w:val="0"/>
      <w:marTop w:val="0"/>
      <w:marBottom w:val="0"/>
      <w:divBdr>
        <w:top w:val="none" w:sz="0" w:space="0" w:color="auto"/>
        <w:left w:val="none" w:sz="0" w:space="0" w:color="auto"/>
        <w:bottom w:val="none" w:sz="0" w:space="0" w:color="auto"/>
        <w:right w:val="none" w:sz="0" w:space="0" w:color="auto"/>
      </w:divBdr>
    </w:div>
    <w:div w:id="1396930766">
      <w:bodyDiv w:val="1"/>
      <w:marLeft w:val="0"/>
      <w:marRight w:val="0"/>
      <w:marTop w:val="0"/>
      <w:marBottom w:val="0"/>
      <w:divBdr>
        <w:top w:val="none" w:sz="0" w:space="0" w:color="auto"/>
        <w:left w:val="none" w:sz="0" w:space="0" w:color="auto"/>
        <w:bottom w:val="none" w:sz="0" w:space="0" w:color="auto"/>
        <w:right w:val="none" w:sz="0" w:space="0" w:color="auto"/>
      </w:divBdr>
    </w:div>
    <w:div w:id="1566602571">
      <w:bodyDiv w:val="1"/>
      <w:marLeft w:val="0"/>
      <w:marRight w:val="0"/>
      <w:marTop w:val="0"/>
      <w:marBottom w:val="0"/>
      <w:divBdr>
        <w:top w:val="none" w:sz="0" w:space="0" w:color="auto"/>
        <w:left w:val="none" w:sz="0" w:space="0" w:color="auto"/>
        <w:bottom w:val="none" w:sz="0" w:space="0" w:color="auto"/>
        <w:right w:val="none" w:sz="0" w:space="0" w:color="auto"/>
      </w:divBdr>
    </w:div>
    <w:div w:id="1886989307">
      <w:bodyDiv w:val="1"/>
      <w:marLeft w:val="0"/>
      <w:marRight w:val="0"/>
      <w:marTop w:val="0"/>
      <w:marBottom w:val="0"/>
      <w:divBdr>
        <w:top w:val="none" w:sz="0" w:space="0" w:color="auto"/>
        <w:left w:val="none" w:sz="0" w:space="0" w:color="auto"/>
        <w:bottom w:val="none" w:sz="0" w:space="0" w:color="auto"/>
        <w:right w:val="none" w:sz="0" w:space="0" w:color="auto"/>
      </w:divBdr>
    </w:div>
    <w:div w:id="19974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50BC8D4B-4644-4A57-A6C8-09A28153A869}">
    <t:Anchor>
      <t:Comment id="1721079256"/>
    </t:Anchor>
    <t:History>
      <t:Event id="{A0CA7355-C2E1-456D-9F3F-5008FB1635BD}" time="2023-02-24T07:54:51.594Z">
        <t:Attribution userId="S::pko@hrk.eu::ad8c6e57-f620-4717-ba6a-2d9c28465a4d" userProvider="AD" userName="Paulina Kowalcze"/>
        <t:Anchor>
          <t:Comment id="1721079256"/>
        </t:Anchor>
        <t:Create/>
      </t:Event>
      <t:Event id="{1936045E-EAB6-4477-B929-DF5544B5A209}" time="2023-02-24T07:54:51.594Z">
        <t:Attribution userId="S::pko@hrk.eu::ad8c6e57-f620-4717-ba6a-2d9c28465a4d" userProvider="AD" userName="Paulina Kowalcze"/>
        <t:Anchor>
          <t:Comment id="1721079256"/>
        </t:Anchor>
        <t:Assign userId="S::mwt@hrk.eu::6ed4c22d-53e2-49dc-9952-7a173d68319c" userProvider="AD" userName="Monika Witoń"/>
      </t:Event>
      <t:Event id="{5C74079C-1C05-45F3-B200-46B45D891FF4}" time="2023-02-24T07:54:51.594Z">
        <t:Attribution userId="S::pko@hrk.eu::ad8c6e57-f620-4717-ba6a-2d9c28465a4d" userProvider="AD" userName="Paulina Kowalcze"/>
        <t:Anchor>
          <t:Comment id="1721079256"/>
        </t:Anchor>
        <t:SetTitle title="@Monika Witoń branży hotelarskiej?"/>
      </t:Event>
      <t:Event id="{AABF78AF-2240-4F6B-800D-5736846621D9}" time="2023-02-24T09:06:41.401Z">
        <t:Attribution userId="S::pko@hrk.eu::ad8c6e57-f620-4717-ba6a-2d9c28465a4d" userProvider="AD" userName="Paulina Kowalcze"/>
        <t:Progress percentComplete="100"/>
      </t:Event>
    </t:History>
  </t:Task>
</t:Task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9A973C06A5B9C40AF73525BEEFB8D32" ma:contentTypeVersion="15" ma:contentTypeDescription="Utwórz nowy dokument." ma:contentTypeScope="" ma:versionID="dfee03bb0586ee2cc1daf1066e71febc">
  <xsd:schema xmlns:xsd="http://www.w3.org/2001/XMLSchema" xmlns:xs="http://www.w3.org/2001/XMLSchema" xmlns:p="http://schemas.microsoft.com/office/2006/metadata/properties" xmlns:ns2="1b744fde-6b8e-4aaf-ac5d-70cf94f3c568" xmlns:ns3="0429080d-b3bc-49c9-a395-854fa03bcd6b" targetNamespace="http://schemas.microsoft.com/office/2006/metadata/properties" ma:root="true" ma:fieldsID="c6b55c61cb440e017a036c34bcf6c257" ns2:_="" ns3:_="">
    <xsd:import namespace="1b744fde-6b8e-4aaf-ac5d-70cf94f3c568"/>
    <xsd:import namespace="0429080d-b3bc-49c9-a395-854fa03bcd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44fde-6b8e-4aaf-ac5d-70cf94f3c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69e1250f-54b9-4c2a-9752-132318b71c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9080d-b3bc-49c9-a395-854fa03bcd6b" elementFormDefault="qualified">
    <xsd:import namespace="http://schemas.microsoft.com/office/2006/documentManagement/types"/>
    <xsd:import namespace="http://schemas.microsoft.com/office/infopath/2007/PartnerControls"/>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744fde-6b8e-4aaf-ac5d-70cf94f3c5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F8F2C8-F671-461C-B0FC-F0155F804EF5}">
  <ds:schemaRefs>
    <ds:schemaRef ds:uri="http://schemas.microsoft.com/sharepoint/v3/contenttype/forms"/>
  </ds:schemaRefs>
</ds:datastoreItem>
</file>

<file path=customXml/itemProps2.xml><?xml version="1.0" encoding="utf-8"?>
<ds:datastoreItem xmlns:ds="http://schemas.openxmlformats.org/officeDocument/2006/customXml" ds:itemID="{A7DB0A87-5188-4573-8E79-F78453D24D80}">
  <ds:schemaRefs>
    <ds:schemaRef ds:uri="http://schemas.openxmlformats.org/officeDocument/2006/bibliography"/>
  </ds:schemaRefs>
</ds:datastoreItem>
</file>

<file path=customXml/itemProps3.xml><?xml version="1.0" encoding="utf-8"?>
<ds:datastoreItem xmlns:ds="http://schemas.openxmlformats.org/officeDocument/2006/customXml" ds:itemID="{3F8EE5A4-BC86-4C4B-A690-F9F25CC1B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44fde-6b8e-4aaf-ac5d-70cf94f3c568"/>
    <ds:schemaRef ds:uri="0429080d-b3bc-49c9-a395-854fa03bc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EFD703-9C7C-491A-B572-5280CBEE2F29}">
  <ds:schemaRefs>
    <ds:schemaRef ds:uri="http://schemas.microsoft.com/office/2006/metadata/properties"/>
    <ds:schemaRef ds:uri="http://schemas.microsoft.com/office/infopath/2007/PartnerControls"/>
    <ds:schemaRef ds:uri="1b744fde-6b8e-4aaf-ac5d-70cf94f3c568"/>
  </ds:schemaRefs>
</ds:datastoreItem>
</file>

<file path=docMetadata/LabelInfo.xml><?xml version="1.0" encoding="utf-8"?>
<clbl:labelList xmlns:clbl="http://schemas.microsoft.com/office/2020/mipLabelMetadata">
  <clbl:label id="{a92d0f79-e67b-490d-bcef-63610855298c}" enabled="0" method="" siteId="{a92d0f79-e67b-490d-bcef-63610855298c}" removed="1"/>
</clbl:labelList>
</file>

<file path=docProps/app.xml><?xml version="1.0" encoding="utf-8"?>
<Properties xmlns="http://schemas.openxmlformats.org/officeDocument/2006/extended-properties" xmlns:vt="http://schemas.openxmlformats.org/officeDocument/2006/docPropsVTypes">
  <Template>Normal</Template>
  <TotalTime>273</TotalTime>
  <Pages>6</Pages>
  <Words>1954</Words>
  <Characters>12509</Characters>
  <Application>Microsoft Office Word</Application>
  <DocSecurity>0</DocSecurity>
  <Lines>305</Lines>
  <Paragraphs>178</Paragraphs>
  <ScaleCrop>false</ScaleCrop>
  <Company/>
  <LinksUpToDate>false</LinksUpToDate>
  <CharactersWithSpaces>14285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Witoń</dc:creator>
  <cp:keywords/>
  <dc:description/>
  <cp:lastModifiedBy>Paula Kowalcze</cp:lastModifiedBy>
  <cp:revision>431</cp:revision>
  <cp:lastPrinted>2023-02-22T11:30:00Z</cp:lastPrinted>
  <dcterms:created xsi:type="dcterms:W3CDTF">2023-06-15T12:43:00Z</dcterms:created>
  <dcterms:modified xsi:type="dcterms:W3CDTF">2026-10-26T19:10:00Z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0x01010059A973C06A5B9C40AF73525BEEFB8D32</vt:lpwstr>
  </property>
  <property fmtid="{D5CDD505-2E9C-101B-9397-08002B2CF9AE}" pid="3" name="MediaServiceImageTags">
    <vt:lpwstr/>
  </property>
</Properties>
</file>