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72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</w:t>
        <w:tab/>
        <w:tab/>
        <w:tab/>
        <w:tab/>
        <w:tab/>
        <w:tab/>
        <w:tab/>
        <w:tab/>
        <w:t xml:space="preserve">           Warszawa 23.10.2026 r.</w:t>
      </w:r>
    </w:p>
    <w:p w:rsidR="00000000" w:rsidDel="00000000" w:rsidP="00000000" w:rsidRDefault="00000000" w:rsidRPr="00000000" w14:paraId="00000002">
      <w:pPr>
        <w:spacing w:after="480" w:before="480" w:line="259" w:lineRule="auto"/>
        <w:rPr>
          <w:b w:val="1"/>
          <w:bCs w:val="1"/>
          <w:color w:val="000000"/>
          <w:sz w:val="28"/>
          <w:szCs w:val="28"/>
        </w:rPr>
      </w:pPr>
      <w:bookmarkStart w:colFirst="0" w:colLast="0" w:name="_heading=h.rjmcq1yuqvbb" w:id="0"/>
      <w:bookmarkEnd w:id="0"/>
      <w:r w:rsidDel="00000000" w:rsidR="00000000" w:rsidRPr="00000000">
        <w:rPr>
          <w:sz w:val="24"/>
          <w:szCs w:val="24"/>
          <w:rtl w:val="0"/>
        </w:rPr>
        <w:t xml:space="preserve">INFORMACJA PRASOWA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80" w:before="480" w:line="259" w:lineRule="auto"/>
        <w:jc w:val="both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BIG InfoMonitor: Student zostaje u rodziców, a właściciel liczy koszty. Rynek najmu pod coraz większą presją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0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Zaległe zobowiązania firm zajmujących się wynajmem i zarządzaniem nieruchomościami przekroczyły 2 mld zł </w:t>
      </w: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wynika z najnowszych danych Rejestru Dłużników BIG InfoMonitor i informacji o opóźnionych zobowiązaniach kredytowych w bazie BIK. W ciągu roku wzrosły o 135,4 mln zł, czyli 7,2 proc. Jednocześnie najemcy coraz uważniej liczą koszty, co szczególnie wyraźnie widać wśród studentów. 49 proc. z nich mieszka u rodziny lub znajomych bez opłat za najem. To istotny sygnał dla rynku, ponieważ studenci odpowiadają średnio za 27 proc. popytu.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0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30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Najważniejsze liczby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2,018 mld zł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zaległości firm z branży wynajmu – 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7,2 proc.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więcej r/r;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2 234 firmy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z nieopłaconymi zobowiązaniami; średnio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903 tys. zł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zaległości;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49 proc. studentów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mieszka bez opłat u rodziny lub znajomych;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1616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studenci generują średnio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27 proc. popytu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  <w:rtl w:val="0"/>
        </w:rPr>
        <w:t xml:space="preserve"> na najem.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Z sierpniowych danych Rejestru Dłużników BIG InfoMonitor i bazy BIK wynika, że zaległe zobowiązania firm z branży wynajmu i zarządzania nieruchomościami (PKD6820Z) wyniosły 2,018 mld zł. Rok wcześniej było to około 1,9 mld zł, a w sierpniu 2024 r. – 1,62 mld zł. Oznacza to wzrost o niemal 400 mln zł w ciągu dwóch lat.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Nieopłacone w terminie zobowiązania miały 2 234 firmy – o 147, czyli 7,1 proc. więcej niż rok temu. Średnia zaległość przypadająca na jeden podmiot pozostała niemal bez zmian i wyniosła około 903 tys. zł. Wskazuje to, że problem nie koncentruje się na kilku największych dłużnikach, lecz obejmuje coraz szerszą grupę uczestników rynku.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Na rynek najmu trzeba patrzeć nie tylko przez pryzmat cen i liczby ofert, ale też kondycji finansowej działających na nim firm. Zaległości po raz pierwszy przekroczyły 2 mld zł, a jednocześnie przybywa przedsiębiorstw mających problemy z terminowymi płatnościami. Presja jest widoczna również po stronie najemców, szczególnie młodych, którzy coraz uważniej liczą koszty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– mówi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Paweł Szarkowski, prezes Zarządu BIG InfoMonitor.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Co drugi student wybiera mieszkanie bez czynszu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Raport Centrum AMRON i WIB „Studenci na rynku nieruchomości 2026” pokazuje, że w roku akademickim 2025/26 aż 49 proc. studentów mieszkało u rodziny lub znajomych i nie płaciło za najem. Rok wcześniej było to 41 proc. Z komercyjnego rynku najmu korzysta obecnie około jednej trzeciej studentów, wobec 37 proc. w 2025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Rosną też wydatki na zakwaterowanie. Udział studentów przeznaczających na ten cel do 500 zł miesięcznie spadł z 28 proc. w 2020 r. do 5 proc. w 2026 r., a najliczniejszą grupę – 34 proc. badanych stanowią dziś osoby wydające ponad 1500 zł. Najczęściej studenci dzielą lokal z jedną osobą (56 proc.), natomiast samodzielny wynajem całego mieszkania wybiera tylko 15 proc.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Decyzje studentów mają znaczenie dla całego rynku. Według badania NBP są oni drugą co do wielkości grupą najemców i generują średnio 27 proc. popytu. W segmencie pokoi ich udział wynosi od 39 proc. w Warszawie do 55 proc. w sześciu największych aglomeracjach.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Mniejsza skłonność studentów do wynajmu, współdzielenie mieszkań i koncentracja na najtańszych ofertach mogą zwiększać konkurencję o klienta. Dla właścicieli oraz firm obsługujących najem oznacza to mniej przestrzeni do podnoszenia czynszów w odpowiedzi na rosnące koszty energii, remontów i utrzymania nieruchomości.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Oczywiście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nie można jednoznacznie stwierdzić, że pozostawanie studentów w domach rodzinnych bezpośrednio powoduje wzrost zaległości firm z rynku nieruchomości. Widać jednak dwa powiązane zjawiska: najemcy w warunkach wysokich kosztów życia i niepewności ekonomicznej, ograniczają wydatki mieszkaniowe, a problemy płatnicze obejmują coraz szerszą grupę przedsiębiorstw. Jeśli popyt studentów będzie słabszy lub skupi się na najtańszych ofertach, część wynajmujących może mieć ograniczone możliwości podnoszenia czynszów i odbudowy rentowności 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wskazuje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dr hab. Waldemar Rogowski, główny analityk BIG InfoMonitor.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Jednocześnie rosną koszty energii, remontów i utrzymania nieruchomości, a wysoka podaż mieszkań i rozwój najmu instytucjonalnego zwiększają konkurencję o klienta. W dłuższej perspektywie znaczenie będą miały także sytuacja na rynku pracy, dochody gospodarstw domowych oraz zmiany demograficzne, w tym spadek liczby osób w wieku studenckim. Rynek będzie więc coraz bardziej zależny od zdolności właścicieli i firm do dopasowania oferty do bardziej wrażliwych cenowo najemców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– dodaje.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Najbliższe miesiące pokażą, czy rynek zdoła pogodzić oczekiwania cenowe najemców z rosnącymi kosztami właścicieli i firm obsługujących najem. Kluczowe będzie dopasowanie oferty do bardziej wrażliwych cenowo klientów oraz utrzymanie płynności finansowej w warunkach rosnącej konkurencji.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Rozpiętość zaległości w regionach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Największe problemy z terminowym regulowaniem zobowiązań mają firmy zajmujące się wynajmem w woj. mazowieckim, małopolskim oraz łódzkim, co wskazuje, że to właśnie w tych regionach koncentrują się największe ryzyka płatnicze w branży, zarówno pod względem wartości zaległości, jak i skali zadłużenia przypadającego na przedsiębiorstwo.</w:t>
      </w:r>
    </w:p>
    <w:tbl>
      <w:tblPr>
        <w:tblStyle w:val="Table1"/>
        <w:tblW w:w="8020.0" w:type="dxa"/>
        <w:jc w:val="left"/>
        <w:tblLayout w:type="fixed"/>
        <w:tblLook w:val="0400"/>
      </w:tblPr>
      <w:tblGrid>
        <w:gridCol w:w="2620"/>
        <w:gridCol w:w="1800"/>
        <w:gridCol w:w="1800"/>
        <w:gridCol w:w="1800"/>
        <w:tblGridChange w:id="0">
          <w:tblGrid>
            <w:gridCol w:w="2620"/>
            <w:gridCol w:w="1800"/>
            <w:gridCol w:w="1800"/>
            <w:gridCol w:w="1800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Region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Kwota zaległego zadłużenia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Liczba dłużników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Średnia zaległość na firmę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MAZOWIECKIE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764 529 367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1 464 615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MAŁOPOLSKIE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318 484 973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1 703 128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ŁÓDZKIE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205 107 194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1 753 052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ŚLĄSKIE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171 094 395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562 810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POMORSKIE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158 049 068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918 889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DOLNOŚLĄSKIE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150 249 820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729 368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LUBUSKIE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57 828 263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1 204 755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WIELKOPOLSKIE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53 674 332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245 088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PODLASKIE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47 375 868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1 579 195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ZACHODNIOPOMORSKIE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23 093 506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211 867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WARMIŃSKO-MAZURSKIE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22 560 472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363 878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PODKARPACKIE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13 873 904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256 924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LUBELSKIE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11 297 249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191 479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OPOLSKIE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10 483 404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308 335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KUJAWSKO-POMORSKIE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7 727 180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96 590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ŚWIĘTOKRZYSKIE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2 428 406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83 738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Polska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2 017 857 400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2 234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d7d31" w:val="clear"/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903 249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Źródło: Rejestr Dłużników BIG InfoMonitor i baza BIK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61616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240" w:before="240" w:line="276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59" w:lineRule="auto"/>
        <w:jc w:val="both"/>
        <w:rPr>
          <w:color w:val="000000"/>
        </w:rPr>
      </w:pPr>
      <w:r w:rsidDel="00000000" w:rsidR="00000000" w:rsidRPr="00000000">
        <w:rPr>
          <w:color w:val="000000"/>
          <w:vertAlign w:val="superscript"/>
          <w:rtl w:val="0"/>
        </w:rPr>
        <w:t xml:space="preserve">1</w:t>
      </w:r>
      <w:r w:rsidDel="00000000" w:rsidR="00000000" w:rsidRPr="00000000">
        <w:rPr>
          <w:color w:val="000000"/>
          <w:rtl w:val="0"/>
        </w:rPr>
        <w:t xml:space="preserve"> Rejestr Dłużników BIG InfoMonitor i baza BIK</w:t>
      </w:r>
    </w:p>
    <w:p w:rsidR="00000000" w:rsidDel="00000000" w:rsidP="00000000" w:rsidRDefault="00000000" w:rsidRPr="00000000" w14:paraId="00000064">
      <w:pPr>
        <w:spacing w:line="259" w:lineRule="auto"/>
        <w:jc w:val="both"/>
        <w:rPr>
          <w:color w:val="000000"/>
        </w:rPr>
      </w:pPr>
      <w:r w:rsidDel="00000000" w:rsidR="00000000" w:rsidRPr="00000000">
        <w:rPr>
          <w:color w:val="000000"/>
          <w:vertAlign w:val="superscript"/>
          <w:rtl w:val="0"/>
        </w:rPr>
        <w:t xml:space="preserve">2</w:t>
      </w:r>
      <w:r w:rsidDel="00000000" w:rsidR="00000000" w:rsidRPr="00000000">
        <w:rPr>
          <w:color w:val="000000"/>
          <w:rtl w:val="0"/>
        </w:rPr>
        <w:t xml:space="preserve">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Centrum AMRON, „Studenci na rynku nieruchomości. Raport 2026”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line="259" w:lineRule="auto"/>
        <w:jc w:val="both"/>
        <w:rPr>
          <w:color w:val="000000"/>
        </w:rPr>
      </w:pPr>
      <w:r w:rsidDel="00000000" w:rsidR="00000000" w:rsidRPr="00000000">
        <w:rPr>
          <w:color w:val="000000"/>
          <w:vertAlign w:val="superscript"/>
          <w:rtl w:val="0"/>
        </w:rPr>
        <w:t xml:space="preserve">3</w:t>
      </w:r>
      <w:r w:rsidDel="00000000" w:rsidR="00000000" w:rsidRPr="00000000">
        <w:rPr>
          <w:color w:val="000000"/>
          <w:rtl w:val="0"/>
        </w:rPr>
        <w:t xml:space="preserve"> </w:t>
      </w: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Narodowy Bank Polski, „Raport o sytuacji na rynku nieruchomości mieszkaniowych i komercyjnych w Polsce w 2025 r.”, Warszawa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="259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BIG InfoMonitor</w:t>
      </w:r>
      <w:r w:rsidDel="00000000" w:rsidR="00000000" w:rsidRPr="00000000">
        <w:rPr>
          <w:sz w:val="18"/>
          <w:szCs w:val="18"/>
          <w:rtl w:val="0"/>
        </w:rPr>
        <w:t xml:space="preserve">, spółka z Grupy BIK, już od 22 lat dostarcza rynkowi wiarygodne informacje o zadłużeniu osób fizycznych i firm. Pomaga w ten sposób w przeciwdziałaniu zatorom płatniczym i odzyskiwaniu należności. Spółka prowadzi rejestr dłużników, do którego na warunkach określonych w Ustawie o BIG, każdy może wpisać dłużnika – firmę lub konsumenta zalegającego z płatnościami. Oprócz zaległych długów BIG InfoMonitor gromadzi i udostępnia pozytywne informacje gospodarcze, czyli dane o terminowych płatnościach. Raporty z BIG InfoMonitor zawierają wiarygodne informacje o kondycji finansowej osób oraz firm i tym samym wspierają podmioty gospodarcze w dbaniu o płynność finansową. BIG InfoMonitor posiada jedną z największych baz dłużników – zasoby rejestru obejmują ponad 114 mln informacji gospodarczych. Od początku działalności do rejestru dłużników BIG InfoMonitor wpisano blisko 42 mln zaległych zobowiązań o wartości 660 mld zł. Banki, firmy pożyczkowe i inne podmioty z rynku chętnie korzystają z raportów z BIG InfoMonitor w swoich procesach sprzedażowych. Badają w ten sposób wiarygodność płatniczą swoich klientów. Od początku działania BIG InfoMonitor udostępnił 363 mln raportów o wiarygodności płatniczej osób i firm.</w:t>
      </w:r>
    </w:p>
    <w:p w:rsidR="00000000" w:rsidDel="00000000" w:rsidP="00000000" w:rsidRDefault="00000000" w:rsidRPr="00000000" w14:paraId="00000068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Informacje o dłużnikach przekazują do BIG InfoMonitor m.in. dostawcy energii elektrycznej, gazu, wody i inne przedsiębiorstwa użyteczności publicznej, banki, firmy pożyczkowe, operatorzy telefonii stacjonarnej i komórkowej, firmy ubezpieczeniowe, faktoringowe, leasingowe, sektor MŚP i duże firmy, zarządcy nieruchomości, transport publiczny, sądy, gminy i urzędy miasta, a także osoby fizyczne.</w:t>
      </w:r>
    </w:p>
    <w:p w:rsidR="00000000" w:rsidDel="00000000" w:rsidP="00000000" w:rsidRDefault="00000000" w:rsidRPr="00000000" w14:paraId="00000069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BIG InfoMonitor umożliwia dostęp do baz: Biura Informacji Kredytowej i Związku Banków Polskich, dzięki czemu stanowi platformę wymiany informacji pomiędzy sektorem bankowym i pozostałymi sektorami gospodarki. Głównym akcjonariuszem BIG InfoMonitor jest Biuro Informacji Kredytowej. Więcej na </w:t>
      </w:r>
      <w:hyperlink r:id="rId9">
        <w:r w:rsidDel="00000000" w:rsidR="00000000" w:rsidRPr="00000000">
          <w:rPr>
            <w:color w:val="0000ff"/>
            <w:sz w:val="18"/>
            <w:szCs w:val="18"/>
            <w:u w:val="single"/>
            <w:rtl w:val="0"/>
          </w:rPr>
          <w:t xml:space="preserve">www.big.pl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Kontakt dla mediów:</w:t>
      </w:r>
    </w:p>
    <w:tbl>
      <w:tblPr>
        <w:tblStyle w:val="Table2"/>
        <w:tblW w:w="10460.0" w:type="dxa"/>
        <w:jc w:val="left"/>
        <w:tblLayout w:type="fixed"/>
        <w:tblLook w:val="0400"/>
      </w:tblPr>
      <w:tblGrid>
        <w:gridCol w:w="3780"/>
        <w:gridCol w:w="3340"/>
        <w:gridCol w:w="3340"/>
        <w:tblGridChange w:id="0">
          <w:tblGrid>
            <w:gridCol w:w="3780"/>
            <w:gridCol w:w="3340"/>
            <w:gridCol w:w="3340"/>
          </w:tblGrid>
        </w:tblGridChange>
      </w:tblGrid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line="240" w:lineRule="auto"/>
              <w:ind w:left="-108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Diana Borowiecka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ind w:left="-108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Biuro PR i Komunikacji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ind w:left="-108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tel.: +48 22 486 56 46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ind w:left="-108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kom.: + 48 607 146 583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-108" w:firstLine="0"/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diana.borowiecka@big.pl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40" w:lineRule="auto"/>
              <w:ind w:left="-108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"/>
          <w:szCs w:val="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1417" w:top="1417" w:left="1417" w:right="1417" w:header="340" w:footer="41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4354513</wp:posOffset>
              </wp:positionH>
              <wp:positionV relativeFrom="paragraph">
                <wp:posOffset>-52368</wp:posOffset>
              </wp:positionV>
              <wp:extent cx="558165" cy="558165"/>
              <wp:effectExtent b="0" l="0" r="0" t="0"/>
              <wp:wrapNone/>
              <wp:docPr descr="Informacje Jawne" id="60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190500" lIns="0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4354513</wp:posOffset>
              </wp:positionH>
              <wp:positionV relativeFrom="paragraph">
                <wp:posOffset>-52368</wp:posOffset>
              </wp:positionV>
              <wp:extent cx="558165" cy="558165"/>
              <wp:effectExtent b="0" l="0" r="0" t="0"/>
              <wp:wrapNone/>
              <wp:docPr descr="Informacje Jawne" id="60" name="image13.png"/>
              <a:graphic>
                <a:graphicData uri="http://schemas.openxmlformats.org/drawingml/2006/picture">
                  <pic:pic>
                    <pic:nvPicPr>
                      <pic:cNvPr descr="Informacje Jawne"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8165" cy="558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20" w:lineRule="auto"/>
      <w:rPr>
        <w:color w:val="9e9e9e"/>
        <w:sz w:val="16"/>
        <w:szCs w:val="16"/>
      </w:rPr>
    </w:pPr>
    <w:r w:rsidDel="00000000" w:rsidR="00000000" w:rsidRPr="00000000">
      <w:rPr>
        <w:color w:val="9e9e9e"/>
        <w:sz w:val="16"/>
        <w:szCs w:val="16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-141267</wp:posOffset>
              </wp:positionH>
              <wp:positionV relativeFrom="paragraph">
                <wp:posOffset>-44750</wp:posOffset>
              </wp:positionV>
              <wp:extent cx="4800600" cy="1614170"/>
              <wp:effectExtent b="0" l="0" r="0" t="0"/>
              <wp:wrapSquare wrapText="bothSides" distB="45720" distT="45720" distL="114300" distR="114300"/>
              <wp:docPr id="4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Biuro Informacji Gospodarczej InfoMonitor S.A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.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ul. Z. Modzelewskiego 77A, 02-679 Warszawa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tel. +48 22 486 5656,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u w:val="single"/>
                              <w:vertAlign w:val="baseline"/>
                            </w:rPr>
                            <w:t xml:space="preserve">biuro@big.pl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-141267</wp:posOffset>
              </wp:positionH>
              <wp:positionV relativeFrom="paragraph">
                <wp:posOffset>-44750</wp:posOffset>
              </wp:positionV>
              <wp:extent cx="4800600" cy="1614170"/>
              <wp:effectExtent b="0" l="0" r="0" t="0"/>
              <wp:wrapSquare wrapText="bothSides" distB="45720" distT="45720" distL="114300" distR="114300"/>
              <wp:docPr id="4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00600" cy="1614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9860" cy="4826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8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9860" cy="4826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8" name="image21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9860" cy="482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0335" cy="4730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7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0335" cy="4730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7" name="image20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0335" cy="473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10056813</wp:posOffset>
              </wp:positionV>
              <wp:extent cx="7750810" cy="46355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7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10056813</wp:posOffset>
              </wp:positionV>
              <wp:extent cx="7750810" cy="46355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7" name="image10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50810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10069513</wp:posOffset>
              </wp:positionV>
              <wp:extent cx="7741285" cy="45402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2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10069513</wp:posOffset>
              </wp:positionV>
              <wp:extent cx="7741285" cy="45402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2" name="image15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1285" cy="454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10082213</wp:posOffset>
              </wp:positionV>
              <wp:extent cx="7731760" cy="4445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10082213</wp:posOffset>
              </wp:positionV>
              <wp:extent cx="7731760" cy="4445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2" name="image5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31760" cy="444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10094913</wp:posOffset>
              </wp:positionV>
              <wp:extent cx="7722235" cy="4349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9" name=""/>
              <a:graphic>
                <a:graphicData uri="http://schemas.microsoft.com/office/word/2010/wordprocessingShape">
                  <wps:wsp>
                    <wps:cNvSpPr/>
                    <wps:cNvPr id="22" name="Shape 22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10094913</wp:posOffset>
              </wp:positionV>
              <wp:extent cx="7722235" cy="4349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9" name="image22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2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22235" cy="434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10107613</wp:posOffset>
              </wp:positionV>
              <wp:extent cx="7712710" cy="42545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4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10107613</wp:posOffset>
              </wp:positionV>
              <wp:extent cx="7712710" cy="42545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64" name="image17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12710" cy="425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10133013</wp:posOffset>
              </wp:positionV>
              <wp:extent cx="7693660" cy="4064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70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10133013</wp:posOffset>
              </wp:positionV>
              <wp:extent cx="7693660" cy="406400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70" name="image23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2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93660" cy="406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10145713</wp:posOffset>
              </wp:positionV>
              <wp:extent cx="7684135" cy="3968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9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10145713</wp:posOffset>
              </wp:positionV>
              <wp:extent cx="7684135" cy="396875"/>
              <wp:effectExtent b="0" l="0" r="0" t="0"/>
              <wp:wrapNone/>
              <wp:docPr descr="{&quot;HashCode&quot;:-1048850003,&quot;Height&quot;:841.0,&quot;Width&quot;:595.0,&quot;Placement&quot;:&quot;Footer&quot;,&quot;Index&quot;:&quot;Primary&quot;,&quot;Section&quot;:1,&quot;Top&quot;:0.0,&quot;Left&quot;:0.0}" id="59" name="image12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Primary&quot;,&quot;Section&quot;:1,&quot;Top&quot;:0.0,&quot;Left&quot;:0.0}"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84135" cy="396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3676749</wp:posOffset>
              </wp:positionH>
              <wp:positionV relativeFrom="paragraph">
                <wp:posOffset>-50797</wp:posOffset>
              </wp:positionV>
              <wp:extent cx="1233414" cy="462915"/>
              <wp:effectExtent b="0" l="0" r="0" t="0"/>
              <wp:wrapNone/>
              <wp:docPr descr="Informacje Jawne" id="53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738818" y="3558068"/>
                        <a:ext cx="1214364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190500" lIns="0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3676749</wp:posOffset>
              </wp:positionH>
              <wp:positionV relativeFrom="paragraph">
                <wp:posOffset>-50797</wp:posOffset>
              </wp:positionV>
              <wp:extent cx="1233414" cy="462915"/>
              <wp:effectExtent b="0" l="0" r="0" t="0"/>
              <wp:wrapNone/>
              <wp:docPr descr="Informacje Jawne" id="53" name="image6.png"/>
              <a:graphic>
                <a:graphicData uri="http://schemas.openxmlformats.org/drawingml/2006/picture">
                  <pic:pic>
                    <pic:nvPicPr>
                      <pic:cNvPr descr="Informacje Jawne"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33414" cy="4629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>
        <w:color w:val="44546a"/>
      </w:rPr>
    </w:pPr>
    <w:r w:rsidDel="00000000" w:rsidR="00000000" w:rsidRPr="00000000">
      <w:rPr>
        <w:color w:val="44546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44546a"/>
        <w:rtl w:val="0"/>
      </w:rPr>
      <w:t xml:space="preserve">/</w:t>
    </w:r>
    <w:r w:rsidDel="00000000" w:rsidR="00000000" w:rsidRPr="00000000">
      <w:rPr>
        <w:color w:val="44546a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20" w:lineRule="auto"/>
      <w:rPr>
        <w:color w:val="9e9e9e"/>
        <w:sz w:val="16"/>
        <w:szCs w:val="16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20" w:lineRule="auto"/>
      <w:rPr>
        <w:color w:val="9e9e9e"/>
        <w:sz w:val="16"/>
        <w:szCs w:val="16"/>
      </w:rPr>
    </w:pPr>
    <w:r w:rsidDel="00000000" w:rsidR="00000000" w:rsidRPr="00000000">
      <w:rPr>
        <w:color w:val="9e9e9e"/>
        <w:sz w:val="16"/>
        <w:szCs w:val="16"/>
        <w:rtl w:val="0"/>
      </w:rPr>
      <w:t xml:space="preserve"> 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-141267</wp:posOffset>
              </wp:positionH>
              <wp:positionV relativeFrom="paragraph">
                <wp:posOffset>-44750</wp:posOffset>
              </wp:positionV>
              <wp:extent cx="4800600" cy="1614170"/>
              <wp:effectExtent b="0" l="0" r="0" t="0"/>
              <wp:wrapSquare wrapText="bothSides" distB="45720" distT="45720" distL="114300" distR="114300"/>
              <wp:docPr id="65" name=""/>
              <a:graphic>
                <a:graphicData uri="http://schemas.microsoft.com/office/word/2010/wordprocessingShape">
                  <wps:wsp>
                    <wps:cNvSpPr/>
                    <wps:cNvPr id="18" name="Shape 18"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Biuro Informacji Gospodarczej InfoMonitor S.A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.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ul. Z. Modzelewskiego 77A, 02-679 Warszawa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vertAlign w:val="baseline"/>
                            </w:rPr>
                            <w:t xml:space="preserve">tel. +48 22 486 5656,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bfbfbf"/>
                              <w:sz w:val="16"/>
                              <w:u w:val="single"/>
                              <w:vertAlign w:val="baseline"/>
                            </w:rPr>
                            <w:t xml:space="preserve">biuro@big.pl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-141267</wp:posOffset>
              </wp:positionH>
              <wp:positionV relativeFrom="paragraph">
                <wp:posOffset>-44750</wp:posOffset>
              </wp:positionV>
              <wp:extent cx="4800600" cy="1614170"/>
              <wp:effectExtent b="0" l="0" r="0" t="0"/>
              <wp:wrapSquare wrapText="bothSides" distB="45720" distT="45720" distL="114300" distR="114300"/>
              <wp:docPr id="65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00600" cy="1614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9860" cy="4826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6" name=""/>
              <a:graphic>
                <a:graphicData uri="http://schemas.microsoft.com/office/word/2010/wordprocessingShape">
                  <wps:wsp>
                    <wps:cNvSpPr/>
                    <wps:cNvPr id="19" name="Shape 19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9860" cy="4826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6" name="image19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9860" cy="482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0335" cy="4730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1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10044113</wp:posOffset>
              </wp:positionV>
              <wp:extent cx="7760335" cy="4730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1" name="image4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0335" cy="473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10056813</wp:posOffset>
              </wp:positionV>
              <wp:extent cx="7750810" cy="46355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5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10056813</wp:posOffset>
              </wp:positionV>
              <wp:extent cx="7750810" cy="46355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5" name="image8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50810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10069513</wp:posOffset>
              </wp:positionV>
              <wp:extent cx="7741285" cy="45402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3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10069513</wp:posOffset>
              </wp:positionV>
              <wp:extent cx="7741285" cy="45402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3" name="image16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1285" cy="454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10082213</wp:posOffset>
              </wp:positionV>
              <wp:extent cx="7731760" cy="4445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10082213</wp:posOffset>
              </wp:positionV>
              <wp:extent cx="7731760" cy="4445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0" name="image3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31760" cy="444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10094913</wp:posOffset>
              </wp:positionV>
              <wp:extent cx="7722235" cy="4349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71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10094913</wp:posOffset>
              </wp:positionV>
              <wp:extent cx="7722235" cy="4349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71" name="image24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2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22235" cy="4349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10107613</wp:posOffset>
              </wp:positionV>
              <wp:extent cx="7712710" cy="42545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8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10107613</wp:posOffset>
              </wp:positionV>
              <wp:extent cx="7712710" cy="42545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8" name="image11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12710" cy="425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10133013</wp:posOffset>
              </wp:positionV>
              <wp:extent cx="7693660" cy="4064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4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10133013</wp:posOffset>
              </wp:positionV>
              <wp:extent cx="7693660" cy="406400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54" name="image7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93660" cy="406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10145713</wp:posOffset>
              </wp:positionV>
              <wp:extent cx="7684135" cy="3968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1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0" lIns="91425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-954068</wp:posOffset>
              </wp:positionH>
              <wp:positionV relativeFrom="paragraph">
                <wp:posOffset>10145713</wp:posOffset>
              </wp:positionV>
              <wp:extent cx="7684135" cy="396875"/>
              <wp:effectExtent b="0" l="0" r="0" t="0"/>
              <wp:wrapNone/>
              <wp:docPr descr="{&quot;HashCode&quot;:-1048850003,&quot;Height&quot;:841.0,&quot;Width&quot;:595.0,&quot;Placement&quot;:&quot;Footer&quot;,&quot;Index&quot;:&quot;FirstPage&quot;,&quot;Section&quot;:1,&quot;Top&quot;:0.0,&quot;Left&quot;:0.0}" id="61" name="image14.png"/>
              <a:graphic>
                <a:graphicData uri="http://schemas.openxmlformats.org/drawingml/2006/picture">
                  <pic:pic>
                    <pic:nvPicPr>
                      <pic:cNvPr descr="{&quot;HashCode&quot;:-1048850003,&quot;Height&quot;:841.0,&quot;Width&quot;:595.0,&quot;Placement&quot;:&quot;Footer&quot;,&quot;Index&quot;:&quot;FirstPage&quot;,&quot;Section&quot;:1,&quot;Top&quot;:0.0,&quot;Left&quot;:0.0}"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84135" cy="396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3641580</wp:posOffset>
              </wp:positionH>
              <wp:positionV relativeFrom="paragraph">
                <wp:posOffset>-50797</wp:posOffset>
              </wp:positionV>
              <wp:extent cx="1267802" cy="462915"/>
              <wp:effectExtent b="0" l="0" r="0" t="0"/>
              <wp:wrapNone/>
              <wp:docPr descr="Informacje Jawne" id="56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4721624" y="3558068"/>
                        <a:ext cx="1248752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0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8000"/>
                              <w:sz w:val="20"/>
                              <w:vertAlign w:val="baseline"/>
                            </w:rPr>
                            <w:t xml:space="preserve">Informacje Jawne</w:t>
                          </w:r>
                        </w:p>
                      </w:txbxContent>
                    </wps:txbx>
                    <wps:bodyPr anchorCtr="0" anchor="b" bIns="190500" lIns="0" spcFirstLastPara="1" rIns="25400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3641580</wp:posOffset>
              </wp:positionH>
              <wp:positionV relativeFrom="paragraph">
                <wp:posOffset>-50797</wp:posOffset>
              </wp:positionV>
              <wp:extent cx="1267802" cy="462915"/>
              <wp:effectExtent b="0" l="0" r="0" t="0"/>
              <wp:wrapNone/>
              <wp:docPr descr="Informacje Jawne" id="56" name="image9.png"/>
              <a:graphic>
                <a:graphicData uri="http://schemas.openxmlformats.org/drawingml/2006/picture">
                  <pic:pic>
                    <pic:nvPicPr>
                      <pic:cNvPr descr="Informacje Jawne"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67802" cy="4629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9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right"/>
      <w:rPr>
        <w:color w:val="44546a"/>
      </w:rPr>
    </w:pPr>
    <w:r w:rsidDel="00000000" w:rsidR="00000000" w:rsidRPr="00000000">
      <w:rPr>
        <w:color w:val="44546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44546a"/>
        <w:rtl w:val="0"/>
      </w:rPr>
      <w:t xml:space="preserve">/</w:t>
    </w:r>
    <w:r w:rsidDel="00000000" w:rsidR="00000000" w:rsidRPr="00000000">
      <w:rPr>
        <w:color w:val="44546a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A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20" w:lineRule="auto"/>
      <w:rPr>
        <w:color w:val="9e9e9e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spacing w:after="480" w:before="480" w:line="259" w:lineRule="auto"/>
      <w:jc w:val="both"/>
      <w:rPr/>
    </w:pPr>
    <w:r w:rsidDel="00000000" w:rsidR="00000000" w:rsidRPr="00000000">
      <w:rPr>
        <w:color w:val="000000"/>
        <w:sz w:val="24"/>
        <w:szCs w:val="24"/>
        <w:rtl w:val="0"/>
      </w:rPr>
      <w:br w:type="textWrapping"/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-438122</wp:posOffset>
          </wp:positionH>
          <wp:positionV relativeFrom="paragraph">
            <wp:posOffset>8890</wp:posOffset>
          </wp:positionV>
          <wp:extent cx="2266950" cy="1197584"/>
          <wp:effectExtent b="0" l="0" r="0" t="0"/>
          <wp:wrapNone/>
          <wp:docPr id="7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6950" cy="119758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ind w:firstLine="708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61616"/>
        <w:lang w:val="pl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Akapitzlist">
    <w:name w:val="List Paragraph"/>
    <w:uiPriority w:val="34"/>
    <w:qFormat w:val="1"/>
    <w:rsid w:val="00EB77F8"/>
    <w:pPr>
      <w:ind w:left="720"/>
      <w:contextualSpacing w:val="1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207286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 w:val="1"/>
    <w:rsid w:val="00207286"/>
    <w:pPr>
      <w:spacing w:line="240" w:lineRule="auto"/>
    </w:p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2072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207286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207286"/>
    <w:rPr>
      <w:b w:val="1"/>
      <w:bCs w:val="1"/>
    </w:rPr>
  </w:style>
  <w:style w:type="character" w:styleId="Hipercze">
    <w:name w:val="Hyperlink"/>
    <w:basedOn w:val="Domylnaczcionkaakapitu"/>
    <w:uiPriority w:val="99"/>
    <w:unhideWhenUsed w:val="1"/>
    <w:rsid w:val="00127C7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127C7F"/>
    <w:rPr>
      <w:color w:val="605e5c"/>
      <w:shd w:color="auto" w:fill="e1dfdd" w:val="clear"/>
    </w:r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Poprawka">
    <w:name w:val="Revision"/>
    <w:hidden w:val="1"/>
    <w:uiPriority w:val="99"/>
    <w:semiHidden w:val="1"/>
    <w:rsid w:val="00545164"/>
    <w:pPr>
      <w:spacing w:line="240" w:lineRule="auto"/>
    </w:pPr>
  </w:style>
  <w:style w:type="paragraph" w:styleId="NormalnyWeb">
    <w:name w:val="Normal (Web)"/>
    <w:basedOn w:val="Normalny"/>
    <w:uiPriority w:val="99"/>
    <w:unhideWhenUsed w:val="1"/>
    <w:rsid w:val="004129E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  <w:lang w:val="pl-PL"/>
    </w:rPr>
  </w:style>
  <w:style w:type="paragraph" w:styleId="Normalny1" w:customStyle="1">
    <w:name w:val="Normalny1"/>
    <w:basedOn w:val="Normalny"/>
    <w:rsid w:val="006F0260"/>
    <w:rPr>
      <w:kern w:val="2"/>
      <w:lang w:val="pl-P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ig.pl/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mron.pl/wp-content/uploads/2026/09/Raport-Centrum-AMRON_Studenci_na_rynku_nieruchomosci_2026.pdf" TargetMode="External"/><Relationship Id="rId8" Type="http://schemas.openxmlformats.org/officeDocument/2006/relationships/hyperlink" Target="https://nbp.pl/wp-content/uploads/2026/10/Raport-o-sytuacji-na-rynku-nieruchomosci-mieszkaniowych-i-komercyjnych-w-Polsce-w-2025-r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tRbA/YIv09c5K0tgiOkd2nAXA==">CgMxLjAyDmgucmptY3ExeXVxdmJiOAByITFjNzRnTUFYdlJmcEx6dS1pX0ZOZDVpRzhUZGpsbm1fcw==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2026-10-14T06:55:00Z</dcterms:created>
  <dc:creator>Rogowski Waldemar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4d3b02ec,1ffd0a3a,1bba3590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Informacje Jawne</vt:lpwstr>
  </property>
  <property fmtid="{D5CDD505-2E9C-101B-9397-08002B2CF9AE}" pid="5" name="MSIP_Label_1391a466-f120-4668-a5e5-7af4d8a99d82_Enabled">
    <vt:lpwstr>true</vt:lpwstr>
  </property>
  <property fmtid="{D5CDD505-2E9C-101B-9397-08002B2CF9AE}" pid="6" name="MSIP_Label_1391a466-f120-4668-a5e5-7af4d8a99d82_SetDate">
    <vt:lpwstr>2023-11-30T22:50:52Z</vt:lpwstr>
  </property>
  <property fmtid="{D5CDD505-2E9C-101B-9397-08002B2CF9AE}" pid="7" name="MSIP_Label_1391a466-f120-4668-a5e5-7af4d8a99d82_Method">
    <vt:lpwstr>Privileged</vt:lpwstr>
  </property>
  <property fmtid="{D5CDD505-2E9C-101B-9397-08002B2CF9AE}" pid="8" name="MSIP_Label_1391a466-f120-4668-a5e5-7af4d8a99d82_Name">
    <vt:lpwstr>Grupa BIK-Jawne</vt:lpwstr>
  </property>
  <property fmtid="{D5CDD505-2E9C-101B-9397-08002B2CF9AE}" pid="9" name="MSIP_Label_1391a466-f120-4668-a5e5-7af4d8a99d82_SiteId">
    <vt:lpwstr>f2871815-01ea-45c0-a64b-82e189df602c</vt:lpwstr>
  </property>
  <property fmtid="{D5CDD505-2E9C-101B-9397-08002B2CF9AE}" pid="10" name="MSIP_Label_1391a466-f120-4668-a5e5-7af4d8a99d82_ActionId">
    <vt:lpwstr>efca1cbd-500e-4a04-bf70-2db71337dd38</vt:lpwstr>
  </property>
  <property fmtid="{D5CDD505-2E9C-101B-9397-08002B2CF9AE}" pid="11" name="MSIP_Label_1391a466-f120-4668-a5e5-7af4d8a99d82_ContentBits">
    <vt:lpwstr>2</vt:lpwstr>
  </property>
</Properties>
</file>