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67CB04" w14:textId="77777777" w:rsidR="002106DB" w:rsidRPr="005868A3" w:rsidRDefault="002106DB" w:rsidP="00AF134A">
      <w:pPr>
        <w:ind w:left="708" w:hanging="708"/>
        <w:jc w:val="center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114300" distB="114300" distL="114300" distR="114300" wp14:anchorId="14772DD6" wp14:editId="3B2631DA">
            <wp:extent cx="4395788" cy="1190222"/>
            <wp:effectExtent l="0" t="0" r="0" b="0"/>
            <wp:docPr id="1" name="Imagem 1" descr="Uma imagem com texto  Descrição gerada automaticament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 descr="Uma imagem com texto  Descrição gerada automaticamente"/>
                    <pic:cNvPicPr preferRelativeResize="0"/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395788" cy="1190222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6DC354E8" w14:textId="77777777" w:rsidR="002106DB" w:rsidRDefault="002106DB" w:rsidP="002106DB">
      <w:pPr>
        <w:jc w:val="center"/>
        <w:rPr>
          <w:rFonts w:ascii="Calibri" w:hAnsi="Calibri" w:cs="Calibri"/>
          <w:b/>
          <w:sz w:val="24"/>
          <w:szCs w:val="24"/>
        </w:rPr>
      </w:pPr>
    </w:p>
    <w:p w14:paraId="60AC36CD" w14:textId="77777777" w:rsidR="00DE58F9" w:rsidRDefault="00DE58F9" w:rsidP="00B138BE">
      <w:pPr>
        <w:spacing w:line="240" w:lineRule="auto"/>
        <w:jc w:val="center"/>
        <w:rPr>
          <w:rFonts w:ascii="Calibri" w:eastAsia="Times New Roman" w:hAnsi="Calibri" w:cs="Calibri"/>
          <w:b/>
          <w:bCs/>
          <w:sz w:val="40"/>
          <w:szCs w:val="40"/>
          <w:lang w:eastAsia="pt-PT"/>
        </w:rPr>
      </w:pPr>
      <w:r>
        <w:rPr>
          <w:rFonts w:ascii="Calibri" w:eastAsia="Times New Roman" w:hAnsi="Calibri" w:cs="Calibri"/>
          <w:b/>
          <w:bCs/>
          <w:sz w:val="40"/>
          <w:szCs w:val="40"/>
          <w:lang w:eastAsia="pt-PT"/>
        </w:rPr>
        <w:t xml:space="preserve">Compradores portugueses representam 90% </w:t>
      </w:r>
    </w:p>
    <w:p w14:paraId="2BF725F8" w14:textId="782C9064" w:rsidR="008A2618" w:rsidRDefault="00DE58F9" w:rsidP="00B138BE">
      <w:pPr>
        <w:spacing w:line="240" w:lineRule="auto"/>
        <w:jc w:val="center"/>
        <w:rPr>
          <w:rFonts w:ascii="Calibri" w:eastAsia="Times New Roman" w:hAnsi="Calibri" w:cs="Calibri"/>
          <w:b/>
          <w:bCs/>
          <w:sz w:val="40"/>
          <w:szCs w:val="40"/>
          <w:lang w:eastAsia="pt-PT"/>
        </w:rPr>
      </w:pPr>
      <w:r>
        <w:rPr>
          <w:rFonts w:ascii="Calibri" w:eastAsia="Times New Roman" w:hAnsi="Calibri" w:cs="Calibri"/>
          <w:b/>
          <w:bCs/>
          <w:sz w:val="40"/>
          <w:szCs w:val="40"/>
          <w:lang w:eastAsia="pt-PT"/>
        </w:rPr>
        <w:t>das aquisições no HAMA MORI</w:t>
      </w:r>
    </w:p>
    <w:p w14:paraId="2018F2EF" w14:textId="77777777" w:rsidR="00DE58F9" w:rsidRPr="00216577" w:rsidRDefault="00DE58F9" w:rsidP="00B138BE">
      <w:pPr>
        <w:spacing w:line="240" w:lineRule="auto"/>
        <w:jc w:val="center"/>
        <w:rPr>
          <w:rFonts w:ascii="Calibri" w:eastAsia="Times New Roman" w:hAnsi="Calibri" w:cs="Calibri"/>
          <w:b/>
          <w:bCs/>
          <w:lang w:eastAsia="pt-PT"/>
        </w:rPr>
      </w:pPr>
    </w:p>
    <w:p w14:paraId="1484149B" w14:textId="77777777" w:rsidR="00C140B1" w:rsidRPr="00240BF7" w:rsidRDefault="00C140B1" w:rsidP="00C140B1">
      <w:pPr>
        <w:spacing w:line="240" w:lineRule="auto"/>
        <w:jc w:val="both"/>
        <w:rPr>
          <w:rFonts w:ascii="Calibri" w:eastAsia="Times New Roman" w:hAnsi="Calibri" w:cs="Calibri"/>
          <w:b/>
          <w:bCs/>
          <w:sz w:val="2"/>
          <w:szCs w:val="2"/>
          <w:lang w:eastAsia="pt-PT"/>
        </w:rPr>
      </w:pPr>
    </w:p>
    <w:p w14:paraId="4E01025F" w14:textId="148039CB" w:rsidR="00536D8B" w:rsidRDefault="001A27B1" w:rsidP="00240BF7">
      <w:pPr>
        <w:pStyle w:val="PargrafodaLista"/>
        <w:numPr>
          <w:ilvl w:val="0"/>
          <w:numId w:val="10"/>
        </w:numPr>
        <w:spacing w:line="240" w:lineRule="auto"/>
        <w:jc w:val="center"/>
        <w:rPr>
          <w:rFonts w:ascii="Calibri" w:eastAsia="Times New Roman" w:hAnsi="Calibri" w:cs="Calibri"/>
          <w:i/>
          <w:iCs/>
          <w:lang w:eastAsia="pt-PT"/>
        </w:rPr>
      </w:pPr>
      <w:r>
        <w:rPr>
          <w:rFonts w:ascii="Calibri" w:eastAsia="Times New Roman" w:hAnsi="Calibri" w:cs="Calibri"/>
          <w:i/>
          <w:iCs/>
          <w:lang w:eastAsia="pt-PT"/>
        </w:rPr>
        <w:t>2</w:t>
      </w:r>
      <w:r w:rsidR="00357A23">
        <w:rPr>
          <w:rFonts w:ascii="Calibri" w:eastAsia="Times New Roman" w:hAnsi="Calibri" w:cs="Calibri"/>
          <w:i/>
          <w:iCs/>
          <w:lang w:eastAsia="pt-PT"/>
        </w:rPr>
        <w:t>5</w:t>
      </w:r>
      <w:r>
        <w:rPr>
          <w:rFonts w:ascii="Calibri" w:eastAsia="Times New Roman" w:hAnsi="Calibri" w:cs="Calibri"/>
          <w:i/>
          <w:iCs/>
          <w:lang w:eastAsia="pt-PT"/>
        </w:rPr>
        <w:t xml:space="preserve"> das 27 moradias do empreendimento foram comercializadas nas primeiras duas semanas.</w:t>
      </w:r>
    </w:p>
    <w:p w14:paraId="3EF7132C" w14:textId="41E5B317" w:rsidR="00240BF7" w:rsidRDefault="00B15653" w:rsidP="00EF18FD">
      <w:pPr>
        <w:pStyle w:val="PargrafodaLista"/>
        <w:numPr>
          <w:ilvl w:val="0"/>
          <w:numId w:val="10"/>
        </w:numPr>
        <w:spacing w:line="240" w:lineRule="auto"/>
        <w:jc w:val="center"/>
        <w:rPr>
          <w:rFonts w:ascii="Calibri" w:eastAsia="Times New Roman" w:hAnsi="Calibri" w:cs="Calibri"/>
          <w:i/>
          <w:iCs/>
          <w:lang w:eastAsia="pt-PT"/>
        </w:rPr>
      </w:pPr>
      <w:r>
        <w:rPr>
          <w:rFonts w:ascii="Calibri" w:eastAsia="Times New Roman" w:hAnsi="Calibri" w:cs="Calibri"/>
          <w:i/>
          <w:iCs/>
          <w:lang w:eastAsia="pt-PT"/>
        </w:rPr>
        <w:t>Grande parte da coleção HAMA, composta por 13 moradias, ficou reservada nas primeiras 24 horas.</w:t>
      </w:r>
    </w:p>
    <w:p w14:paraId="005BCFB9" w14:textId="5A25184A" w:rsidR="00536D8B" w:rsidRPr="00240BF7" w:rsidRDefault="00536D8B" w:rsidP="00240BF7">
      <w:pPr>
        <w:pStyle w:val="PargrafodaLista"/>
        <w:numPr>
          <w:ilvl w:val="0"/>
          <w:numId w:val="10"/>
        </w:numPr>
        <w:spacing w:line="240" w:lineRule="auto"/>
        <w:jc w:val="center"/>
        <w:rPr>
          <w:rFonts w:ascii="Calibri" w:eastAsia="Times New Roman" w:hAnsi="Calibri" w:cs="Calibri"/>
          <w:i/>
          <w:iCs/>
          <w:lang w:eastAsia="pt-PT"/>
        </w:rPr>
      </w:pPr>
      <w:r>
        <w:rPr>
          <w:rFonts w:ascii="Calibri" w:eastAsia="Times New Roman" w:hAnsi="Calibri" w:cs="Calibri"/>
          <w:i/>
          <w:iCs/>
          <w:lang w:eastAsia="pt-PT"/>
        </w:rPr>
        <w:t xml:space="preserve">Apenas </w:t>
      </w:r>
      <w:r w:rsidR="00357A23">
        <w:rPr>
          <w:rFonts w:ascii="Calibri" w:eastAsia="Times New Roman" w:hAnsi="Calibri" w:cs="Calibri"/>
          <w:i/>
          <w:iCs/>
          <w:lang w:eastAsia="pt-PT"/>
        </w:rPr>
        <w:t xml:space="preserve">duas </w:t>
      </w:r>
      <w:r>
        <w:rPr>
          <w:rFonts w:ascii="Calibri" w:eastAsia="Times New Roman" w:hAnsi="Calibri" w:cs="Calibri"/>
          <w:i/>
          <w:iCs/>
          <w:lang w:eastAsia="pt-PT"/>
        </w:rPr>
        <w:t>unidades permanecem disponíveis no empreendimento HAMA MORI após o início da sua comercialização em julho.</w:t>
      </w:r>
    </w:p>
    <w:p w14:paraId="6AB145D7" w14:textId="77777777" w:rsidR="000256A3" w:rsidRDefault="000256A3" w:rsidP="00C140B1">
      <w:pPr>
        <w:spacing w:line="240" w:lineRule="auto"/>
        <w:jc w:val="both"/>
        <w:rPr>
          <w:rFonts w:ascii="Calibri" w:eastAsia="Times New Roman" w:hAnsi="Calibri" w:cs="Calibri"/>
          <w:b/>
          <w:bCs/>
          <w:lang w:eastAsia="pt-PT"/>
        </w:rPr>
      </w:pPr>
    </w:p>
    <w:p w14:paraId="03437F13" w14:textId="77777777" w:rsidR="000256A3" w:rsidRPr="00240BF7" w:rsidRDefault="000256A3" w:rsidP="00C140B1">
      <w:pPr>
        <w:spacing w:line="240" w:lineRule="auto"/>
        <w:jc w:val="both"/>
        <w:rPr>
          <w:rFonts w:ascii="Calibri" w:eastAsia="Times New Roman" w:hAnsi="Calibri" w:cs="Calibri"/>
          <w:b/>
          <w:bCs/>
          <w:sz w:val="2"/>
          <w:szCs w:val="2"/>
          <w:lang w:eastAsia="pt-PT"/>
        </w:rPr>
      </w:pPr>
    </w:p>
    <w:p w14:paraId="599FE9F5" w14:textId="2AF5D68D" w:rsidR="00713311" w:rsidRPr="00713311" w:rsidRDefault="00776EFB" w:rsidP="00713311">
      <w:pPr>
        <w:spacing w:line="240" w:lineRule="auto"/>
        <w:jc w:val="both"/>
        <w:rPr>
          <w:rFonts w:ascii="Calibri" w:eastAsia="Times New Roman" w:hAnsi="Calibri" w:cs="Calibri"/>
          <w:lang w:eastAsia="pt-PT"/>
        </w:rPr>
      </w:pPr>
      <w:r>
        <w:rPr>
          <w:rFonts w:ascii="Calibri" w:eastAsia="Times New Roman" w:hAnsi="Calibri" w:cs="Calibri"/>
          <w:b/>
          <w:bCs/>
          <w:lang w:eastAsia="pt-PT"/>
        </w:rPr>
        <w:t xml:space="preserve">Lisboa, </w:t>
      </w:r>
      <w:r w:rsidR="00EF44AC">
        <w:rPr>
          <w:rFonts w:ascii="Calibri" w:eastAsia="Times New Roman" w:hAnsi="Calibri" w:cs="Calibri"/>
          <w:b/>
          <w:bCs/>
          <w:lang w:eastAsia="pt-PT"/>
        </w:rPr>
        <w:t>2</w:t>
      </w:r>
      <w:r w:rsidR="00067FB4">
        <w:rPr>
          <w:rFonts w:ascii="Calibri" w:eastAsia="Times New Roman" w:hAnsi="Calibri" w:cs="Calibri"/>
          <w:b/>
          <w:bCs/>
          <w:lang w:eastAsia="pt-PT"/>
        </w:rPr>
        <w:t>2</w:t>
      </w:r>
      <w:r w:rsidR="00EF44AC">
        <w:rPr>
          <w:rFonts w:ascii="Calibri" w:eastAsia="Times New Roman" w:hAnsi="Calibri" w:cs="Calibri"/>
          <w:b/>
          <w:bCs/>
          <w:lang w:eastAsia="pt-PT"/>
        </w:rPr>
        <w:t xml:space="preserve"> </w:t>
      </w:r>
      <w:r>
        <w:rPr>
          <w:rFonts w:ascii="Calibri" w:eastAsia="Times New Roman" w:hAnsi="Calibri" w:cs="Calibri"/>
          <w:b/>
          <w:bCs/>
          <w:lang w:eastAsia="pt-PT"/>
        </w:rPr>
        <w:t xml:space="preserve">de </w:t>
      </w:r>
      <w:r w:rsidR="00D9608D">
        <w:rPr>
          <w:rFonts w:ascii="Calibri" w:eastAsia="Times New Roman" w:hAnsi="Calibri" w:cs="Calibri"/>
          <w:b/>
          <w:bCs/>
          <w:lang w:eastAsia="pt-PT"/>
        </w:rPr>
        <w:t>outubro</w:t>
      </w:r>
      <w:r w:rsidR="00EF44AC">
        <w:rPr>
          <w:rFonts w:ascii="Calibri" w:eastAsia="Times New Roman" w:hAnsi="Calibri" w:cs="Calibri"/>
          <w:b/>
          <w:bCs/>
          <w:lang w:eastAsia="pt-PT"/>
        </w:rPr>
        <w:t xml:space="preserve"> </w:t>
      </w:r>
      <w:r>
        <w:rPr>
          <w:rFonts w:ascii="Calibri" w:eastAsia="Times New Roman" w:hAnsi="Calibri" w:cs="Calibri"/>
          <w:b/>
          <w:bCs/>
          <w:lang w:eastAsia="pt-PT"/>
        </w:rPr>
        <w:t>de 2026</w:t>
      </w:r>
      <w:r>
        <w:rPr>
          <w:rFonts w:ascii="Calibri" w:eastAsia="Times New Roman" w:hAnsi="Calibri" w:cs="Calibri"/>
          <w:lang w:eastAsia="pt-PT"/>
        </w:rPr>
        <w:t xml:space="preserve"> – Lançado em julho, o HAMA MORI – Vilamoura Dual Collection tem já 2</w:t>
      </w:r>
      <w:r w:rsidR="00357A23">
        <w:rPr>
          <w:rFonts w:ascii="Calibri" w:eastAsia="Times New Roman" w:hAnsi="Calibri" w:cs="Calibri"/>
          <w:lang w:eastAsia="pt-PT"/>
        </w:rPr>
        <w:t>5</w:t>
      </w:r>
      <w:r>
        <w:rPr>
          <w:rFonts w:ascii="Calibri" w:eastAsia="Times New Roman" w:hAnsi="Calibri" w:cs="Calibri"/>
          <w:lang w:eastAsia="pt-PT"/>
        </w:rPr>
        <w:t xml:space="preserve"> das suas 27 moradias comercializadas. O empreendimento residencial, promovido pela Legera Group e comercializado em exclusivo pela Portugal Sotheby’s International Realty, tem vindo a registar uma rápida absorção das duas coleções que o compõem e evidencia o peso da procura nacional por projetos residenciais de qualidade no Algarve.</w:t>
      </w:r>
    </w:p>
    <w:p w14:paraId="66DF541D" w14:textId="77777777" w:rsidR="00713311" w:rsidRPr="00713311" w:rsidRDefault="00713311" w:rsidP="00713311">
      <w:pPr>
        <w:spacing w:line="240" w:lineRule="auto"/>
        <w:jc w:val="both"/>
        <w:rPr>
          <w:rFonts w:ascii="Calibri" w:eastAsia="Times New Roman" w:hAnsi="Calibri" w:cs="Calibri"/>
          <w:lang w:eastAsia="pt-PT"/>
        </w:rPr>
      </w:pPr>
    </w:p>
    <w:p w14:paraId="20AABCE5" w14:textId="107FAC1D" w:rsidR="00713311" w:rsidRPr="00713311" w:rsidRDefault="00713311" w:rsidP="00713311">
      <w:pPr>
        <w:spacing w:line="240" w:lineRule="auto"/>
        <w:jc w:val="both"/>
        <w:rPr>
          <w:rFonts w:ascii="Calibri" w:eastAsia="Times New Roman" w:hAnsi="Calibri" w:cs="Calibri"/>
          <w:lang w:eastAsia="pt-PT"/>
        </w:rPr>
      </w:pPr>
      <w:r>
        <w:rPr>
          <w:rFonts w:ascii="Calibri" w:eastAsia="Times New Roman" w:hAnsi="Calibri" w:cs="Calibri"/>
          <w:lang w:eastAsia="pt-PT"/>
        </w:rPr>
        <w:t xml:space="preserve">A comercialização começou pela coleção HAMA, constituída por 13 moradias, em que grande parte das reservas foram feitas nas primeiras 24 horas após a sua apresentação ao mercado, restando apenas </w:t>
      </w:r>
      <w:r w:rsidR="00357A23">
        <w:rPr>
          <w:rFonts w:ascii="Calibri" w:eastAsia="Times New Roman" w:hAnsi="Calibri" w:cs="Calibri"/>
          <w:lang w:eastAsia="pt-PT"/>
        </w:rPr>
        <w:t>uma</w:t>
      </w:r>
      <w:r>
        <w:rPr>
          <w:rFonts w:ascii="Calibri" w:eastAsia="Times New Roman" w:hAnsi="Calibri" w:cs="Calibri"/>
          <w:lang w:eastAsia="pt-PT"/>
        </w:rPr>
        <w:t xml:space="preserve"> fraç</w:t>
      </w:r>
      <w:r w:rsidR="00357A23">
        <w:rPr>
          <w:rFonts w:ascii="Calibri" w:eastAsia="Times New Roman" w:hAnsi="Calibri" w:cs="Calibri"/>
          <w:lang w:eastAsia="pt-PT"/>
        </w:rPr>
        <w:t xml:space="preserve">ão </w:t>
      </w:r>
      <w:r>
        <w:rPr>
          <w:rFonts w:ascii="Calibri" w:eastAsia="Times New Roman" w:hAnsi="Calibri" w:cs="Calibri"/>
          <w:lang w:eastAsia="pt-PT"/>
        </w:rPr>
        <w:t>disponíve</w:t>
      </w:r>
      <w:r w:rsidR="00357A23">
        <w:rPr>
          <w:rFonts w:ascii="Calibri" w:eastAsia="Times New Roman" w:hAnsi="Calibri" w:cs="Calibri"/>
          <w:lang w:eastAsia="pt-PT"/>
        </w:rPr>
        <w:t>l</w:t>
      </w:r>
      <w:r>
        <w:rPr>
          <w:rFonts w:ascii="Calibri" w:eastAsia="Times New Roman" w:hAnsi="Calibri" w:cs="Calibri"/>
          <w:lang w:eastAsia="pt-PT"/>
        </w:rPr>
        <w:t xml:space="preserve"> no mercado. Seguiu-se o lançamento da coleção MORI, composta por 14 moradias, das quais apenas uma permanece disponível após o início da comercialização.</w:t>
      </w:r>
    </w:p>
    <w:p w14:paraId="511D674B" w14:textId="77777777" w:rsidR="00713311" w:rsidRPr="00713311" w:rsidRDefault="00713311" w:rsidP="00713311">
      <w:pPr>
        <w:spacing w:line="240" w:lineRule="auto"/>
        <w:jc w:val="both"/>
        <w:rPr>
          <w:rFonts w:ascii="Calibri" w:eastAsia="Times New Roman" w:hAnsi="Calibri" w:cs="Calibri"/>
          <w:lang w:eastAsia="pt-PT"/>
        </w:rPr>
      </w:pPr>
    </w:p>
    <w:p w14:paraId="1889A1B2" w14:textId="01BC72B7" w:rsidR="00CE02F8" w:rsidRPr="00713311" w:rsidRDefault="00713311" w:rsidP="00CE02F8">
      <w:pPr>
        <w:spacing w:line="240" w:lineRule="auto"/>
        <w:jc w:val="both"/>
        <w:rPr>
          <w:rFonts w:ascii="Calibri" w:eastAsia="Times New Roman" w:hAnsi="Calibri" w:cs="Calibri"/>
          <w:lang w:eastAsia="pt-PT"/>
        </w:rPr>
      </w:pPr>
      <w:r>
        <w:rPr>
          <w:rFonts w:ascii="Calibri" w:eastAsia="Times New Roman" w:hAnsi="Calibri" w:cs="Calibri"/>
          <w:lang w:eastAsia="pt-PT"/>
        </w:rPr>
        <w:t>Para além da rapidez das vendas, o perfil dos compradores constitui um dos principais indicadores deste lançamento. Cerca de 90% das aquisições foram realizadas por clientes portugueses, que procuram esta tipologia de moradias sobretudo para utilização como segunda habitação ou enquanto investimento imobiliário. Das 2</w:t>
      </w:r>
      <w:r w:rsidR="00357A23">
        <w:rPr>
          <w:rFonts w:ascii="Calibri" w:eastAsia="Times New Roman" w:hAnsi="Calibri" w:cs="Calibri"/>
          <w:lang w:eastAsia="pt-PT"/>
        </w:rPr>
        <w:t>5</w:t>
      </w:r>
      <w:r>
        <w:rPr>
          <w:rFonts w:ascii="Calibri" w:eastAsia="Times New Roman" w:hAnsi="Calibri" w:cs="Calibri"/>
          <w:lang w:eastAsia="pt-PT"/>
        </w:rPr>
        <w:t xml:space="preserve"> frações vendidas, apenas duas foram feitas a clientes estrangeiros, o que demonstra e reforça a atratividade de Vilamoura junto dos portugueses enquanto destino de eleição para as suas férias no país.</w:t>
      </w:r>
    </w:p>
    <w:p w14:paraId="480D0D1E" w14:textId="77777777" w:rsidR="00713311" w:rsidRPr="00713311" w:rsidRDefault="00713311" w:rsidP="00713311">
      <w:pPr>
        <w:spacing w:line="240" w:lineRule="auto"/>
        <w:jc w:val="both"/>
        <w:rPr>
          <w:rFonts w:ascii="Calibri" w:eastAsia="Times New Roman" w:hAnsi="Calibri" w:cs="Calibri"/>
          <w:lang w:eastAsia="pt-PT"/>
        </w:rPr>
      </w:pPr>
    </w:p>
    <w:p w14:paraId="37BD0440" w14:textId="2782C295" w:rsidR="00713311" w:rsidRPr="00713311" w:rsidRDefault="00713311" w:rsidP="00713311">
      <w:pPr>
        <w:spacing w:line="240" w:lineRule="auto"/>
        <w:jc w:val="both"/>
        <w:rPr>
          <w:rFonts w:ascii="Calibri" w:eastAsia="Times New Roman" w:hAnsi="Calibri" w:cs="Calibri"/>
          <w:lang w:eastAsia="pt-PT"/>
        </w:rPr>
      </w:pPr>
      <w:r>
        <w:rPr>
          <w:rFonts w:ascii="Calibri" w:eastAsia="Times New Roman" w:hAnsi="Calibri" w:cs="Calibri"/>
          <w:lang w:eastAsia="pt-PT"/>
        </w:rPr>
        <w:t>O resultado evidencia, neste projeto, uma procura nacional relevante por imóveis residenciais de gama alta no Algarve, num mercado habitualmente associado a uma forte presença de compradores internacionais. Mostra, igualmente, que a procura portuguesa permanece ativa quando estão reunidos fatores como a localização, a qualidade arquitetónica, a privacidade e a adequação do produto às atuais formas de utilização da habitação.</w:t>
      </w:r>
    </w:p>
    <w:p w14:paraId="6958E89C" w14:textId="77777777" w:rsidR="00713311" w:rsidRPr="00713311" w:rsidRDefault="00713311" w:rsidP="00713311">
      <w:pPr>
        <w:spacing w:line="240" w:lineRule="auto"/>
        <w:jc w:val="both"/>
        <w:rPr>
          <w:rFonts w:ascii="Calibri" w:eastAsia="Times New Roman" w:hAnsi="Calibri" w:cs="Calibri"/>
          <w:lang w:eastAsia="pt-PT"/>
        </w:rPr>
      </w:pPr>
    </w:p>
    <w:p w14:paraId="12E08EF4" w14:textId="6E31DC37" w:rsidR="00713311" w:rsidRPr="00713311" w:rsidRDefault="00713311" w:rsidP="00713311">
      <w:pPr>
        <w:spacing w:line="240" w:lineRule="auto"/>
        <w:jc w:val="both"/>
        <w:rPr>
          <w:rFonts w:ascii="Calibri" w:eastAsia="Times New Roman" w:hAnsi="Calibri" w:cs="Calibri"/>
          <w:lang w:eastAsia="pt-PT"/>
        </w:rPr>
      </w:pPr>
      <w:r>
        <w:rPr>
          <w:rFonts w:ascii="Calibri" w:eastAsia="Times New Roman" w:hAnsi="Calibri" w:cs="Calibri"/>
          <w:i/>
          <w:iCs/>
          <w:lang w:eastAsia="pt-PT"/>
        </w:rPr>
        <w:t xml:space="preserve">“O desempenho comercial do HAMA MORI mostra que existe uma procura nacional efetiva por projetos residenciais de qualidade no Algarve. O facto de cerca de 90% dos compradores serem portugueses é particularmente relevante e evidencia que este mercado não depende exclusivamente da procura internacional. O resultado é, também, fruto de um trabalho desenvolvido com o promotor desde as fases iniciais, procurando alinhar o conceito, o posicionamento e a estratégia comercial com aquilo que os compradores efetivamente </w:t>
      </w:r>
      <w:r>
        <w:rPr>
          <w:rFonts w:ascii="Calibri" w:eastAsia="Times New Roman" w:hAnsi="Calibri" w:cs="Calibri"/>
          <w:i/>
          <w:iCs/>
          <w:lang w:eastAsia="pt-PT"/>
        </w:rPr>
        <w:lastRenderedPageBreak/>
        <w:t>valorizam”</w:t>
      </w:r>
      <w:r>
        <w:rPr>
          <w:rFonts w:ascii="Calibri" w:eastAsia="Times New Roman" w:hAnsi="Calibri" w:cs="Calibri"/>
          <w:lang w:eastAsia="pt-PT"/>
        </w:rPr>
        <w:t>, salienta Duarte Marques, Diretor de Empreendimentos da Portugal Sotheby’s International Realty.</w:t>
      </w:r>
    </w:p>
    <w:p w14:paraId="4BD8D7CB" w14:textId="77777777" w:rsidR="00713311" w:rsidRPr="00713311" w:rsidRDefault="00713311" w:rsidP="00713311">
      <w:pPr>
        <w:spacing w:line="240" w:lineRule="auto"/>
        <w:jc w:val="both"/>
        <w:rPr>
          <w:rFonts w:ascii="Calibri" w:eastAsia="Times New Roman" w:hAnsi="Calibri" w:cs="Calibri"/>
          <w:lang w:eastAsia="pt-PT"/>
        </w:rPr>
      </w:pPr>
    </w:p>
    <w:p w14:paraId="58DB6694" w14:textId="77777777" w:rsidR="00713311" w:rsidRPr="00713311" w:rsidRDefault="00713311" w:rsidP="00713311">
      <w:pPr>
        <w:spacing w:line="240" w:lineRule="auto"/>
        <w:jc w:val="both"/>
        <w:rPr>
          <w:rFonts w:ascii="Calibri" w:eastAsia="Times New Roman" w:hAnsi="Calibri" w:cs="Calibri"/>
          <w:lang w:eastAsia="pt-PT"/>
        </w:rPr>
      </w:pPr>
      <w:r>
        <w:rPr>
          <w:rFonts w:ascii="Calibri" w:eastAsia="Times New Roman" w:hAnsi="Calibri" w:cs="Calibri"/>
          <w:lang w:eastAsia="pt-PT"/>
        </w:rPr>
        <w:t>Composto pelas coleções HAMA e MORI, o empreendimento integra 27 moradias privadas distribuídas por duas localizações em Vilamoura. O HAMA beneficia da proximidade do mar e da marina, enquanto o MORI se encontra próximo dos principais campos de golfe da região.</w:t>
      </w:r>
    </w:p>
    <w:p w14:paraId="73FB21D1" w14:textId="77777777" w:rsidR="00713311" w:rsidRPr="00713311" w:rsidRDefault="00713311" w:rsidP="00713311">
      <w:pPr>
        <w:spacing w:line="240" w:lineRule="auto"/>
        <w:jc w:val="both"/>
        <w:rPr>
          <w:rFonts w:ascii="Calibri" w:eastAsia="Times New Roman" w:hAnsi="Calibri" w:cs="Calibri"/>
          <w:lang w:eastAsia="pt-PT"/>
        </w:rPr>
      </w:pPr>
    </w:p>
    <w:p w14:paraId="044D37E7" w14:textId="77777777" w:rsidR="00713311" w:rsidRPr="00713311" w:rsidRDefault="00713311" w:rsidP="00713311">
      <w:pPr>
        <w:spacing w:line="240" w:lineRule="auto"/>
        <w:jc w:val="both"/>
        <w:rPr>
          <w:rFonts w:ascii="Calibri" w:eastAsia="Times New Roman" w:hAnsi="Calibri" w:cs="Calibri"/>
          <w:lang w:eastAsia="pt-PT"/>
        </w:rPr>
      </w:pPr>
      <w:r>
        <w:rPr>
          <w:rFonts w:ascii="Calibri" w:eastAsia="Times New Roman" w:hAnsi="Calibri" w:cs="Calibri"/>
          <w:lang w:eastAsia="pt-PT"/>
        </w:rPr>
        <w:t>Apesar de apresentarem características distintas, as duas coleções partilham uma abordagem arquitetónica centrada na relação entre os espaços interiores e exteriores, na entrada de luz natural e na integração com a paisagem. As moradias incluem jardins privativos, terraços, piscinas, estacionamento e áreas dedicadas ao bem-estar, podendo algumas unidades integrar outras valências, como elevador privativo, garrafeira ou sala de cinema.</w:t>
      </w:r>
    </w:p>
    <w:p w14:paraId="21665ED4" w14:textId="77777777" w:rsidR="00713311" w:rsidRPr="00713311" w:rsidRDefault="00713311" w:rsidP="00713311">
      <w:pPr>
        <w:spacing w:line="240" w:lineRule="auto"/>
        <w:jc w:val="both"/>
        <w:rPr>
          <w:rFonts w:ascii="Calibri" w:eastAsia="Times New Roman" w:hAnsi="Calibri" w:cs="Calibri"/>
          <w:lang w:eastAsia="pt-PT"/>
        </w:rPr>
      </w:pPr>
    </w:p>
    <w:p w14:paraId="7B5B8F61" w14:textId="5B6F9CCB" w:rsidR="00713311" w:rsidRPr="00713311" w:rsidRDefault="00713311" w:rsidP="00713311">
      <w:pPr>
        <w:spacing w:line="240" w:lineRule="auto"/>
        <w:jc w:val="both"/>
        <w:rPr>
          <w:rFonts w:ascii="Calibri" w:eastAsia="Times New Roman" w:hAnsi="Calibri" w:cs="Calibri"/>
          <w:lang w:eastAsia="pt-PT"/>
        </w:rPr>
      </w:pPr>
      <w:r>
        <w:rPr>
          <w:rFonts w:ascii="Calibri" w:eastAsia="Times New Roman" w:hAnsi="Calibri" w:cs="Calibri"/>
          <w:lang w:eastAsia="pt-PT"/>
        </w:rPr>
        <w:t>A comercialização do HAMA MORI é acompanhada pela área de Empreendimentos da Portugal Sotheby’s International Realty, uma estrutura dedicada ao acompanhamento de novos projetos residenciais, desde as fases iniciais de desenvolvimento até ao lançamento e à venda. O HAMA MORI dá continuidade à colaboração entre a Portugal Sotheby’s International Realty e a Legera Group, que já tinha desenvolvido em Portugal o empreendimento residencial Gomes 141, integralmente comercializado nas primeiras 48 horas.</w:t>
      </w:r>
    </w:p>
    <w:p w14:paraId="02988450" w14:textId="77777777" w:rsidR="00713311" w:rsidRPr="00713311" w:rsidRDefault="00713311" w:rsidP="00713311">
      <w:pPr>
        <w:spacing w:line="240" w:lineRule="auto"/>
        <w:jc w:val="both"/>
        <w:rPr>
          <w:rFonts w:ascii="Calibri" w:eastAsia="Times New Roman" w:hAnsi="Calibri" w:cs="Calibri"/>
          <w:lang w:eastAsia="pt-PT"/>
        </w:rPr>
      </w:pPr>
    </w:p>
    <w:p w14:paraId="296066AC" w14:textId="6C6B121B" w:rsidR="00A75AB1" w:rsidRPr="000F2361" w:rsidRDefault="001B34DD" w:rsidP="00A75AB1">
      <w:pPr>
        <w:spacing w:line="240" w:lineRule="auto"/>
        <w:jc w:val="both"/>
        <w:rPr>
          <w:rFonts w:ascii="Calibri" w:hAnsi="Calibri" w:cs="Calibri"/>
          <w:b/>
          <w:sz w:val="18"/>
          <w:szCs w:val="18"/>
        </w:rPr>
      </w:pPr>
      <w:r>
        <w:rPr>
          <w:rFonts w:ascii="Calibri" w:hAnsi="Calibri" w:cs="Calibri"/>
          <w:b/>
          <w:sz w:val="18"/>
          <w:szCs w:val="18"/>
        </w:rPr>
        <w:t>Ficha técnica – “HAMA MORI”</w:t>
      </w:r>
    </w:p>
    <w:p w14:paraId="26FFC76A" w14:textId="77777777" w:rsidR="004A78AE" w:rsidRPr="000F2361" w:rsidRDefault="004A78AE" w:rsidP="00A75AB1">
      <w:pPr>
        <w:spacing w:line="240" w:lineRule="auto"/>
        <w:jc w:val="both"/>
        <w:rPr>
          <w:rFonts w:ascii="Calibri" w:hAnsi="Calibri" w:cs="Calibri"/>
          <w:bCs/>
          <w:sz w:val="18"/>
          <w:szCs w:val="18"/>
        </w:rPr>
      </w:pPr>
    </w:p>
    <w:p w14:paraId="67E0FCBF" w14:textId="7FFDB5F3" w:rsidR="00F650B8" w:rsidRPr="00F650B8" w:rsidRDefault="00F650B8" w:rsidP="00F650B8">
      <w:pPr>
        <w:spacing w:line="240" w:lineRule="auto"/>
        <w:jc w:val="both"/>
        <w:rPr>
          <w:rFonts w:ascii="Calibri" w:hAnsi="Calibri" w:cs="Calibri"/>
          <w:bCs/>
          <w:sz w:val="18"/>
          <w:szCs w:val="18"/>
        </w:rPr>
      </w:pPr>
      <w:r>
        <w:rPr>
          <w:rFonts w:ascii="Calibri" w:hAnsi="Calibri" w:cs="Calibri"/>
          <w:bCs/>
          <w:sz w:val="18"/>
          <w:szCs w:val="18"/>
        </w:rPr>
        <w:t>Localização: Vilamoura, Algarve</w:t>
      </w:r>
    </w:p>
    <w:p w14:paraId="3D4D12DD" w14:textId="5C4F9AA3" w:rsidR="00F650B8" w:rsidRPr="00F650B8" w:rsidRDefault="00F650B8" w:rsidP="00F650B8">
      <w:pPr>
        <w:spacing w:line="240" w:lineRule="auto"/>
        <w:jc w:val="both"/>
        <w:rPr>
          <w:rFonts w:ascii="Calibri" w:hAnsi="Calibri" w:cs="Calibri"/>
          <w:bCs/>
          <w:sz w:val="18"/>
          <w:szCs w:val="18"/>
        </w:rPr>
      </w:pPr>
      <w:r>
        <w:rPr>
          <w:rFonts w:ascii="Calibri" w:hAnsi="Calibri" w:cs="Calibri"/>
          <w:bCs/>
          <w:sz w:val="18"/>
          <w:szCs w:val="18"/>
        </w:rPr>
        <w:t>Empreendimentos: HAMA e MORI.</w:t>
      </w:r>
    </w:p>
    <w:p w14:paraId="293ECA6B" w14:textId="1B209384" w:rsidR="00F650B8" w:rsidRPr="00F650B8" w:rsidRDefault="00F650B8" w:rsidP="00F650B8">
      <w:pPr>
        <w:spacing w:line="240" w:lineRule="auto"/>
        <w:jc w:val="both"/>
        <w:rPr>
          <w:rFonts w:ascii="Calibri" w:hAnsi="Calibri" w:cs="Calibri"/>
          <w:bCs/>
          <w:sz w:val="18"/>
          <w:szCs w:val="18"/>
        </w:rPr>
      </w:pPr>
      <w:r>
        <w:rPr>
          <w:rFonts w:ascii="Calibri" w:hAnsi="Calibri" w:cs="Calibri"/>
          <w:bCs/>
          <w:sz w:val="18"/>
          <w:szCs w:val="18"/>
        </w:rPr>
        <w:t xml:space="preserve">Tipologias disponíveis: T3 </w:t>
      </w:r>
    </w:p>
    <w:p w14:paraId="427EC184" w14:textId="77777777" w:rsidR="00F650B8" w:rsidRPr="00F650B8" w:rsidRDefault="00F650B8" w:rsidP="00F650B8">
      <w:pPr>
        <w:spacing w:line="240" w:lineRule="auto"/>
        <w:jc w:val="both"/>
        <w:rPr>
          <w:rFonts w:ascii="Calibri" w:hAnsi="Calibri" w:cs="Calibri"/>
          <w:bCs/>
          <w:sz w:val="18"/>
          <w:szCs w:val="18"/>
        </w:rPr>
      </w:pPr>
      <w:r>
        <w:rPr>
          <w:rFonts w:ascii="Calibri" w:hAnsi="Calibri" w:cs="Calibri"/>
          <w:bCs/>
          <w:sz w:val="18"/>
          <w:szCs w:val="18"/>
        </w:rPr>
        <w:t>Número de unidades: 27 moradias privadas</w:t>
      </w:r>
    </w:p>
    <w:p w14:paraId="2C7A4706" w14:textId="2ADE5892" w:rsidR="00F650B8" w:rsidRPr="00F650B8" w:rsidRDefault="00F650B8" w:rsidP="00F650B8">
      <w:pPr>
        <w:spacing w:line="240" w:lineRule="auto"/>
        <w:jc w:val="both"/>
        <w:rPr>
          <w:rFonts w:ascii="Calibri" w:hAnsi="Calibri" w:cs="Calibri"/>
          <w:bCs/>
          <w:sz w:val="18"/>
          <w:szCs w:val="18"/>
        </w:rPr>
      </w:pPr>
      <w:r>
        <w:rPr>
          <w:rFonts w:ascii="Calibri" w:hAnsi="Calibri" w:cs="Calibri"/>
          <w:bCs/>
          <w:sz w:val="18"/>
          <w:szCs w:val="18"/>
        </w:rPr>
        <w:t>Habitação: três e quatro pisos</w:t>
      </w:r>
    </w:p>
    <w:p w14:paraId="258D42E9" w14:textId="5C7B25EE" w:rsidR="00050CEE" w:rsidRPr="00B4580A" w:rsidRDefault="00050CEE" w:rsidP="00050CEE">
      <w:pPr>
        <w:spacing w:line="240" w:lineRule="auto"/>
        <w:jc w:val="both"/>
        <w:rPr>
          <w:rFonts w:ascii="Calibri" w:hAnsi="Calibri" w:cs="Calibri"/>
          <w:bCs/>
          <w:sz w:val="18"/>
          <w:szCs w:val="18"/>
        </w:rPr>
      </w:pPr>
      <w:r>
        <w:rPr>
          <w:rFonts w:ascii="Calibri" w:hAnsi="Calibri" w:cs="Calibri"/>
          <w:bCs/>
          <w:sz w:val="18"/>
          <w:szCs w:val="18"/>
        </w:rPr>
        <w:t xml:space="preserve">Áreas interiores: HAMA até 238 m² e MORI até </w:t>
      </w:r>
      <w:r w:rsidR="00D9608D">
        <w:rPr>
          <w:rFonts w:ascii="Calibri" w:hAnsi="Calibri" w:cs="Calibri"/>
          <w:bCs/>
          <w:sz w:val="18"/>
          <w:szCs w:val="18"/>
        </w:rPr>
        <w:t xml:space="preserve">199 </w:t>
      </w:r>
      <w:r>
        <w:rPr>
          <w:rFonts w:ascii="Calibri" w:hAnsi="Calibri" w:cs="Calibri"/>
          <w:bCs/>
          <w:sz w:val="18"/>
          <w:szCs w:val="18"/>
        </w:rPr>
        <w:t>m</w:t>
      </w:r>
      <w:r>
        <w:rPr>
          <w:rFonts w:ascii="Calibri" w:hAnsi="Calibri" w:cs="Calibri"/>
          <w:bCs/>
          <w:sz w:val="18"/>
          <w:szCs w:val="18"/>
          <w:vertAlign w:val="superscript"/>
        </w:rPr>
        <w:t>2</w:t>
      </w:r>
    </w:p>
    <w:p w14:paraId="374C9B91" w14:textId="0ED841EE" w:rsidR="00050CEE" w:rsidRPr="00B4580A" w:rsidRDefault="00050CEE" w:rsidP="00050CEE">
      <w:pPr>
        <w:spacing w:line="240" w:lineRule="auto"/>
        <w:jc w:val="both"/>
        <w:rPr>
          <w:rFonts w:ascii="Calibri" w:hAnsi="Calibri" w:cs="Calibri"/>
          <w:bCs/>
          <w:sz w:val="18"/>
          <w:szCs w:val="18"/>
        </w:rPr>
      </w:pPr>
      <w:r>
        <w:rPr>
          <w:rFonts w:ascii="Calibri" w:hAnsi="Calibri" w:cs="Calibri"/>
          <w:bCs/>
          <w:sz w:val="18"/>
          <w:szCs w:val="18"/>
        </w:rPr>
        <w:t>Áreas exteriores: varandas, jardins e terraços: HAMA até 281 m² e MORI até 202 m²</w:t>
      </w:r>
    </w:p>
    <w:p w14:paraId="211C3CFB" w14:textId="437C9D26" w:rsidR="00F650B8" w:rsidRPr="00F650B8" w:rsidRDefault="00F650B8" w:rsidP="00F650B8">
      <w:pPr>
        <w:spacing w:line="240" w:lineRule="auto"/>
        <w:jc w:val="both"/>
        <w:rPr>
          <w:rFonts w:ascii="Calibri" w:hAnsi="Calibri" w:cs="Calibri"/>
          <w:bCs/>
          <w:sz w:val="18"/>
          <w:szCs w:val="18"/>
        </w:rPr>
      </w:pPr>
      <w:r>
        <w:rPr>
          <w:rFonts w:ascii="Calibri" w:hAnsi="Calibri" w:cs="Calibri"/>
          <w:bCs/>
          <w:sz w:val="18"/>
          <w:szCs w:val="18"/>
        </w:rPr>
        <w:t xml:space="preserve">Características principais: jardins privativos, terraços, piscinas, estacionamento privativo, áreas de </w:t>
      </w:r>
      <w:r>
        <w:rPr>
          <w:rFonts w:ascii="Calibri" w:hAnsi="Calibri" w:cs="Calibri"/>
          <w:bCs/>
          <w:i/>
          <w:iCs/>
          <w:sz w:val="18"/>
          <w:szCs w:val="18"/>
        </w:rPr>
        <w:t>wellness</w:t>
      </w:r>
      <w:r>
        <w:rPr>
          <w:rFonts w:ascii="Calibri" w:hAnsi="Calibri" w:cs="Calibri"/>
          <w:bCs/>
          <w:sz w:val="18"/>
          <w:szCs w:val="18"/>
        </w:rPr>
        <w:t>, garrafeira, sala de cinema (em algumas moradias) e elevador privativo (moradias 2 a 6 do HAMA)</w:t>
      </w:r>
    </w:p>
    <w:p w14:paraId="4F41BC23" w14:textId="646C0E24" w:rsidR="00050CEE" w:rsidRPr="00B4580A" w:rsidRDefault="00050CEE" w:rsidP="00050CEE">
      <w:pPr>
        <w:spacing w:line="240" w:lineRule="auto"/>
        <w:jc w:val="both"/>
        <w:rPr>
          <w:rFonts w:ascii="Calibri" w:hAnsi="Calibri" w:cs="Calibri"/>
          <w:bCs/>
          <w:sz w:val="18"/>
          <w:szCs w:val="18"/>
        </w:rPr>
      </w:pPr>
      <w:r>
        <w:rPr>
          <w:rFonts w:ascii="Calibri" w:hAnsi="Calibri" w:cs="Calibri"/>
          <w:bCs/>
          <w:sz w:val="18"/>
          <w:szCs w:val="18"/>
        </w:rPr>
        <w:t xml:space="preserve">Preços:  HAMA (a partir de </w:t>
      </w:r>
      <w:r w:rsidR="00D9608D">
        <w:rPr>
          <w:rFonts w:ascii="Calibri" w:hAnsi="Calibri" w:cs="Calibri"/>
          <w:bCs/>
          <w:sz w:val="18"/>
          <w:szCs w:val="18"/>
        </w:rPr>
        <w:t>1.575.000</w:t>
      </w:r>
      <w:r>
        <w:rPr>
          <w:rFonts w:ascii="Calibri" w:hAnsi="Calibri" w:cs="Calibri"/>
          <w:bCs/>
          <w:sz w:val="18"/>
          <w:szCs w:val="18"/>
        </w:rPr>
        <w:t xml:space="preserve"> €) e MORI (a partir de</w:t>
      </w:r>
      <w:r w:rsidR="00D9608D">
        <w:rPr>
          <w:rFonts w:ascii="Calibri" w:hAnsi="Calibri" w:cs="Calibri"/>
          <w:bCs/>
          <w:sz w:val="18"/>
          <w:szCs w:val="18"/>
        </w:rPr>
        <w:t>1.390.000 €</w:t>
      </w:r>
      <w:r>
        <w:rPr>
          <w:rFonts w:ascii="Calibri" w:hAnsi="Calibri" w:cs="Calibri"/>
          <w:bCs/>
          <w:sz w:val="18"/>
          <w:szCs w:val="18"/>
        </w:rPr>
        <w:t>)</w:t>
      </w:r>
    </w:p>
    <w:p w14:paraId="27DB7185" w14:textId="6D8B79A8" w:rsidR="00050CEE" w:rsidRPr="00B4580A" w:rsidRDefault="00050CEE" w:rsidP="00050CEE">
      <w:pPr>
        <w:spacing w:line="240" w:lineRule="auto"/>
        <w:jc w:val="both"/>
        <w:rPr>
          <w:rFonts w:ascii="Calibri" w:hAnsi="Calibri" w:cs="Calibri"/>
          <w:bCs/>
          <w:sz w:val="18"/>
          <w:szCs w:val="18"/>
        </w:rPr>
      </w:pPr>
      <w:r>
        <w:rPr>
          <w:rFonts w:ascii="Calibri" w:hAnsi="Calibri" w:cs="Calibri"/>
          <w:bCs/>
          <w:sz w:val="18"/>
          <w:szCs w:val="18"/>
        </w:rPr>
        <w:t>Estado do projeto: HAMA (início da construção em outubro de 2026). MORI (início da construção no início de 2027).</w:t>
      </w:r>
    </w:p>
    <w:p w14:paraId="289EB6E3" w14:textId="6B804903" w:rsidR="00050CEE" w:rsidRPr="00B4580A" w:rsidRDefault="00050CEE" w:rsidP="00050CEE">
      <w:pPr>
        <w:spacing w:line="240" w:lineRule="auto"/>
        <w:jc w:val="both"/>
        <w:rPr>
          <w:rFonts w:ascii="Calibri" w:hAnsi="Calibri" w:cs="Calibri"/>
          <w:bCs/>
          <w:sz w:val="18"/>
          <w:szCs w:val="18"/>
        </w:rPr>
      </w:pPr>
      <w:r>
        <w:rPr>
          <w:rFonts w:ascii="Calibri" w:hAnsi="Calibri" w:cs="Calibri"/>
          <w:bCs/>
          <w:sz w:val="18"/>
          <w:szCs w:val="18"/>
        </w:rPr>
        <w:t>Primeiras escrituras: HAMA (final de 2028) MORI (primeiro trimestre de 2029)</w:t>
      </w:r>
    </w:p>
    <w:p w14:paraId="451FF57B" w14:textId="3D46F81C" w:rsidR="009F6526" w:rsidRDefault="009F6526" w:rsidP="00F650B8">
      <w:pPr>
        <w:spacing w:line="240" w:lineRule="auto"/>
        <w:jc w:val="both"/>
        <w:rPr>
          <w:rFonts w:ascii="Calibri" w:hAnsi="Calibri" w:cs="Calibri"/>
          <w:bCs/>
          <w:sz w:val="18"/>
          <w:szCs w:val="18"/>
        </w:rPr>
      </w:pPr>
      <w:r>
        <w:rPr>
          <w:rFonts w:ascii="Calibri" w:hAnsi="Calibri" w:cs="Calibri"/>
          <w:bCs/>
          <w:sz w:val="18"/>
          <w:szCs w:val="18"/>
        </w:rPr>
        <w:t xml:space="preserve">Arquitetura: Inês Brandão </w:t>
      </w:r>
    </w:p>
    <w:p w14:paraId="0F6E14F3" w14:textId="0007D61C" w:rsidR="00F650B8" w:rsidRPr="00F650B8" w:rsidRDefault="00F650B8" w:rsidP="00F650B8">
      <w:pPr>
        <w:spacing w:line="240" w:lineRule="auto"/>
        <w:jc w:val="both"/>
        <w:rPr>
          <w:rFonts w:ascii="Calibri" w:hAnsi="Calibri" w:cs="Calibri"/>
          <w:bCs/>
          <w:sz w:val="18"/>
          <w:szCs w:val="18"/>
        </w:rPr>
      </w:pPr>
      <w:r>
        <w:rPr>
          <w:rFonts w:ascii="Calibri" w:hAnsi="Calibri" w:cs="Calibri"/>
          <w:bCs/>
          <w:sz w:val="18"/>
          <w:szCs w:val="18"/>
        </w:rPr>
        <w:t>Promotor: Legera</w:t>
      </w:r>
    </w:p>
    <w:p w14:paraId="5DF27B63" w14:textId="630D54B9" w:rsidR="00F650B8" w:rsidRDefault="00F650B8" w:rsidP="00F650B8">
      <w:pPr>
        <w:spacing w:line="240" w:lineRule="auto"/>
        <w:jc w:val="both"/>
        <w:rPr>
          <w:rFonts w:ascii="Calibri" w:hAnsi="Calibri" w:cs="Calibri"/>
          <w:bCs/>
          <w:sz w:val="18"/>
          <w:szCs w:val="18"/>
        </w:rPr>
      </w:pPr>
      <w:r>
        <w:rPr>
          <w:rFonts w:ascii="Calibri" w:hAnsi="Calibri" w:cs="Calibri"/>
          <w:bCs/>
          <w:sz w:val="18"/>
          <w:szCs w:val="18"/>
        </w:rPr>
        <w:t>Comercialização: Portugal Sotheby's International Realty (em regime de exclusividade).</w:t>
      </w:r>
    </w:p>
    <w:p w14:paraId="3673AC23" w14:textId="77777777" w:rsidR="00835894" w:rsidRDefault="00835894" w:rsidP="00F650B8">
      <w:pPr>
        <w:spacing w:line="240" w:lineRule="auto"/>
        <w:jc w:val="both"/>
        <w:rPr>
          <w:rFonts w:ascii="Calibri" w:hAnsi="Calibri" w:cs="Calibri"/>
          <w:bCs/>
          <w:sz w:val="18"/>
          <w:szCs w:val="18"/>
        </w:rPr>
      </w:pPr>
    </w:p>
    <w:p w14:paraId="72A2EB98" w14:textId="486C0254" w:rsidR="002106DB" w:rsidRPr="00A75AB1" w:rsidRDefault="002106DB" w:rsidP="00555B15">
      <w:pPr>
        <w:spacing w:line="240" w:lineRule="auto"/>
        <w:jc w:val="both"/>
        <w:rPr>
          <w:rFonts w:ascii="Calibri" w:hAnsi="Calibri" w:cs="Calibri"/>
          <w:b/>
          <w:sz w:val="18"/>
          <w:szCs w:val="18"/>
        </w:rPr>
      </w:pPr>
      <w:r>
        <w:rPr>
          <w:rFonts w:ascii="Calibri" w:hAnsi="Calibri" w:cs="Calibri"/>
          <w:b/>
          <w:sz w:val="18"/>
          <w:szCs w:val="18"/>
        </w:rPr>
        <w:t>Sobre a Portugal Sotheby’s International Realty</w:t>
      </w:r>
    </w:p>
    <w:p w14:paraId="75F322D2" w14:textId="1933F572" w:rsidR="002106DB" w:rsidRPr="00A75AB1" w:rsidRDefault="002106DB" w:rsidP="00555B15">
      <w:pPr>
        <w:spacing w:line="240" w:lineRule="auto"/>
        <w:jc w:val="both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 xml:space="preserve">A Sotheby’s nasceu como uma casa de leilões excecional em Londres em 1744, tendo em 1976 sido criada uma imobiliária de luxo com o mesmo nome, a Sotheby’s International Realty. Em Portugal, a Sotheby’s International Realty surge em 2007 com a abertura do seu primeiro escritório no Estoril e, dois anos depois, são inaugurados dois novos escritórios em Lisboa e em Oeiras. Atualmente, a Portugal Sotheby’s Realty conta com uma rede de 10 agências, empregando </w:t>
      </w:r>
      <w:r w:rsidR="00D9608D">
        <w:rPr>
          <w:rFonts w:ascii="Calibri" w:hAnsi="Calibri" w:cs="Calibri"/>
          <w:sz w:val="18"/>
          <w:szCs w:val="18"/>
        </w:rPr>
        <w:t>cerca</w:t>
      </w:r>
      <w:r>
        <w:rPr>
          <w:rFonts w:ascii="Calibri" w:hAnsi="Calibri" w:cs="Calibri"/>
          <w:sz w:val="18"/>
          <w:szCs w:val="18"/>
        </w:rPr>
        <w:t xml:space="preserve"> de </w:t>
      </w:r>
      <w:r w:rsidR="00D9608D">
        <w:rPr>
          <w:rFonts w:ascii="Calibri" w:hAnsi="Calibri" w:cs="Calibri"/>
          <w:sz w:val="18"/>
          <w:szCs w:val="18"/>
        </w:rPr>
        <w:t>3</w:t>
      </w:r>
      <w:r>
        <w:rPr>
          <w:rFonts w:ascii="Calibri" w:hAnsi="Calibri" w:cs="Calibri"/>
          <w:sz w:val="18"/>
          <w:szCs w:val="18"/>
        </w:rPr>
        <w:t xml:space="preserve">00 colaboradores. Mais informações em </w:t>
      </w:r>
      <w:hyperlink r:id="rId11" w:history="1">
        <w:r>
          <w:rPr>
            <w:rStyle w:val="Hiperligao"/>
            <w:rFonts w:ascii="Calibri" w:hAnsi="Calibri" w:cs="Calibri"/>
            <w:bCs/>
            <w:sz w:val="18"/>
            <w:szCs w:val="18"/>
          </w:rPr>
          <w:t>https://www.sothebysrealtypt.com/</w:t>
        </w:r>
      </w:hyperlink>
    </w:p>
    <w:p w14:paraId="38828DCB" w14:textId="77777777" w:rsidR="00484952" w:rsidRPr="00A75AB1" w:rsidRDefault="00484952" w:rsidP="00555B15">
      <w:pPr>
        <w:spacing w:line="240" w:lineRule="auto"/>
        <w:jc w:val="both"/>
        <w:rPr>
          <w:rFonts w:ascii="Calibri" w:hAnsi="Calibri" w:cs="Calibri"/>
          <w:sz w:val="18"/>
          <w:szCs w:val="18"/>
        </w:rPr>
      </w:pPr>
    </w:p>
    <w:p w14:paraId="375D6961" w14:textId="66F268A7" w:rsidR="00EA590C" w:rsidRDefault="00484952" w:rsidP="00484952">
      <w:pPr>
        <w:spacing w:line="240" w:lineRule="auto"/>
        <w:jc w:val="both"/>
        <w:rPr>
          <w:rFonts w:ascii="Calibri" w:hAnsi="Calibri" w:cs="Calibri"/>
          <w:b/>
          <w:color w:val="000000"/>
          <w:sz w:val="18"/>
          <w:szCs w:val="18"/>
        </w:rPr>
      </w:pPr>
      <w:r>
        <w:rPr>
          <w:rFonts w:ascii="Calibri" w:hAnsi="Calibri" w:cs="Calibri"/>
          <w:b/>
          <w:color w:val="000000"/>
          <w:sz w:val="18"/>
          <w:szCs w:val="18"/>
        </w:rPr>
        <w:t>Sobre a Legera</w:t>
      </w:r>
    </w:p>
    <w:p w14:paraId="0583620A" w14:textId="77777777" w:rsidR="00B23E49" w:rsidRPr="009436ED" w:rsidRDefault="00B23E49" w:rsidP="00B23E49">
      <w:pPr>
        <w:spacing w:line="240" w:lineRule="auto"/>
        <w:jc w:val="both"/>
        <w:rPr>
          <w:rStyle w:val="Hiperligao"/>
          <w:rFonts w:ascii="Calibri" w:hAnsi="Calibri" w:cs="Calibri"/>
          <w:bCs/>
          <w:color w:val="000000"/>
          <w:sz w:val="18"/>
          <w:szCs w:val="18"/>
          <w:u w:val="none"/>
        </w:rPr>
      </w:pPr>
      <w:r>
        <w:rPr>
          <w:rStyle w:val="Hiperligao"/>
          <w:rFonts w:ascii="Calibri" w:hAnsi="Calibri" w:cs="Calibri"/>
          <w:bCs/>
          <w:color w:val="000000"/>
          <w:sz w:val="18"/>
          <w:szCs w:val="18"/>
          <w:u w:val="none"/>
        </w:rPr>
        <w:t xml:space="preserve">A Legera é uma empresa de promoção e investimento imobiliário especializada na identificação e desenvolvimento de projetos residenciais de referência em localizações privilegiadas. Com uma abordagem que combina qualidade, inovação, sustentabilidade e respeito pelo património cultural, a empresa desenvolve tanto projetos de raiz como reabilitação de edifícios históricos. A Legera procura criar imóveis exclusivos e de valor duradouro, conciliando o retorno para investidores e clientes com um impacto positivo nas comunidades e nos territórios onde está presente. Mais informações em </w:t>
      </w:r>
      <w:hyperlink r:id="rId12" w:history="1">
        <w:r>
          <w:rPr>
            <w:rStyle w:val="Hiperligao"/>
            <w:rFonts w:ascii="Calibri" w:hAnsi="Calibri" w:cs="Calibri"/>
            <w:bCs/>
            <w:sz w:val="18"/>
            <w:szCs w:val="18"/>
          </w:rPr>
          <w:t>https://www.legera.pt/en/about-us</w:t>
        </w:r>
      </w:hyperlink>
      <w:r>
        <w:rPr>
          <w:rStyle w:val="Hiperligao"/>
          <w:rFonts w:ascii="Calibri" w:hAnsi="Calibri" w:cs="Calibri"/>
          <w:bCs/>
          <w:color w:val="000000"/>
          <w:sz w:val="18"/>
          <w:szCs w:val="18"/>
          <w:u w:val="none"/>
        </w:rPr>
        <w:t xml:space="preserve"> </w:t>
      </w:r>
    </w:p>
    <w:p w14:paraId="4DABFA27" w14:textId="77777777" w:rsidR="00423D8E" w:rsidRDefault="00423D8E" w:rsidP="00555B15">
      <w:pPr>
        <w:spacing w:line="240" w:lineRule="auto"/>
        <w:jc w:val="both"/>
        <w:rPr>
          <w:rStyle w:val="Hiperligao"/>
          <w:rFonts w:ascii="Calibri" w:hAnsi="Calibri" w:cs="Calibri"/>
          <w:bCs/>
          <w:color w:val="000000"/>
          <w:sz w:val="24"/>
          <w:szCs w:val="24"/>
        </w:rPr>
      </w:pPr>
    </w:p>
    <w:p w14:paraId="5C7CD6AF" w14:textId="77777777" w:rsidR="00B35C5E" w:rsidRPr="00265801" w:rsidRDefault="00B35C5E" w:rsidP="00B35C5E">
      <w:pPr>
        <w:spacing w:line="240" w:lineRule="auto"/>
        <w:jc w:val="both"/>
        <w:rPr>
          <w:rStyle w:val="Hiperligao"/>
          <w:rFonts w:asciiTheme="minorHAnsi" w:hAnsiTheme="minorHAnsi" w:cstheme="minorHAnsi"/>
          <w:b/>
          <w:color w:val="000000"/>
          <w:u w:val="none"/>
        </w:rPr>
      </w:pPr>
      <w:r>
        <w:rPr>
          <w:rStyle w:val="Hiperligao"/>
          <w:rFonts w:asciiTheme="minorHAnsi" w:hAnsiTheme="minorHAnsi" w:cstheme="minorHAnsi"/>
          <w:b/>
          <w:color w:val="000000"/>
          <w:u w:val="none"/>
        </w:rPr>
        <w:t>Para mais informações contactar, por favor:</w:t>
      </w:r>
    </w:p>
    <w:p w14:paraId="3C44F155" w14:textId="77777777" w:rsidR="00B35C5E" w:rsidRPr="00265801" w:rsidRDefault="00B35C5E" w:rsidP="00B35C5E">
      <w:pPr>
        <w:spacing w:line="240" w:lineRule="auto"/>
        <w:jc w:val="both"/>
        <w:rPr>
          <w:rStyle w:val="Hiperligao"/>
          <w:rFonts w:asciiTheme="minorHAnsi" w:hAnsiTheme="minorHAnsi" w:cstheme="minorHAnsi"/>
          <w:b/>
          <w:color w:val="000000"/>
          <w:u w:val="none"/>
        </w:rPr>
      </w:pPr>
    </w:p>
    <w:p w14:paraId="3BEB2A16" w14:textId="77777777" w:rsidR="00B35C5E" w:rsidRPr="00265801" w:rsidRDefault="00B35C5E" w:rsidP="00B35C5E">
      <w:pPr>
        <w:spacing w:line="240" w:lineRule="auto"/>
        <w:jc w:val="both"/>
        <w:rPr>
          <w:rFonts w:asciiTheme="minorHAnsi" w:hAnsiTheme="minorHAnsi" w:cstheme="minorHAnsi"/>
          <w:bCs/>
          <w:color w:val="000000"/>
        </w:rPr>
      </w:pPr>
      <w:r>
        <w:rPr>
          <w:rStyle w:val="Hiperligao"/>
          <w:rFonts w:asciiTheme="minorHAnsi" w:hAnsiTheme="minorHAnsi" w:cstheme="minorHAnsi"/>
          <w:bCs/>
          <w:color w:val="000000"/>
          <w:u w:val="none"/>
        </w:rPr>
        <w:t xml:space="preserve">Carla Rodrigues | </w:t>
      </w:r>
      <w:hyperlink r:id="rId13" w:history="1">
        <w:r>
          <w:rPr>
            <w:rStyle w:val="Hiperligao"/>
            <w:rFonts w:asciiTheme="minorHAnsi" w:hAnsiTheme="minorHAnsi" w:cstheme="minorHAnsi"/>
            <w:bCs/>
          </w:rPr>
          <w:t>carla.rodrigues@lift.com.pt</w:t>
        </w:r>
      </w:hyperlink>
      <w:r>
        <w:rPr>
          <w:rStyle w:val="Hiperligao"/>
          <w:rFonts w:asciiTheme="minorHAnsi" w:hAnsiTheme="minorHAnsi" w:cstheme="minorHAnsi"/>
          <w:bCs/>
          <w:color w:val="000000"/>
          <w:u w:val="none"/>
        </w:rPr>
        <w:t xml:space="preserve"> | </w:t>
      </w:r>
      <w:r>
        <w:rPr>
          <w:rFonts w:asciiTheme="minorHAnsi" w:hAnsiTheme="minorHAnsi" w:cstheme="minorHAnsi"/>
          <w:bCs/>
          <w:color w:val="000000"/>
        </w:rPr>
        <w:t>915 193 379</w:t>
      </w:r>
    </w:p>
    <w:p w14:paraId="6F38EDE9" w14:textId="0DC3823F" w:rsidR="00CA458A" w:rsidRPr="00265801" w:rsidRDefault="00B35C5E" w:rsidP="00B35C5E">
      <w:pPr>
        <w:spacing w:line="240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color w:val="000000"/>
        </w:rPr>
        <w:t xml:space="preserve">Anabela Pereira | </w:t>
      </w:r>
      <w:hyperlink r:id="rId14" w:history="1">
        <w:r>
          <w:rPr>
            <w:rStyle w:val="Hiperligao"/>
            <w:rFonts w:asciiTheme="minorHAnsi" w:hAnsiTheme="minorHAnsi" w:cstheme="minorHAnsi"/>
          </w:rPr>
          <w:t>anabela.pereira@lift.com.pt</w:t>
        </w:r>
      </w:hyperlink>
      <w:r>
        <w:rPr>
          <w:rFonts w:asciiTheme="minorHAnsi" w:hAnsiTheme="minorHAnsi" w:cstheme="minorHAnsi"/>
          <w:color w:val="000000"/>
        </w:rPr>
        <w:t xml:space="preserve"> | </w:t>
      </w:r>
      <w:r>
        <w:rPr>
          <w:rFonts w:asciiTheme="minorHAnsi" w:hAnsiTheme="minorHAnsi" w:cstheme="minorHAnsi"/>
          <w:color w:val="000000"/>
          <w14:ligatures w14:val="standardContextual"/>
        </w:rPr>
        <w:t>936 282 863</w:t>
      </w:r>
    </w:p>
    <w:sectPr w:rsidR="00CA458A" w:rsidRPr="0026580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EC6B59" w14:textId="77777777" w:rsidR="00F97FDD" w:rsidRDefault="00F97FDD" w:rsidP="00F04F51">
      <w:pPr>
        <w:spacing w:line="240" w:lineRule="auto"/>
      </w:pPr>
      <w:r>
        <w:separator/>
      </w:r>
    </w:p>
  </w:endnote>
  <w:endnote w:type="continuationSeparator" w:id="0">
    <w:p w14:paraId="2BD70B67" w14:textId="77777777" w:rsidR="00F97FDD" w:rsidRDefault="00F97FDD" w:rsidP="00F04F5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4192DD" w14:textId="77777777" w:rsidR="00F97FDD" w:rsidRDefault="00F97FDD" w:rsidP="00F04F51">
      <w:pPr>
        <w:spacing w:line="240" w:lineRule="auto"/>
      </w:pPr>
      <w:r>
        <w:separator/>
      </w:r>
    </w:p>
  </w:footnote>
  <w:footnote w:type="continuationSeparator" w:id="0">
    <w:p w14:paraId="290C65AC" w14:textId="77777777" w:rsidR="00F97FDD" w:rsidRDefault="00F97FDD" w:rsidP="00F04F51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C05799"/>
    <w:multiLevelType w:val="hybridMultilevel"/>
    <w:tmpl w:val="E2BE1E4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8246AFC"/>
    <w:multiLevelType w:val="multilevel"/>
    <w:tmpl w:val="081674B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3A0212D8"/>
    <w:multiLevelType w:val="multilevel"/>
    <w:tmpl w:val="46E2C2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4EC4779F"/>
    <w:multiLevelType w:val="hybridMultilevel"/>
    <w:tmpl w:val="F4BC95A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04228A8"/>
    <w:multiLevelType w:val="hybridMultilevel"/>
    <w:tmpl w:val="0654256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5235A32"/>
    <w:multiLevelType w:val="hybridMultilevel"/>
    <w:tmpl w:val="10FABFD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2B3289C"/>
    <w:multiLevelType w:val="hybridMultilevel"/>
    <w:tmpl w:val="E13A102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2BC0127"/>
    <w:multiLevelType w:val="multilevel"/>
    <w:tmpl w:val="A89E41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F097E42"/>
    <w:multiLevelType w:val="multilevel"/>
    <w:tmpl w:val="192866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0D14633"/>
    <w:multiLevelType w:val="multilevel"/>
    <w:tmpl w:val="A3380F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42415014">
    <w:abstractNumId w:val="1"/>
  </w:num>
  <w:num w:numId="2" w16cid:durableId="870726850">
    <w:abstractNumId w:val="2"/>
  </w:num>
  <w:num w:numId="3" w16cid:durableId="950477651">
    <w:abstractNumId w:val="9"/>
  </w:num>
  <w:num w:numId="4" w16cid:durableId="72549293">
    <w:abstractNumId w:val="0"/>
  </w:num>
  <w:num w:numId="5" w16cid:durableId="1821000606">
    <w:abstractNumId w:val="3"/>
  </w:num>
  <w:num w:numId="6" w16cid:durableId="1447118094">
    <w:abstractNumId w:val="7"/>
  </w:num>
  <w:num w:numId="7" w16cid:durableId="1693915385">
    <w:abstractNumId w:val="8"/>
  </w:num>
  <w:num w:numId="8" w16cid:durableId="1896357991">
    <w:abstractNumId w:val="4"/>
  </w:num>
  <w:num w:numId="9" w16cid:durableId="1267545426">
    <w:abstractNumId w:val="5"/>
  </w:num>
  <w:num w:numId="10" w16cid:durableId="166956011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0CEC"/>
    <w:rsid w:val="00000BAF"/>
    <w:rsid w:val="0000720E"/>
    <w:rsid w:val="0000791D"/>
    <w:rsid w:val="00024553"/>
    <w:rsid w:val="000256A3"/>
    <w:rsid w:val="00026DBF"/>
    <w:rsid w:val="00027E38"/>
    <w:rsid w:val="00033161"/>
    <w:rsid w:val="000403FC"/>
    <w:rsid w:val="00044CCA"/>
    <w:rsid w:val="00050CEE"/>
    <w:rsid w:val="00063677"/>
    <w:rsid w:val="00067FB4"/>
    <w:rsid w:val="00081EEC"/>
    <w:rsid w:val="00084BAA"/>
    <w:rsid w:val="00091241"/>
    <w:rsid w:val="000B66B4"/>
    <w:rsid w:val="000B71CD"/>
    <w:rsid w:val="000C4580"/>
    <w:rsid w:val="000D76C3"/>
    <w:rsid w:val="000E4BB5"/>
    <w:rsid w:val="000E6F09"/>
    <w:rsid w:val="000F1A97"/>
    <w:rsid w:val="000F2361"/>
    <w:rsid w:val="000F5D07"/>
    <w:rsid w:val="00104568"/>
    <w:rsid w:val="0011145A"/>
    <w:rsid w:val="00120F2C"/>
    <w:rsid w:val="001214C3"/>
    <w:rsid w:val="001257A6"/>
    <w:rsid w:val="001301C1"/>
    <w:rsid w:val="00132DE0"/>
    <w:rsid w:val="001358F9"/>
    <w:rsid w:val="0013775A"/>
    <w:rsid w:val="0014047C"/>
    <w:rsid w:val="001525AA"/>
    <w:rsid w:val="0015569F"/>
    <w:rsid w:val="00157C0A"/>
    <w:rsid w:val="001674C8"/>
    <w:rsid w:val="001720B9"/>
    <w:rsid w:val="00180FA5"/>
    <w:rsid w:val="00196647"/>
    <w:rsid w:val="001A236E"/>
    <w:rsid w:val="001A27B1"/>
    <w:rsid w:val="001B30D9"/>
    <w:rsid w:val="001B34DD"/>
    <w:rsid w:val="001B7D69"/>
    <w:rsid w:val="001D2AA5"/>
    <w:rsid w:val="001D4748"/>
    <w:rsid w:val="001D7DEE"/>
    <w:rsid w:val="001F0AFF"/>
    <w:rsid w:val="0020064F"/>
    <w:rsid w:val="002013C2"/>
    <w:rsid w:val="002106DB"/>
    <w:rsid w:val="00210DB9"/>
    <w:rsid w:val="002125A8"/>
    <w:rsid w:val="00216577"/>
    <w:rsid w:val="00225442"/>
    <w:rsid w:val="00225A33"/>
    <w:rsid w:val="00230A30"/>
    <w:rsid w:val="002378AF"/>
    <w:rsid w:val="00240BF7"/>
    <w:rsid w:val="00244651"/>
    <w:rsid w:val="0024565C"/>
    <w:rsid w:val="00260286"/>
    <w:rsid w:val="002609C4"/>
    <w:rsid w:val="00265801"/>
    <w:rsid w:val="002663A0"/>
    <w:rsid w:val="00270276"/>
    <w:rsid w:val="00270616"/>
    <w:rsid w:val="00271385"/>
    <w:rsid w:val="0028218D"/>
    <w:rsid w:val="002A37E6"/>
    <w:rsid w:val="002A59D9"/>
    <w:rsid w:val="002B36AB"/>
    <w:rsid w:val="002C1A39"/>
    <w:rsid w:val="002D0CEC"/>
    <w:rsid w:val="002E415D"/>
    <w:rsid w:val="002F0AF0"/>
    <w:rsid w:val="002F2E76"/>
    <w:rsid w:val="002F32B7"/>
    <w:rsid w:val="0031502E"/>
    <w:rsid w:val="003210AC"/>
    <w:rsid w:val="00325109"/>
    <w:rsid w:val="00326F20"/>
    <w:rsid w:val="00327377"/>
    <w:rsid w:val="00336499"/>
    <w:rsid w:val="0033690E"/>
    <w:rsid w:val="00340CEC"/>
    <w:rsid w:val="00341014"/>
    <w:rsid w:val="003465E7"/>
    <w:rsid w:val="00355F1C"/>
    <w:rsid w:val="00356616"/>
    <w:rsid w:val="00357A23"/>
    <w:rsid w:val="00357EEF"/>
    <w:rsid w:val="003626E3"/>
    <w:rsid w:val="003658EE"/>
    <w:rsid w:val="00390F0A"/>
    <w:rsid w:val="00393948"/>
    <w:rsid w:val="00395CF2"/>
    <w:rsid w:val="00396E5F"/>
    <w:rsid w:val="003A1483"/>
    <w:rsid w:val="003A2690"/>
    <w:rsid w:val="003A6932"/>
    <w:rsid w:val="003A7840"/>
    <w:rsid w:val="003B0234"/>
    <w:rsid w:val="003B3779"/>
    <w:rsid w:val="003C25C7"/>
    <w:rsid w:val="003C3250"/>
    <w:rsid w:val="003C5B16"/>
    <w:rsid w:val="003D12C9"/>
    <w:rsid w:val="003D345E"/>
    <w:rsid w:val="003E0221"/>
    <w:rsid w:val="003E5513"/>
    <w:rsid w:val="003E768D"/>
    <w:rsid w:val="003F00A2"/>
    <w:rsid w:val="004003D9"/>
    <w:rsid w:val="004023AA"/>
    <w:rsid w:val="0040422A"/>
    <w:rsid w:val="004055C6"/>
    <w:rsid w:val="00405779"/>
    <w:rsid w:val="0041010E"/>
    <w:rsid w:val="00412746"/>
    <w:rsid w:val="00414A5C"/>
    <w:rsid w:val="00423D8E"/>
    <w:rsid w:val="00437B7C"/>
    <w:rsid w:val="00437F80"/>
    <w:rsid w:val="0044177B"/>
    <w:rsid w:val="0044269A"/>
    <w:rsid w:val="00443F4E"/>
    <w:rsid w:val="00452B04"/>
    <w:rsid w:val="004556C4"/>
    <w:rsid w:val="004607F0"/>
    <w:rsid w:val="00462B0C"/>
    <w:rsid w:val="0047281B"/>
    <w:rsid w:val="00476F42"/>
    <w:rsid w:val="00481A90"/>
    <w:rsid w:val="00483837"/>
    <w:rsid w:val="00484952"/>
    <w:rsid w:val="004A4735"/>
    <w:rsid w:val="004A78AE"/>
    <w:rsid w:val="004B07D7"/>
    <w:rsid w:val="004C10B2"/>
    <w:rsid w:val="004C6702"/>
    <w:rsid w:val="004D5368"/>
    <w:rsid w:val="004D547C"/>
    <w:rsid w:val="004E097E"/>
    <w:rsid w:val="004F0DFD"/>
    <w:rsid w:val="004F4518"/>
    <w:rsid w:val="004F5451"/>
    <w:rsid w:val="00500F6D"/>
    <w:rsid w:val="00505ECD"/>
    <w:rsid w:val="005065A5"/>
    <w:rsid w:val="005125BF"/>
    <w:rsid w:val="00521167"/>
    <w:rsid w:val="00532199"/>
    <w:rsid w:val="0053362B"/>
    <w:rsid w:val="00536CC6"/>
    <w:rsid w:val="00536D8B"/>
    <w:rsid w:val="005465D1"/>
    <w:rsid w:val="00550DFE"/>
    <w:rsid w:val="00555B15"/>
    <w:rsid w:val="00555E55"/>
    <w:rsid w:val="00556339"/>
    <w:rsid w:val="005710BF"/>
    <w:rsid w:val="005719E8"/>
    <w:rsid w:val="0058000E"/>
    <w:rsid w:val="00580A7A"/>
    <w:rsid w:val="005868A3"/>
    <w:rsid w:val="00587FD9"/>
    <w:rsid w:val="00590002"/>
    <w:rsid w:val="00593AF2"/>
    <w:rsid w:val="005A2F41"/>
    <w:rsid w:val="005A4D13"/>
    <w:rsid w:val="005A7E5A"/>
    <w:rsid w:val="005B5D6C"/>
    <w:rsid w:val="005D0093"/>
    <w:rsid w:val="005E16FB"/>
    <w:rsid w:val="005E5154"/>
    <w:rsid w:val="005F2701"/>
    <w:rsid w:val="005F6C28"/>
    <w:rsid w:val="00606386"/>
    <w:rsid w:val="00607075"/>
    <w:rsid w:val="00620079"/>
    <w:rsid w:val="00621D47"/>
    <w:rsid w:val="00630652"/>
    <w:rsid w:val="006369BF"/>
    <w:rsid w:val="006431C9"/>
    <w:rsid w:val="0065541A"/>
    <w:rsid w:val="00664ED9"/>
    <w:rsid w:val="00667EB3"/>
    <w:rsid w:val="0067020A"/>
    <w:rsid w:val="006804E2"/>
    <w:rsid w:val="00683784"/>
    <w:rsid w:val="00684501"/>
    <w:rsid w:val="006868D3"/>
    <w:rsid w:val="00687CAB"/>
    <w:rsid w:val="00690556"/>
    <w:rsid w:val="00693083"/>
    <w:rsid w:val="0069437B"/>
    <w:rsid w:val="00697DCB"/>
    <w:rsid w:val="006A3907"/>
    <w:rsid w:val="006A4068"/>
    <w:rsid w:val="006B5BDB"/>
    <w:rsid w:val="006C2EA9"/>
    <w:rsid w:val="006E12C4"/>
    <w:rsid w:val="006E3FD6"/>
    <w:rsid w:val="006F11B0"/>
    <w:rsid w:val="00713311"/>
    <w:rsid w:val="007242B8"/>
    <w:rsid w:val="007242C6"/>
    <w:rsid w:val="0072726F"/>
    <w:rsid w:val="0073361C"/>
    <w:rsid w:val="007342EA"/>
    <w:rsid w:val="0074492C"/>
    <w:rsid w:val="00745707"/>
    <w:rsid w:val="007537D5"/>
    <w:rsid w:val="00756FAE"/>
    <w:rsid w:val="00757E22"/>
    <w:rsid w:val="00762408"/>
    <w:rsid w:val="0076248E"/>
    <w:rsid w:val="00776EFB"/>
    <w:rsid w:val="00780839"/>
    <w:rsid w:val="00791D1F"/>
    <w:rsid w:val="00793E60"/>
    <w:rsid w:val="007976BF"/>
    <w:rsid w:val="007B24F6"/>
    <w:rsid w:val="007B489D"/>
    <w:rsid w:val="007C5ECF"/>
    <w:rsid w:val="007D1CFD"/>
    <w:rsid w:val="007D5F59"/>
    <w:rsid w:val="007E372F"/>
    <w:rsid w:val="007E585E"/>
    <w:rsid w:val="00802A70"/>
    <w:rsid w:val="00805A5A"/>
    <w:rsid w:val="00810055"/>
    <w:rsid w:val="00810702"/>
    <w:rsid w:val="008132D5"/>
    <w:rsid w:val="008232BA"/>
    <w:rsid w:val="00825132"/>
    <w:rsid w:val="00826EFD"/>
    <w:rsid w:val="008306A4"/>
    <w:rsid w:val="00835894"/>
    <w:rsid w:val="00851498"/>
    <w:rsid w:val="008628D8"/>
    <w:rsid w:val="0086713E"/>
    <w:rsid w:val="008770F8"/>
    <w:rsid w:val="00890FF2"/>
    <w:rsid w:val="00893DFB"/>
    <w:rsid w:val="00896523"/>
    <w:rsid w:val="008A016A"/>
    <w:rsid w:val="008A2618"/>
    <w:rsid w:val="008A3779"/>
    <w:rsid w:val="008B2CEF"/>
    <w:rsid w:val="008B3B1F"/>
    <w:rsid w:val="008B7AD8"/>
    <w:rsid w:val="008C10B7"/>
    <w:rsid w:val="008C1352"/>
    <w:rsid w:val="008C5189"/>
    <w:rsid w:val="008C75B8"/>
    <w:rsid w:val="008D72C9"/>
    <w:rsid w:val="008E1A5D"/>
    <w:rsid w:val="008F56EB"/>
    <w:rsid w:val="00901E9B"/>
    <w:rsid w:val="00905835"/>
    <w:rsid w:val="00912456"/>
    <w:rsid w:val="00915200"/>
    <w:rsid w:val="00916610"/>
    <w:rsid w:val="00922459"/>
    <w:rsid w:val="00926528"/>
    <w:rsid w:val="00940AFC"/>
    <w:rsid w:val="0095426F"/>
    <w:rsid w:val="009666CE"/>
    <w:rsid w:val="00973698"/>
    <w:rsid w:val="00984868"/>
    <w:rsid w:val="0098629B"/>
    <w:rsid w:val="00987649"/>
    <w:rsid w:val="009935E2"/>
    <w:rsid w:val="00993E7D"/>
    <w:rsid w:val="00996B0F"/>
    <w:rsid w:val="009979C1"/>
    <w:rsid w:val="009A1D23"/>
    <w:rsid w:val="009A1F5A"/>
    <w:rsid w:val="009A247A"/>
    <w:rsid w:val="009A2EA2"/>
    <w:rsid w:val="009A4702"/>
    <w:rsid w:val="009A5396"/>
    <w:rsid w:val="009A5D29"/>
    <w:rsid w:val="009A5F0A"/>
    <w:rsid w:val="009A748C"/>
    <w:rsid w:val="009B3739"/>
    <w:rsid w:val="009B7B59"/>
    <w:rsid w:val="009C1D88"/>
    <w:rsid w:val="009D0AA3"/>
    <w:rsid w:val="009D1485"/>
    <w:rsid w:val="009D3E96"/>
    <w:rsid w:val="009D69B9"/>
    <w:rsid w:val="009D70CE"/>
    <w:rsid w:val="009E5779"/>
    <w:rsid w:val="009E5EF2"/>
    <w:rsid w:val="009F17F4"/>
    <w:rsid w:val="009F6526"/>
    <w:rsid w:val="009F6C64"/>
    <w:rsid w:val="00A104BB"/>
    <w:rsid w:val="00A1767B"/>
    <w:rsid w:val="00A20578"/>
    <w:rsid w:val="00A22198"/>
    <w:rsid w:val="00A2288C"/>
    <w:rsid w:val="00A23DB9"/>
    <w:rsid w:val="00A259A0"/>
    <w:rsid w:val="00A26A79"/>
    <w:rsid w:val="00A33EAD"/>
    <w:rsid w:val="00A3404B"/>
    <w:rsid w:val="00A371E5"/>
    <w:rsid w:val="00A42BA5"/>
    <w:rsid w:val="00A45450"/>
    <w:rsid w:val="00A457A7"/>
    <w:rsid w:val="00A47E2D"/>
    <w:rsid w:val="00A52B6C"/>
    <w:rsid w:val="00A55475"/>
    <w:rsid w:val="00A643F1"/>
    <w:rsid w:val="00A75AB1"/>
    <w:rsid w:val="00A76E0E"/>
    <w:rsid w:val="00A800C3"/>
    <w:rsid w:val="00A84011"/>
    <w:rsid w:val="00A840AA"/>
    <w:rsid w:val="00A843F4"/>
    <w:rsid w:val="00A91A21"/>
    <w:rsid w:val="00AB128A"/>
    <w:rsid w:val="00AB43CA"/>
    <w:rsid w:val="00AC7FC9"/>
    <w:rsid w:val="00AD0E1E"/>
    <w:rsid w:val="00AE563C"/>
    <w:rsid w:val="00AF069F"/>
    <w:rsid w:val="00AF134A"/>
    <w:rsid w:val="00AF4611"/>
    <w:rsid w:val="00B02908"/>
    <w:rsid w:val="00B02C13"/>
    <w:rsid w:val="00B0772E"/>
    <w:rsid w:val="00B138BE"/>
    <w:rsid w:val="00B15653"/>
    <w:rsid w:val="00B2307F"/>
    <w:rsid w:val="00B239DC"/>
    <w:rsid w:val="00B23E49"/>
    <w:rsid w:val="00B24B2B"/>
    <w:rsid w:val="00B311BC"/>
    <w:rsid w:val="00B35C5E"/>
    <w:rsid w:val="00B365D5"/>
    <w:rsid w:val="00B37B25"/>
    <w:rsid w:val="00B40EBE"/>
    <w:rsid w:val="00B440A1"/>
    <w:rsid w:val="00B4580A"/>
    <w:rsid w:val="00B61D75"/>
    <w:rsid w:val="00B6323F"/>
    <w:rsid w:val="00B65711"/>
    <w:rsid w:val="00B65FC4"/>
    <w:rsid w:val="00B66B54"/>
    <w:rsid w:val="00B73012"/>
    <w:rsid w:val="00B736E3"/>
    <w:rsid w:val="00B82918"/>
    <w:rsid w:val="00B859C9"/>
    <w:rsid w:val="00B904BB"/>
    <w:rsid w:val="00B96013"/>
    <w:rsid w:val="00BA10F4"/>
    <w:rsid w:val="00BA3D5C"/>
    <w:rsid w:val="00BA4BA3"/>
    <w:rsid w:val="00BB2104"/>
    <w:rsid w:val="00BB49B5"/>
    <w:rsid w:val="00BB584F"/>
    <w:rsid w:val="00BD0A0A"/>
    <w:rsid w:val="00BD3544"/>
    <w:rsid w:val="00BF0FBD"/>
    <w:rsid w:val="00BF121E"/>
    <w:rsid w:val="00C00491"/>
    <w:rsid w:val="00C01FB8"/>
    <w:rsid w:val="00C03CB9"/>
    <w:rsid w:val="00C044C1"/>
    <w:rsid w:val="00C1065E"/>
    <w:rsid w:val="00C10FBA"/>
    <w:rsid w:val="00C13954"/>
    <w:rsid w:val="00C13EEB"/>
    <w:rsid w:val="00C140B1"/>
    <w:rsid w:val="00C167B1"/>
    <w:rsid w:val="00C17C50"/>
    <w:rsid w:val="00C22AE4"/>
    <w:rsid w:val="00C27B1D"/>
    <w:rsid w:val="00C3270F"/>
    <w:rsid w:val="00C34AC0"/>
    <w:rsid w:val="00C50E3D"/>
    <w:rsid w:val="00C666B3"/>
    <w:rsid w:val="00C770D4"/>
    <w:rsid w:val="00C805EF"/>
    <w:rsid w:val="00C9242E"/>
    <w:rsid w:val="00C94777"/>
    <w:rsid w:val="00C951C2"/>
    <w:rsid w:val="00CA155A"/>
    <w:rsid w:val="00CA458A"/>
    <w:rsid w:val="00CA52FB"/>
    <w:rsid w:val="00CA65F6"/>
    <w:rsid w:val="00CC2DA1"/>
    <w:rsid w:val="00CD1505"/>
    <w:rsid w:val="00CD2F4C"/>
    <w:rsid w:val="00CD5D85"/>
    <w:rsid w:val="00CE02F8"/>
    <w:rsid w:val="00CE0DFC"/>
    <w:rsid w:val="00CE4E56"/>
    <w:rsid w:val="00CE6E10"/>
    <w:rsid w:val="00CF1078"/>
    <w:rsid w:val="00CF7C30"/>
    <w:rsid w:val="00D02E22"/>
    <w:rsid w:val="00D033D3"/>
    <w:rsid w:val="00D15E9E"/>
    <w:rsid w:val="00D25B0E"/>
    <w:rsid w:val="00D42339"/>
    <w:rsid w:val="00D50298"/>
    <w:rsid w:val="00D709DB"/>
    <w:rsid w:val="00D727AD"/>
    <w:rsid w:val="00D74367"/>
    <w:rsid w:val="00D829E2"/>
    <w:rsid w:val="00D8397F"/>
    <w:rsid w:val="00D910D2"/>
    <w:rsid w:val="00D9608D"/>
    <w:rsid w:val="00DA51F7"/>
    <w:rsid w:val="00DB72C4"/>
    <w:rsid w:val="00DC5D56"/>
    <w:rsid w:val="00DC7C9A"/>
    <w:rsid w:val="00DD1D70"/>
    <w:rsid w:val="00DD3A2D"/>
    <w:rsid w:val="00DE58F9"/>
    <w:rsid w:val="00E05E54"/>
    <w:rsid w:val="00E075F4"/>
    <w:rsid w:val="00E107FE"/>
    <w:rsid w:val="00E26642"/>
    <w:rsid w:val="00E36CDE"/>
    <w:rsid w:val="00E37BBF"/>
    <w:rsid w:val="00E404D8"/>
    <w:rsid w:val="00E428D7"/>
    <w:rsid w:val="00E5017D"/>
    <w:rsid w:val="00E504A5"/>
    <w:rsid w:val="00E54FF6"/>
    <w:rsid w:val="00E5500A"/>
    <w:rsid w:val="00E6123F"/>
    <w:rsid w:val="00E73F12"/>
    <w:rsid w:val="00E76843"/>
    <w:rsid w:val="00E77D87"/>
    <w:rsid w:val="00E92BA1"/>
    <w:rsid w:val="00E9409D"/>
    <w:rsid w:val="00EA590C"/>
    <w:rsid w:val="00EC11B6"/>
    <w:rsid w:val="00EC1B01"/>
    <w:rsid w:val="00EC5D03"/>
    <w:rsid w:val="00ED0909"/>
    <w:rsid w:val="00ED0B43"/>
    <w:rsid w:val="00ED1775"/>
    <w:rsid w:val="00ED4479"/>
    <w:rsid w:val="00ED524A"/>
    <w:rsid w:val="00ED678B"/>
    <w:rsid w:val="00EE06AF"/>
    <w:rsid w:val="00EF18FD"/>
    <w:rsid w:val="00EF44AC"/>
    <w:rsid w:val="00EF4CA6"/>
    <w:rsid w:val="00F00144"/>
    <w:rsid w:val="00F04F51"/>
    <w:rsid w:val="00F06C62"/>
    <w:rsid w:val="00F17165"/>
    <w:rsid w:val="00F20977"/>
    <w:rsid w:val="00F25290"/>
    <w:rsid w:val="00F30F96"/>
    <w:rsid w:val="00F315C8"/>
    <w:rsid w:val="00F34081"/>
    <w:rsid w:val="00F34C9D"/>
    <w:rsid w:val="00F34EA4"/>
    <w:rsid w:val="00F3727B"/>
    <w:rsid w:val="00F43D4F"/>
    <w:rsid w:val="00F50799"/>
    <w:rsid w:val="00F5367B"/>
    <w:rsid w:val="00F62374"/>
    <w:rsid w:val="00F64BEE"/>
    <w:rsid w:val="00F650B8"/>
    <w:rsid w:val="00F804F8"/>
    <w:rsid w:val="00F828B4"/>
    <w:rsid w:val="00F83C48"/>
    <w:rsid w:val="00F87E32"/>
    <w:rsid w:val="00F95746"/>
    <w:rsid w:val="00F958FA"/>
    <w:rsid w:val="00F96880"/>
    <w:rsid w:val="00F97FDD"/>
    <w:rsid w:val="00FC45B0"/>
    <w:rsid w:val="00FD6E6F"/>
    <w:rsid w:val="00FE0EC0"/>
    <w:rsid w:val="00FE49E1"/>
    <w:rsid w:val="00FF69B8"/>
    <w:rsid w:val="00FF71A8"/>
    <w:rsid w:val="198DD746"/>
    <w:rsid w:val="246B3C6C"/>
    <w:rsid w:val="4330072F"/>
    <w:rsid w:val="5E7F2A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C9A7D2"/>
  <w15:chartTrackingRefBased/>
  <w15:docId w15:val="{4E742AA9-9BCB-4823-A73D-AC566BD960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P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106DB"/>
    <w:pPr>
      <w:spacing w:after="0" w:line="276" w:lineRule="auto"/>
    </w:pPr>
    <w:rPr>
      <w:rFonts w:ascii="Arial" w:eastAsia="Arial" w:hAnsi="Arial" w:cs="Arial"/>
      <w:kern w:val="0"/>
      <w:lang w:eastAsia="en-GB"/>
      <w14:ligatures w14:val="none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iperligao">
    <w:name w:val="Hyperlink"/>
    <w:basedOn w:val="Tipodeletrapredefinidodopargrafo"/>
    <w:uiPriority w:val="99"/>
    <w:unhideWhenUsed/>
    <w:rsid w:val="002106DB"/>
    <w:rPr>
      <w:color w:val="0563C1" w:themeColor="hyperlink"/>
      <w:u w:val="single"/>
    </w:rPr>
  </w:style>
  <w:style w:type="paragraph" w:styleId="PargrafodaLista">
    <w:name w:val="List Paragraph"/>
    <w:basedOn w:val="Normal"/>
    <w:uiPriority w:val="34"/>
    <w:qFormat/>
    <w:rsid w:val="002106DB"/>
    <w:pPr>
      <w:ind w:left="720"/>
      <w:contextualSpacing/>
    </w:pPr>
  </w:style>
  <w:style w:type="paragraph" w:styleId="Reviso">
    <w:name w:val="Revision"/>
    <w:hidden/>
    <w:uiPriority w:val="99"/>
    <w:semiHidden/>
    <w:rsid w:val="00E428D7"/>
    <w:pPr>
      <w:spacing w:after="0" w:line="240" w:lineRule="auto"/>
    </w:pPr>
    <w:rPr>
      <w:rFonts w:ascii="Arial" w:eastAsia="Arial" w:hAnsi="Arial" w:cs="Arial"/>
      <w:kern w:val="0"/>
      <w:lang w:eastAsia="en-GB"/>
      <w14:ligatures w14:val="none"/>
    </w:rPr>
  </w:style>
  <w:style w:type="character" w:styleId="MenoNoResolvida">
    <w:name w:val="Unresolved Mention"/>
    <w:basedOn w:val="Tipodeletrapredefinidodopargrafo"/>
    <w:uiPriority w:val="99"/>
    <w:semiHidden/>
    <w:unhideWhenUsed/>
    <w:rsid w:val="00B35C5E"/>
    <w:rPr>
      <w:color w:val="605E5C"/>
      <w:shd w:val="clear" w:color="auto" w:fill="E1DFDD"/>
    </w:rPr>
  </w:style>
  <w:style w:type="character" w:styleId="Hiperligaovisitada">
    <w:name w:val="FollowedHyperlink"/>
    <w:basedOn w:val="Tipodeletrapredefinidodopargrafo"/>
    <w:uiPriority w:val="99"/>
    <w:semiHidden/>
    <w:unhideWhenUsed/>
    <w:rsid w:val="00B35C5E"/>
    <w:rPr>
      <w:color w:val="954F72" w:themeColor="followedHyperlink"/>
      <w:u w:val="single"/>
    </w:rPr>
  </w:style>
  <w:style w:type="character" w:styleId="Refdecomentrio">
    <w:name w:val="annotation reference"/>
    <w:basedOn w:val="Tipodeletrapredefinidodopargrafo"/>
    <w:uiPriority w:val="99"/>
    <w:semiHidden/>
    <w:unhideWhenUsed/>
    <w:rsid w:val="00270616"/>
    <w:rPr>
      <w:sz w:val="16"/>
      <w:szCs w:val="16"/>
    </w:rPr>
  </w:style>
  <w:style w:type="paragraph" w:styleId="Textodecomentrio">
    <w:name w:val="annotation text"/>
    <w:basedOn w:val="Normal"/>
    <w:link w:val="TextodecomentrioCarter"/>
    <w:uiPriority w:val="99"/>
    <w:unhideWhenUsed/>
    <w:rsid w:val="00270616"/>
    <w:pPr>
      <w:spacing w:line="240" w:lineRule="auto"/>
    </w:pPr>
    <w:rPr>
      <w:sz w:val="20"/>
      <w:szCs w:val="20"/>
    </w:rPr>
  </w:style>
  <w:style w:type="character" w:customStyle="1" w:styleId="TextodecomentrioCarter">
    <w:name w:val="Texto de comentário Caráter"/>
    <w:basedOn w:val="Tipodeletrapredefinidodopargrafo"/>
    <w:link w:val="Textodecomentrio"/>
    <w:uiPriority w:val="99"/>
    <w:rsid w:val="00270616"/>
    <w:rPr>
      <w:rFonts w:ascii="Arial" w:eastAsia="Arial" w:hAnsi="Arial" w:cs="Arial"/>
      <w:kern w:val="0"/>
      <w:sz w:val="20"/>
      <w:szCs w:val="20"/>
      <w:lang w:eastAsia="en-GB"/>
      <w14:ligatures w14:val="none"/>
    </w:rPr>
  </w:style>
  <w:style w:type="paragraph" w:styleId="Assuntodecomentrio">
    <w:name w:val="annotation subject"/>
    <w:basedOn w:val="Textodecomentrio"/>
    <w:next w:val="Textodecomentrio"/>
    <w:link w:val="AssuntodecomentrioCarter"/>
    <w:uiPriority w:val="99"/>
    <w:semiHidden/>
    <w:unhideWhenUsed/>
    <w:rsid w:val="00270616"/>
    <w:rPr>
      <w:b/>
      <w:bCs/>
    </w:rPr>
  </w:style>
  <w:style w:type="character" w:customStyle="1" w:styleId="AssuntodecomentrioCarter">
    <w:name w:val="Assunto de comentário Caráter"/>
    <w:basedOn w:val="TextodecomentrioCarter"/>
    <w:link w:val="Assuntodecomentrio"/>
    <w:uiPriority w:val="99"/>
    <w:semiHidden/>
    <w:rsid w:val="00270616"/>
    <w:rPr>
      <w:rFonts w:ascii="Arial" w:eastAsia="Arial" w:hAnsi="Arial" w:cs="Arial"/>
      <w:b/>
      <w:bCs/>
      <w:kern w:val="0"/>
      <w:sz w:val="20"/>
      <w:szCs w:val="20"/>
      <w:lang w:eastAsia="en-GB"/>
      <w14:ligatures w14:val="none"/>
    </w:rPr>
  </w:style>
  <w:style w:type="paragraph" w:styleId="Cabealho">
    <w:name w:val="header"/>
    <w:basedOn w:val="Normal"/>
    <w:link w:val="CabealhoCarter"/>
    <w:uiPriority w:val="99"/>
    <w:unhideWhenUsed/>
    <w:rsid w:val="00F04F51"/>
    <w:pPr>
      <w:tabs>
        <w:tab w:val="center" w:pos="4513"/>
        <w:tab w:val="right" w:pos="9026"/>
      </w:tabs>
      <w:spacing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F04F51"/>
    <w:rPr>
      <w:rFonts w:ascii="Arial" w:eastAsia="Arial" w:hAnsi="Arial" w:cs="Arial"/>
      <w:kern w:val="0"/>
      <w:lang w:eastAsia="en-GB"/>
      <w14:ligatures w14:val="none"/>
    </w:rPr>
  </w:style>
  <w:style w:type="paragraph" w:styleId="Rodap">
    <w:name w:val="footer"/>
    <w:basedOn w:val="Normal"/>
    <w:link w:val="RodapCarter"/>
    <w:uiPriority w:val="99"/>
    <w:unhideWhenUsed/>
    <w:rsid w:val="00F04F51"/>
    <w:pPr>
      <w:tabs>
        <w:tab w:val="center" w:pos="4513"/>
        <w:tab w:val="right" w:pos="9026"/>
      </w:tabs>
      <w:spacing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F04F51"/>
    <w:rPr>
      <w:rFonts w:ascii="Arial" w:eastAsia="Arial" w:hAnsi="Arial" w:cs="Arial"/>
      <w:kern w:val="0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9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4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87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484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41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20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57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90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90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68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75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07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584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168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89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mailto:carla.rodrigues@lift.com.pt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www.legera.pt/en/about-us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sothebysrealtypt.com/" TargetMode="Externa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mailto:anabela.pereira@lift.com.pt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7e14742-196e-407d-ac28-755036e92368">
      <Terms xmlns="http://schemas.microsoft.com/office/infopath/2007/PartnerControls"/>
    </lcf76f155ced4ddcb4097134ff3c332f>
    <TaxCatchAll xmlns="5616a63c-10d3-4767-bc27-5282019ed633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49E4B95ED44B54C93CF7A24326AA862" ma:contentTypeVersion="16" ma:contentTypeDescription="Create a new document." ma:contentTypeScope="" ma:versionID="99e2f44f1c4188afbee03fc126c18fc8">
  <xsd:schema xmlns:xsd="http://www.w3.org/2001/XMLSchema" xmlns:xs="http://www.w3.org/2001/XMLSchema" xmlns:p="http://schemas.microsoft.com/office/2006/metadata/properties" xmlns:ns2="37e14742-196e-407d-ac28-755036e92368" xmlns:ns3="5616a63c-10d3-4767-bc27-5282019ed633" targetNamespace="http://schemas.microsoft.com/office/2006/metadata/properties" ma:root="true" ma:fieldsID="d154e83391b9c6c29b956c4f577d713c" ns2:_="" ns3:_="">
    <xsd:import namespace="37e14742-196e-407d-ac28-755036e92368"/>
    <xsd:import namespace="5616a63c-10d3-4767-bc27-5282019ed63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7e14742-196e-407d-ac28-755036e9236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89d19024-90d2-4c33-a65e-3c6afe2a8e0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616a63c-10d3-4767-bc27-5282019ed633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40bd9846-c2b6-4657-aa06-c919c6be6780}" ma:internalName="TaxCatchAll" ma:showField="CatchAllData" ma:web="5616a63c-10d3-4767-bc27-5282019ed63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5140295-F04F-425C-AAEF-5965DF204302}">
  <ds:schemaRefs>
    <ds:schemaRef ds:uri="http://schemas.microsoft.com/office/2006/metadata/properties"/>
    <ds:schemaRef ds:uri="http://schemas.microsoft.com/office/infopath/2007/PartnerControls"/>
    <ds:schemaRef ds:uri="37e14742-196e-407d-ac28-755036e92368"/>
    <ds:schemaRef ds:uri="5616a63c-10d3-4767-bc27-5282019ed633"/>
  </ds:schemaRefs>
</ds:datastoreItem>
</file>

<file path=customXml/itemProps2.xml><?xml version="1.0" encoding="utf-8"?>
<ds:datastoreItem xmlns:ds="http://schemas.openxmlformats.org/officeDocument/2006/customXml" ds:itemID="{31F87776-787C-4F74-BBD2-BE76151C041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7e14742-196e-407d-ac28-755036e92368"/>
    <ds:schemaRef ds:uri="5616a63c-10d3-4767-bc27-5282019ed63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BF8D4DD-2515-4C99-9EDA-F5B0CF1C54E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933</Words>
  <Characters>5555</Characters>
  <Application>Microsoft Office Word</Application>
  <DocSecurity>0</DocSecurity>
  <Lines>106</Lines>
  <Paragraphs>42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6446</CharactersWithSpaces>
  <SharedDoc>false</SharedDoc>
  <HLinks>
    <vt:vector size="6" baseType="variant">
      <vt:variant>
        <vt:i4>5505037</vt:i4>
      </vt:variant>
      <vt:variant>
        <vt:i4>0</vt:i4>
      </vt:variant>
      <vt:variant>
        <vt:i4>0</vt:i4>
      </vt:variant>
      <vt:variant>
        <vt:i4>5</vt:i4>
      </vt:variant>
      <vt:variant>
        <vt:lpwstr>https://www.sothebysrealtypt.com/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Carla Rodrigues</dc:creator>
  <cp:keywords/>
  <dc:description/>
  <cp:lastModifiedBy>Carla Rodrigues</cp:lastModifiedBy>
  <cp:revision>6</cp:revision>
  <dcterms:created xsi:type="dcterms:W3CDTF">2026-10-21T15:41:00Z</dcterms:created>
  <dcterms:modified xsi:type="dcterms:W3CDTF">2026-10-21T18:19:00Z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0x010100349E4B95ED44B54C93CF7A24326AA862</vt:lpwstr>
  </property>
</Properties>
</file>