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Raleway" w:cs="Raleway" w:eastAsia="Raleway" w:hAnsi="Raleway"/>
          <w:i w:val="1"/>
          <w:iCs w:val="1"/>
        </w:rPr>
      </w:pPr>
      <w:r w:rsidDel="00000000" w:rsidR="00000000" w:rsidRPr="00000000">
        <w:rPr>
          <w:rFonts w:ascii="Raleway" w:cs="Raleway" w:eastAsia="Raleway" w:hAnsi="Raleway"/>
          <w:i w:val="1"/>
          <w:iCs w:val="1"/>
          <w:rtl w:val="0"/>
        </w:rPr>
        <w:t xml:space="preserve">I</w:t>
      </w:r>
      <w:r w:rsidDel="00000000" w:rsidR="00000000" w:rsidRPr="00000000">
        <w:rPr>
          <w:rFonts w:ascii="Raleway" w:cs="Raleway" w:eastAsia="Raleway" w:hAnsi="Raleway"/>
          <w:i w:val="1"/>
          <w:iCs w:val="1"/>
          <w:rtl w:val="0"/>
        </w:rPr>
        <w:t xml:space="preserve">nformacja prasowa</w:t>
      </w:r>
    </w:p>
    <w:p w:rsidR="00000000" w:rsidDel="00000000" w:rsidP="00000000" w:rsidRDefault="00000000" w:rsidRPr="00000000" w14:paraId="00000003">
      <w:pPr>
        <w:jc w:val="right"/>
        <w:rPr>
          <w:rFonts w:ascii="Raleway" w:cs="Raleway" w:eastAsia="Raleway" w:hAnsi="Raleway"/>
          <w:b w:val="1"/>
          <w:bCs w:val="1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Warszawa, 21.10.2026r.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Raleway" w:cs="Raleway" w:eastAsia="Raleway" w:hAnsi="Raleway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jc w:val="center"/>
        <w:rPr>
          <w:rFonts w:ascii="Raleway" w:cs="Raleway" w:eastAsia="Raleway" w:hAnsi="Raleway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6"/>
          <w:szCs w:val="26"/>
          <w:rtl w:val="0"/>
        </w:rPr>
        <w:t xml:space="preserve">Value Media z kampanią launchującą “Cyfrową Firmę” od Orange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Value Media, agencja mediowa należąca do Group One, prowadzi kampanię launchującą “Cyfrową Firmę” Orange – platformę dla właścicieli małych firm, która wykorzystuje </w:t>
      </w: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Pracowników AI</w:t>
      </w: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 do wsparcia w codziennym prowadzeniu biznesu. Działania </w:t>
      </w: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obejmą</w:t>
      </w: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 szeroki wachlarz kanałów digitalowych oraz </w:t>
      </w: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środowisk biznesowych.</w:t>
      </w: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 Kampania realizowana jest przy wsparciu Salestube i </w:t>
      </w: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Labcon</w:t>
      </w: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, także należących do Group One, w modelu House of Communication. </w:t>
      </w:r>
    </w:p>
    <w:p w:rsidR="00000000" w:rsidDel="00000000" w:rsidP="00000000" w:rsidRDefault="00000000" w:rsidRPr="00000000" w14:paraId="00000007">
      <w:pPr>
        <w:jc w:val="both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„Cyfrowa Firma” od Orange pozwala przedsiębiorcom aktywować w jednej aplikacji Pracowników AI wspierających m.in. pracę z dokumentami, sprzedaż, finanse czy obsługę opinii w Google. Rozwiązanie dostępne jest na urządzeniach z iOS i Android, a jego założeniem jest przejmowanie części codziennych zadań przedsiębiorcy i oszczędzanie jego czasu.</w:t>
      </w:r>
    </w:p>
    <w:p w:rsidR="00000000" w:rsidDel="00000000" w:rsidP="00000000" w:rsidRDefault="00000000" w:rsidRPr="00000000" w14:paraId="00000009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Strategia kampanii odpowiada na wyzwania przedsiębiorców, którzy z jednej strony mierzą się z natłokiem bieżących obowiązków, a z drugiej – z rosnącą presją związaną z wykorzystaniem sztucznej inteligencji w biznesie. Komunikacja została oparta na dowodzie społecznym, kontekstowości oraz wielokanałowym wsparciu użytkownika. Jej celem jest budowanie wiarygodności usługi i pokazywanie jej praktycznych korzyści w środowiskach naturalnych dla grupy docelowej.</w:t>
      </w:r>
    </w:p>
    <w:p w:rsidR="00000000" w:rsidDel="00000000" w:rsidP="00000000" w:rsidRDefault="00000000" w:rsidRPr="00000000" w14:paraId="0000000B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Zaplanowane działania obejmują współpracę z twórcami biznesowymi i podcastami tematycznymi, social media, reklamy w panelu przedsiębiorcy OLX, programmatic display, SEO, SEM oraz marketing automation. Poszczególne kanały zostały ułożone tak, aby wspierać użytkownika na kolejnych etapach ścieżki – od budowania świadomości i zainteresowania po pobranie aplikacji i aktywizację. 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Value Media odpowiada za przygotowanie strategii mediowej, planowanie i koordynację działań oraz zakup mediów. W ramach modelu House of Communication Salestube realizuje zakup mediów paid w obszarze programmatic, social media i SEM, przygotowuje strategię SEO oraz scenariusze marketing automation.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Labcon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 odpowiada za rekomendacje twórców i podcastów, a kreacje do kampanii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przygotowuje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 GPD. 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Pierwszy flight kampanii potrwa do końca 2026 roku.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***</w:t>
      </w:r>
    </w:p>
    <w:p w:rsidR="00000000" w:rsidDel="00000000" w:rsidP="00000000" w:rsidRDefault="00000000" w:rsidRPr="00000000" w14:paraId="00000010">
      <w:pPr>
        <w:spacing w:line="276" w:lineRule="auto"/>
        <w:jc w:val="center"/>
        <w:rPr>
          <w:rFonts w:ascii="Raleway" w:cs="Raleway" w:eastAsia="Raleway" w:hAnsi="Raleway"/>
          <w:b w:val="1"/>
          <w:bCs w:val="1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18"/>
          <w:szCs w:val="18"/>
          <w:rtl w:val="0"/>
        </w:rPr>
        <w:t xml:space="preserve">Value Media</w:t>
      </w:r>
    </w:p>
    <w:p w:rsidR="00000000" w:rsidDel="00000000" w:rsidP="00000000" w:rsidRDefault="00000000" w:rsidRPr="00000000" w14:paraId="00000011">
      <w:pPr>
        <w:spacing w:line="276" w:lineRule="auto"/>
        <w:jc w:val="center"/>
        <w:rPr>
          <w:rFonts w:ascii="Raleway" w:cs="Raleway" w:eastAsia="Raleway" w:hAnsi="Raleway"/>
          <w:sz w:val="20"/>
          <w:szCs w:val="20"/>
        </w:rPr>
      </w:pPr>
      <w:r w:rsidDel="00000000" w:rsidR="00000000" w:rsidRPr="00000000">
        <w:rPr>
          <w:rFonts w:ascii="Raleway" w:cs="Raleway" w:eastAsia="Raleway" w:hAnsi="Raleway"/>
          <w:sz w:val="20"/>
          <w:szCs w:val="20"/>
          <w:rtl w:val="0"/>
        </w:rPr>
        <w:t xml:space="preserve">#DataPoweredCuriosityDriven</w:t>
      </w:r>
    </w:p>
    <w:p w:rsidR="00000000" w:rsidDel="00000000" w:rsidP="00000000" w:rsidRDefault="00000000" w:rsidRPr="00000000" w14:paraId="00000012">
      <w:pPr>
        <w:spacing w:line="276" w:lineRule="auto"/>
        <w:jc w:val="both"/>
        <w:rPr>
          <w:rFonts w:ascii="Raleway" w:cs="Raleway" w:eastAsia="Raleway" w:hAnsi="Raleway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20"/>
          <w:szCs w:val="20"/>
          <w:rtl w:val="0"/>
        </w:rPr>
        <w:t xml:space="preserve">Największa niezależna agencja mediowa w Polsce będąca częścią grupy marketingowo-technologicznej Group One. Agencja mediowa nr 2 w Polsce z profilem agencyjnym Dominant według rankingu RECMA Qualitative Evaluation 2026 oraz nr 2 wg raportu COMvergence New Business Barometer 2026. Zdobywca tytułu “Dom Mediowy Roku” 2018 i 2022 wg magazynu Media i Marketing Polska i wyróżnienia “Bogate Portfolio” 2025 oraz “Sukces Roku 2022” , “Wzrost Roku 2024” oraz “Zaufanie Roku 2025” wg magazynu PRESS. W ramach podejścia House of Communication łączy kompetencje ponad 850 ekspertów do budowania silnych marek. Oferując rozwiązania end-to-end bierze odpowiedzialność za wynik biznesowy klientów w obszarach takich jak: strategia, komunikacja, kreacja, media, e-commerce oraz badania i analityka.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Raleway" w:cs="Raleway" w:eastAsia="Raleway" w:hAnsi="Raleway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jc w:val="left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jc w:val="left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00" w:lineRule="auto"/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Dodatkowe informacje:</w:t>
      </w:r>
    </w:p>
    <w:p w:rsidR="00000000" w:rsidDel="00000000" w:rsidP="00000000" w:rsidRDefault="00000000" w:rsidRPr="00000000" w14:paraId="00000018">
      <w:pPr>
        <w:spacing w:after="100" w:lineRule="auto"/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Patrycja Stanowska | Junior PR Specialist Group One</w:t>
      </w:r>
    </w:p>
    <w:p w:rsidR="00000000" w:rsidDel="00000000" w:rsidP="00000000" w:rsidRDefault="00000000" w:rsidRPr="00000000" w14:paraId="00000019">
      <w:pPr>
        <w:spacing w:after="100" w:lineRule="auto"/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patrycja.stanowska@groupone.com.pl | +48 516 605 873</w:t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ind w:left="-566.9291338582677" w:right="-607.7952755905511" w:firstLine="0"/>
      <w:jc w:val="center"/>
      <w:rPr/>
    </w:pPr>
    <w:r w:rsidDel="00000000" w:rsidR="00000000" w:rsidRPr="00000000">
      <w:rPr>
        <w:rFonts w:ascii="Raleway" w:cs="Raleway" w:eastAsia="Raleway" w:hAnsi="Raleway"/>
        <w:b w:val="1"/>
        <w:bCs w:val="1"/>
        <w:sz w:val="20"/>
        <w:szCs w:val="20"/>
      </w:rPr>
      <w:drawing>
        <wp:inline distB="114300" distT="114300" distL="114300" distR="114300">
          <wp:extent cx="6506331" cy="947245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1" r="1" t="0"/>
                  <a:stretch>
                    <a:fillRect/>
                  </a:stretch>
                </pic:blipFill>
                <pic:spPr>
                  <a:xfrm>
                    <a:off x="0" y="0"/>
                    <a:ext cx="6506331" cy="94724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jc w:val="center"/>
      <w:rPr/>
    </w:pPr>
    <w:r w:rsidDel="00000000" w:rsidR="00000000" w:rsidRPr="00000000">
      <w:rPr/>
      <w:drawing>
        <wp:inline distB="19050" distT="19050" distL="19050" distR="19050">
          <wp:extent cx="1716215" cy="300038"/>
          <wp:effectExtent b="0" l="0" r="0" t="0"/>
          <wp:docPr descr="VM_LOGO_COLOR.png" id="2" name="image1.png"/>
          <a:graphic>
            <a:graphicData uri="http://schemas.openxmlformats.org/drawingml/2006/picture">
              <pic:pic>
                <pic:nvPicPr>
                  <pic:cNvPr descr="VM_LOGO_COLOR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16215" cy="3000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