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E167D" w14:textId="4827C1A0" w:rsidR="00315F2F" w:rsidRPr="00FD3947" w:rsidRDefault="00315F2F" w:rsidP="00DB48F2">
      <w:pPr>
        <w:spacing w:after="120" w:line="276" w:lineRule="auto"/>
        <w:jc w:val="right"/>
        <w:rPr>
          <w:rFonts w:eastAsia="Calibri" w:cs="Calibri"/>
          <w:bCs/>
          <w:sz w:val="22"/>
          <w:szCs w:val="22"/>
        </w:rPr>
      </w:pPr>
      <w:r w:rsidRPr="00FD3947">
        <w:rPr>
          <w:rFonts w:eastAsia="Calibri" w:cs="Calibri"/>
          <w:bCs/>
          <w:sz w:val="22"/>
          <w:szCs w:val="22"/>
        </w:rPr>
        <w:t xml:space="preserve">Warszawa, </w:t>
      </w:r>
      <w:r w:rsidR="00E71AC3" w:rsidRPr="00FD3947">
        <w:rPr>
          <w:rFonts w:eastAsia="Calibri" w:cs="Calibri"/>
          <w:bCs/>
          <w:sz w:val="22"/>
          <w:szCs w:val="22"/>
        </w:rPr>
        <w:t>21</w:t>
      </w:r>
      <w:r w:rsidR="008F77FB" w:rsidRPr="00FD3947">
        <w:rPr>
          <w:rFonts w:eastAsia="Calibri" w:cs="Calibri"/>
          <w:bCs/>
          <w:sz w:val="22"/>
          <w:szCs w:val="22"/>
        </w:rPr>
        <w:t xml:space="preserve"> października</w:t>
      </w:r>
      <w:r w:rsidRPr="00FD3947">
        <w:rPr>
          <w:rFonts w:eastAsia="Calibri" w:cs="Calibri"/>
          <w:bCs/>
          <w:sz w:val="22"/>
          <w:szCs w:val="22"/>
        </w:rPr>
        <w:t xml:space="preserve"> 2026 r.</w:t>
      </w:r>
    </w:p>
    <w:p w14:paraId="6E81066F" w14:textId="524FE633" w:rsidR="00E71AC3" w:rsidRPr="00FD3947" w:rsidRDefault="00315F2F" w:rsidP="00E71AC3">
      <w:pPr>
        <w:spacing w:after="120" w:line="276" w:lineRule="auto"/>
        <w:rPr>
          <w:rFonts w:eastAsia="Calibri" w:cs="Calibri"/>
          <w:bCs/>
          <w:sz w:val="22"/>
          <w:szCs w:val="22"/>
        </w:rPr>
      </w:pPr>
      <w:r w:rsidRPr="00FD3947">
        <w:rPr>
          <w:rFonts w:eastAsia="Calibri" w:cs="Calibri"/>
          <w:bCs/>
          <w:sz w:val="22"/>
          <w:szCs w:val="22"/>
        </w:rPr>
        <w:t xml:space="preserve">Komunikat prasowy </w:t>
      </w:r>
    </w:p>
    <w:p w14:paraId="58CC66E0" w14:textId="7B25E74E" w:rsidR="00E71AC3" w:rsidRPr="00FD3947" w:rsidRDefault="00E71AC3" w:rsidP="00DB48F2">
      <w:pPr>
        <w:spacing w:after="120" w:line="276" w:lineRule="auto"/>
        <w:jc w:val="center"/>
        <w:rPr>
          <w:rFonts w:eastAsia="Calibri" w:cs="Calibri"/>
          <w:b/>
          <w:bCs/>
          <w:sz w:val="22"/>
          <w:szCs w:val="22"/>
        </w:rPr>
      </w:pPr>
      <w:r w:rsidRPr="00FD3947">
        <w:rPr>
          <w:b/>
          <w:bCs/>
          <w:color w:val="000000"/>
        </w:rPr>
        <w:t>Erasmus także w warsztatach i fabrykach. Europejskie doświadczenie zdobywa się jeszcze przed pierwszą pracą</w:t>
      </w:r>
    </w:p>
    <w:p w14:paraId="24548EDD" w14:textId="6A05792D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Pierwsze zawodowe doświadczenie można dziś zdobyć w hiszpańskim przedsiębiorstwie, włoskim warsztacie czy niemieckim zakładzie produkcyjnym</w:t>
      </w:r>
      <w:r w:rsidR="00DB48F2" w:rsidRPr="00FD3947">
        <w:rPr>
          <w:rFonts w:eastAsia="Times New Roman" w:cs="Calibri"/>
          <w:b/>
          <w:bCs/>
          <w:sz w:val="22"/>
          <w:szCs w:val="22"/>
          <w:lang w:eastAsia="pl-PL"/>
        </w:rPr>
        <w:t xml:space="preserve">, </w:t>
      </w: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 xml:space="preserve">i to jeszcze przed ukończeniem szkoły. Erasmus+ otwiera takie możliwości uczniom techników i szkół branżowych, a zainteresowanie mobilnością zawodową w Polsce jest duże. W 2024 r. w tym sektorze realizowano 708 projektów </w:t>
      </w:r>
      <w:proofErr w:type="spellStart"/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mobilnościowych</w:t>
      </w:r>
      <w:proofErr w:type="spellEnd"/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 xml:space="preserve">, niemal dwukrotnie więcej niż w szkolnictwie wyższym. Znaczenie praktycznej nauki zawodu rośnie wraz z rozwojem nowych technologii i zmianami zapotrzebowania na pracowników. Według tegorocznej prognozy </w:t>
      </w:r>
      <w:r w:rsidR="00BE5EB4" w:rsidRPr="00FD3947">
        <w:rPr>
          <w:rFonts w:eastAsia="Times New Roman" w:cs="Calibri"/>
          <w:b/>
          <w:bCs/>
          <w:sz w:val="22"/>
          <w:szCs w:val="22"/>
          <w:lang w:eastAsia="pl-PL"/>
        </w:rPr>
        <w:t>MEN</w:t>
      </w: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 xml:space="preserve"> szczególne znaczenie dla polskiej gospodarki mają 34 zawody, wśród nich automatyk, mechatronik, technik robotyk i technik </w:t>
      </w:r>
      <w:proofErr w:type="spellStart"/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elektromobilności</w:t>
      </w:r>
      <w:proofErr w:type="spellEnd"/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. Jak przygotować młodych ludzi do pracy w branżach, które tak szybko się zmieniają? Jedną z</w:t>
      </w:r>
      <w:r w:rsidR="00BE5EB4" w:rsidRPr="00FD3947">
        <w:rPr>
          <w:rFonts w:eastAsia="Times New Roman" w:cs="Calibri"/>
          <w:b/>
          <w:bCs/>
          <w:sz w:val="22"/>
          <w:szCs w:val="22"/>
          <w:lang w:eastAsia="pl-PL"/>
        </w:rPr>
        <w:t> </w:t>
      </w: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odpowiedzi są doświadczenia zdobywane bezpośrednio w europejskich przedsiębiorstwach.</w:t>
      </w:r>
    </w:p>
    <w:p w14:paraId="05839163" w14:textId="77777777" w:rsidR="00DB48F2" w:rsidRPr="00FD3947" w:rsidRDefault="008F77FB" w:rsidP="00DB48F2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Erasmus już dawno wyszedł poza uniwersytety</w:t>
      </w:r>
    </w:p>
    <w:p w14:paraId="747F1D9B" w14:textId="07EE4E97" w:rsidR="008F77FB" w:rsidRPr="00FD3947" w:rsidRDefault="008F77FB" w:rsidP="00BE5EB4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Dla wielu Polek i Polaków Erasmus pozostaje synonimem studenckiej wymiany. Przez dwie dekady członkostwa Polski w UE z możliwości wyjazdu na zagraniczną uczelnię skorzystało ponad 266 tys. polskich studentów.</w:t>
      </w:r>
      <w:hyperlink r:id="rId7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1</w:t>
        </w:r>
      </w:hyperlink>
      <w:r w:rsidRPr="00FD3947">
        <w:rPr>
          <w:rFonts w:eastAsia="Times New Roman" w:cs="Calibri"/>
          <w:sz w:val="22"/>
          <w:szCs w:val="22"/>
          <w:lang w:eastAsia="pl-PL"/>
        </w:rPr>
        <w:t xml:space="preserve"> Jak wskazuje raport „W rytmie zmian. 22 lata Polski w Unii Europejskiej”, program rozwinął się jednak znacznie szerzej, obejmując również uczniów szkół średnich, osoby uczące się zawodu, nauczycieli i organizacje młodzieżowe.</w:t>
      </w:r>
      <w:r w:rsidR="00BE5EB4" w:rsidRPr="00FD3947">
        <w:rPr>
          <w:rFonts w:eastAsia="Times New Roman" w:cs="Calibri"/>
          <w:b/>
          <w:bCs/>
          <w:sz w:val="22"/>
          <w:szCs w:val="22"/>
          <w:lang w:eastAsia="pl-PL"/>
        </w:rPr>
        <w:t xml:space="preserve"> </w:t>
      </w:r>
      <w:r w:rsidRPr="00FD3947">
        <w:rPr>
          <w:rFonts w:eastAsia="Times New Roman" w:cs="Calibri"/>
          <w:sz w:val="22"/>
          <w:szCs w:val="22"/>
          <w:lang w:eastAsia="pl-PL"/>
        </w:rPr>
        <w:t xml:space="preserve">Skalę zainteresowania tymi możliwościami pokazują </w:t>
      </w:r>
      <w:r w:rsidR="00BE5EB4" w:rsidRPr="00FD3947">
        <w:rPr>
          <w:rFonts w:eastAsia="Times New Roman" w:cs="Calibri"/>
          <w:sz w:val="22"/>
          <w:szCs w:val="22"/>
          <w:lang w:eastAsia="pl-PL"/>
        </w:rPr>
        <w:t xml:space="preserve">też </w:t>
      </w:r>
      <w:r w:rsidRPr="00FD3947">
        <w:rPr>
          <w:rFonts w:eastAsia="Times New Roman" w:cs="Calibri"/>
          <w:sz w:val="22"/>
          <w:szCs w:val="22"/>
          <w:lang w:eastAsia="pl-PL"/>
        </w:rPr>
        <w:t xml:space="preserve">dane Narodowej Agencji Erasmus+. W 2024 r. w Polsce najwięcej projektów </w:t>
      </w:r>
      <w:proofErr w:type="spellStart"/>
      <w:r w:rsidRPr="00FD3947">
        <w:rPr>
          <w:rFonts w:eastAsia="Times New Roman" w:cs="Calibri"/>
          <w:sz w:val="22"/>
          <w:szCs w:val="22"/>
          <w:lang w:eastAsia="pl-PL"/>
        </w:rPr>
        <w:t>mobilnościowych</w:t>
      </w:r>
      <w:proofErr w:type="spellEnd"/>
      <w:r w:rsidRPr="00FD3947">
        <w:rPr>
          <w:rFonts w:eastAsia="Times New Roman" w:cs="Calibri"/>
          <w:sz w:val="22"/>
          <w:szCs w:val="22"/>
          <w:lang w:eastAsia="pl-PL"/>
        </w:rPr>
        <w:t xml:space="preserve"> realizowano właśnie w sektorze kształcenia i szkolenia zawodoweg</w:t>
      </w:r>
      <w:r w:rsidR="00BE5EB4" w:rsidRPr="00FD3947">
        <w:rPr>
          <w:rFonts w:eastAsia="Times New Roman" w:cs="Calibri"/>
          <w:sz w:val="22"/>
          <w:szCs w:val="22"/>
          <w:lang w:eastAsia="pl-PL"/>
        </w:rPr>
        <w:t xml:space="preserve">o – </w:t>
      </w:r>
      <w:r w:rsidRPr="00FD3947">
        <w:rPr>
          <w:rFonts w:eastAsia="Times New Roman" w:cs="Calibri"/>
          <w:sz w:val="22"/>
          <w:szCs w:val="22"/>
          <w:lang w:eastAsia="pl-PL"/>
        </w:rPr>
        <w:t>708, podczas gdy w szkolnictwie wyższym było ich 374, a w edukacji szkolnej 685. Oznacza to, że szkolnictwo zawodowe wyróżnia się pod względem liczby realizowanych projektów, choć największa pula finansowania mobilności trafiła do uczelni wyższych.</w:t>
      </w:r>
      <w:hyperlink r:id="rId8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2</w:t>
        </w:r>
      </w:hyperlink>
    </w:p>
    <w:p w14:paraId="4B9FAB89" w14:textId="77777777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 xml:space="preserve">Zagraniczne praktyki mogą odbywać się w przedsiębiorstwach oraz instytucjach kształcenia zawodowego. Uczniowie mają możliwość poznania organizacji pracy w innym kraju, wykorzystania umiejętności zdobytych w szkole i realizacji zadań związanych z przyszłym zawodem. Program przewiduje zarówno krótsze wyjazdy, trwające od 10 do 89 dni, jak i długoterminowe mobilności </w:t>
      </w:r>
      <w:proofErr w:type="spellStart"/>
      <w:r w:rsidRPr="00FD3947">
        <w:rPr>
          <w:rFonts w:eastAsia="Times New Roman" w:cs="Calibri"/>
          <w:sz w:val="22"/>
          <w:szCs w:val="22"/>
          <w:lang w:eastAsia="pl-PL"/>
        </w:rPr>
        <w:t>ErasmusPro</w:t>
      </w:r>
      <w:proofErr w:type="spellEnd"/>
      <w:r w:rsidRPr="00FD3947">
        <w:rPr>
          <w:rFonts w:eastAsia="Times New Roman" w:cs="Calibri"/>
          <w:sz w:val="22"/>
          <w:szCs w:val="22"/>
          <w:lang w:eastAsia="pl-PL"/>
        </w:rPr>
        <w:t>, które mogą trwać od 90 dni do roku. Z wyjazdów mogą korzystać również niedawni absolwenci, pod warunkiem spełnienia zasad uczestnictwa w programie.</w:t>
      </w:r>
      <w:hyperlink r:id="rId9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3</w:t>
        </w:r>
      </w:hyperlink>
    </w:p>
    <w:p w14:paraId="478473B9" w14:textId="656540EF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 xml:space="preserve">– </w:t>
      </w:r>
      <w:r w:rsidRPr="00FD3947">
        <w:rPr>
          <w:rFonts w:eastAsia="Times New Roman" w:cs="Calibri"/>
          <w:i/>
          <w:iCs/>
          <w:sz w:val="22"/>
          <w:szCs w:val="22"/>
          <w:lang w:eastAsia="pl-PL"/>
        </w:rPr>
        <w:t>Dla młodego człowieka wyjazd na zagraniczne praktyki to szansa, żeby jeszcze podczas nauki sprawdzić swoje umiejętności w środowisku zawodowym. W nowym miejscu trzeba porozumieć się z zespołem, odnaleźć w sposobie organizacji pracy, wykonać powierzone zadania. Takie doświadczenie może dać więcej pewności siebie przed pierwszą rekrutacją. Chcemy, żeby młodzi ludzie mogli korzystać z tych możliwości niezależnie od tego, czy wybierają studia, technikum czy szkołę branżową</w:t>
      </w:r>
      <w:r w:rsidRPr="00FD3947">
        <w:rPr>
          <w:rFonts w:eastAsia="Times New Roman" w:cs="Calibri"/>
          <w:sz w:val="22"/>
          <w:szCs w:val="22"/>
          <w:lang w:eastAsia="pl-PL"/>
        </w:rPr>
        <w:t xml:space="preserve"> – </w:t>
      </w:r>
      <w:r w:rsidRPr="00651AA3">
        <w:rPr>
          <w:rFonts w:eastAsia="Times New Roman" w:cs="Calibri"/>
          <w:sz w:val="22"/>
          <w:szCs w:val="22"/>
          <w:lang w:eastAsia="pl-PL"/>
        </w:rPr>
        <w:t xml:space="preserve">mówi </w:t>
      </w:r>
      <w:r w:rsidR="00FD3947">
        <w:rPr>
          <w:rFonts w:eastAsia="Times New Roman" w:cs="Calibri"/>
          <w:sz w:val="22"/>
          <w:szCs w:val="22"/>
          <w:lang w:eastAsia="pl-PL"/>
        </w:rPr>
        <w:t xml:space="preserve">Katarzyna Smyk, </w:t>
      </w:r>
      <w:r w:rsidR="00BB6D02" w:rsidRPr="00916763">
        <w:rPr>
          <w:rFonts w:ascii="Arial" w:hAnsi="Arial" w:cs="Arial"/>
          <w:sz w:val="21"/>
          <w:szCs w:val="21"/>
        </w:rPr>
        <w:t>Dyrektorka Przedstawicielstwa Komisji Europejskiej w Polsce.</w:t>
      </w:r>
    </w:p>
    <w:p w14:paraId="1F41704D" w14:textId="77777777" w:rsidR="00651AA3" w:rsidRDefault="00651AA3" w:rsidP="00DB48F2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</w:p>
    <w:p w14:paraId="3F584897" w14:textId="1BD6ECA6" w:rsidR="008F77FB" w:rsidRPr="00FD3947" w:rsidRDefault="008F77FB" w:rsidP="00DB48F2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lastRenderedPageBreak/>
        <w:t>Robotyka, automatyka, nowe technologie. Praktyki coraz bliżej przyszłości gospodarki</w:t>
      </w:r>
    </w:p>
    <w:p w14:paraId="38E58E2A" w14:textId="77777777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 xml:space="preserve">Znaczenie zagranicznych doświadczeń zawodowych warto rozpatrywać w kontekście zmian zachodzących na polskim rynku pracy. W prognozie Ministerstwa Edukacji Narodowej na 2026 r. wskazano 34 zawody o szczególnym znaczeniu dla rozwoju państwa. Wśród nich znalazły się profesje związane z automatyką, robotyką, mechatroniką, energetyką, </w:t>
      </w:r>
      <w:proofErr w:type="spellStart"/>
      <w:r w:rsidRPr="00FD3947">
        <w:rPr>
          <w:rFonts w:eastAsia="Times New Roman" w:cs="Calibri"/>
          <w:sz w:val="22"/>
          <w:szCs w:val="22"/>
          <w:lang w:eastAsia="pl-PL"/>
        </w:rPr>
        <w:t>elektromobilnością</w:t>
      </w:r>
      <w:proofErr w:type="spellEnd"/>
      <w:r w:rsidRPr="00FD3947">
        <w:rPr>
          <w:rFonts w:eastAsia="Times New Roman" w:cs="Calibri"/>
          <w:sz w:val="22"/>
          <w:szCs w:val="22"/>
          <w:lang w:eastAsia="pl-PL"/>
        </w:rPr>
        <w:t xml:space="preserve"> czy nowoczesnym transportem.</w:t>
      </w:r>
      <w:hyperlink r:id="rId10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4</w:t>
        </w:r>
      </w:hyperlink>
    </w:p>
    <w:p w14:paraId="598BBBC5" w14:textId="52F91812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W wielu tych zawodach technologie i procesy produkcyjne szybko się rozwijają. Dlatego coraz większą wartość ma możliwość poznania różnych rozwiązań technicznych oraz sposobów organizacji pracy już na etapie edukacji. Zagraniczna mobilność może uzupełniać szkolne zajęcia i praktyki realizowane w Polsce, szczególnie gdy jej program odpowiada specjalizacji ucznia i pozwala mu zdobyć doświadczenie w rzeczywistych warunkach zawodowych.</w:t>
      </w:r>
    </w:p>
    <w:p w14:paraId="60AF5E97" w14:textId="787A4CC0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Przykładem jest projekt Zespołu Szkół Technicznych im. Hipolita Cegielskiego w Śremie, nominowany w 2026 r. do Europejskiej Nagrody za Innowacyjność w Nauczaniu (EITA). Uczniowie kształcący się w zawodach technicznych odbywali praktyki w Hiszpanii. Podczas wyjazdu wykorzystywali wiedzę z przedmiotów ścisłych, technologie informacyjno-komunikacyjne i umiejętności językowe. Pracowali również z narzędziami cyfrowymi, w tym rozwiązaniami opartymi na sztucznej inteligencji oraz technologiami GIS i DTP.</w:t>
      </w:r>
      <w:hyperlink r:id="rId11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5</w:t>
        </w:r>
      </w:hyperlink>
    </w:p>
    <w:p w14:paraId="42CCA185" w14:textId="77777777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Takie projekty pokazują, jak szeroki może być zakres współczesnego kształcenia zawodowego. Uczniowie rozwijają umiejętności techniczne, uczą się współpracy z osobami z innych krajów i poznają sposoby rozwiązywania problemów zawodowych. Doświadczenia te mogą później wykorzystać zarówno w polskich przedsiębiorstwach, jak i podczas dalszej edukacji.</w:t>
      </w:r>
    </w:p>
    <w:p w14:paraId="3F5D3CEA" w14:textId="77777777" w:rsidR="008F77FB" w:rsidRPr="00FD3947" w:rsidRDefault="008F77FB" w:rsidP="00DB48F2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Zawód z międzynarodowym doświadczeniem</w:t>
      </w:r>
    </w:p>
    <w:p w14:paraId="76F6AF6D" w14:textId="43B7B410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Praktyczne przygotowanie do pracy zajmuje już istotne miejsce w polskim szkolnictwie zawodowym. Według opublikowanego przez Komisję Europejską raportu „</w:t>
      </w:r>
      <w:proofErr w:type="spellStart"/>
      <w:r w:rsidRPr="00FD3947">
        <w:rPr>
          <w:rFonts w:eastAsia="Times New Roman" w:cs="Calibri"/>
          <w:sz w:val="22"/>
          <w:szCs w:val="22"/>
          <w:lang w:eastAsia="pl-PL"/>
        </w:rPr>
        <w:t>Education</w:t>
      </w:r>
      <w:proofErr w:type="spellEnd"/>
      <w:r w:rsidRPr="00FD3947">
        <w:rPr>
          <w:rFonts w:eastAsia="Times New Roman" w:cs="Calibri"/>
          <w:sz w:val="22"/>
          <w:szCs w:val="22"/>
          <w:lang w:eastAsia="pl-PL"/>
        </w:rPr>
        <w:t xml:space="preserve"> and Training Monitor 2025”, w 2024 r. 62% niedawnych absolwentów kształcenia zawodowego w Polsce zdobywało podczas nauki doświadczenie w miejscu pracy. To wynik wyższy od unijnego celu wyznaczonego na 2025 r., choć nieco niższy od średniej UE wynoszącej 65,3%.</w:t>
      </w:r>
      <w:hyperlink r:id="rId12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6</w:t>
        </w:r>
      </w:hyperlink>
    </w:p>
    <w:p w14:paraId="70B4E14E" w14:textId="481C0702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Erasmus+ rozszerza możliwości zdobywania takich doświadczeń o wymiar międzynarodowy. Uczestnicy mogą porównać metody pracy, poznać inne rozwiązania technologiczne i ćwiczyć komunikację zawodową w języku obcym. Dla przyszłego elektryka, mechatronika czy specjalisty od automatyki znajomość sposobów funkcjonowania przedsiębiorstw w innych państwach może być przydatna również wtedy, gdy swoją karierę planuje rozwijać w Polsce.</w:t>
      </w:r>
    </w:p>
    <w:p w14:paraId="66345F26" w14:textId="77777777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Znaczenie tych doświadczeń wykracza poza korzyści dla samych uczniów. Szkoły zyskują możliwość rozwijania współpracy z zagranicznymi partnerami, a nauczyciele – poznawania innych metod kształcenia i organizacji praktyk. Dobrze zaprojektowane projekty mogą też wzmacniać relacje między edukacją a przedsiębiorstwami, które w przyszłości będą zatrudniały absolwentów.</w:t>
      </w:r>
    </w:p>
    <w:p w14:paraId="023331B7" w14:textId="77777777" w:rsidR="008F77FB" w:rsidRPr="00FD3947" w:rsidRDefault="008F77FB" w:rsidP="00DB48F2">
      <w:pPr>
        <w:spacing w:after="120" w:line="240" w:lineRule="auto"/>
        <w:jc w:val="both"/>
        <w:outlineLvl w:val="2"/>
        <w:rPr>
          <w:rFonts w:eastAsia="Times New Roman" w:cs="Calibri"/>
          <w:b/>
          <w:bCs/>
          <w:sz w:val="22"/>
          <w:szCs w:val="22"/>
          <w:lang w:eastAsia="pl-PL"/>
        </w:rPr>
      </w:pPr>
      <w:r w:rsidRPr="00FD3947">
        <w:rPr>
          <w:rFonts w:eastAsia="Times New Roman" w:cs="Calibri"/>
          <w:b/>
          <w:bCs/>
          <w:sz w:val="22"/>
          <w:szCs w:val="22"/>
          <w:lang w:eastAsia="pl-PL"/>
        </w:rPr>
        <w:t>Europa chce więcej mobilności zawodowej</w:t>
      </w:r>
    </w:p>
    <w:p w14:paraId="0106E518" w14:textId="68B470A0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Potencjał zagranicznych praktyk dostrzegany jest w całej Unii Europejskiej. Z raportu Komisji Europejskiej opublikowanego w lipcu 2026 r. wynika, że w 2023 r. wskaźnik mobilności edukacyjnej w kształceniu zawodowym wynosił w UE 5,3%. Tymczasem cel przyjęty na 2030 r. zakłada osiągnięcie poziomu 12%.</w:t>
      </w:r>
      <w:hyperlink r:id="rId13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7</w:t>
        </w:r>
      </w:hyperlink>
      <w:r w:rsidRPr="00FD3947">
        <w:rPr>
          <w:rFonts w:eastAsia="Times New Roman" w:cs="Calibri"/>
          <w:sz w:val="22"/>
          <w:szCs w:val="22"/>
          <w:lang w:eastAsia="pl-PL"/>
        </w:rPr>
        <w:t xml:space="preserve"> Europejskie państwa mają więc przed sobą perspektywę </w:t>
      </w:r>
      <w:r w:rsidRPr="00FD3947">
        <w:rPr>
          <w:rFonts w:eastAsia="Times New Roman" w:cs="Calibri"/>
          <w:sz w:val="22"/>
          <w:szCs w:val="22"/>
          <w:lang w:eastAsia="pl-PL"/>
        </w:rPr>
        <w:lastRenderedPageBreak/>
        <w:t>znacznego zwiększenia udziału młodych ludzi w zagranicznych doświadczeniach edukacyjnych i zawodowych.</w:t>
      </w:r>
    </w:p>
    <w:p w14:paraId="008F7243" w14:textId="6D1D96EF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 xml:space="preserve">Rozwój mobilności wpisuje się również w unijną inicjatywę Union of </w:t>
      </w:r>
      <w:proofErr w:type="spellStart"/>
      <w:r w:rsidRPr="00FD3947">
        <w:rPr>
          <w:rFonts w:eastAsia="Times New Roman" w:cs="Calibri"/>
          <w:sz w:val="22"/>
          <w:szCs w:val="22"/>
          <w:lang w:eastAsia="pl-PL"/>
        </w:rPr>
        <w:t>Skills</w:t>
      </w:r>
      <w:proofErr w:type="spellEnd"/>
      <w:r w:rsidRPr="00FD3947">
        <w:rPr>
          <w:rFonts w:eastAsia="Times New Roman" w:cs="Calibri"/>
          <w:sz w:val="22"/>
          <w:szCs w:val="22"/>
          <w:lang w:eastAsia="pl-PL"/>
        </w:rPr>
        <w:t>, ukierunkowaną na rozwój umiejętności, podnoszenie kwalifikacji i lepsze wykorzystanie potencjału europejskiego rynku pracy. Wśród jej priorytetów znajduje się także wzmacnianie atrakcyjności kształcenia zawodowego oraz współpracy edukacji z gospodarką.</w:t>
      </w:r>
      <w:hyperlink r:id="rId14" w:history="1">
        <w:r w:rsidRPr="00FD3947">
          <w:rPr>
            <w:rFonts w:eastAsia="Arial" w:cs="Calibri"/>
            <w:color w:val="0563C1"/>
            <w:sz w:val="16"/>
            <w:szCs w:val="16"/>
            <w:u w:val="single"/>
            <w:vertAlign w:val="superscript"/>
          </w:rPr>
          <w:t>8</w:t>
        </w:r>
      </w:hyperlink>
    </w:p>
    <w:p w14:paraId="7E17296B" w14:textId="77777777" w:rsidR="003A1740" w:rsidRPr="00FD3947" w:rsidRDefault="008F77FB" w:rsidP="003A1740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 xml:space="preserve">– </w:t>
      </w:r>
      <w:r w:rsidRPr="00FD3947">
        <w:rPr>
          <w:rFonts w:eastAsia="Times New Roman" w:cs="Calibri"/>
          <w:i/>
          <w:iCs/>
          <w:sz w:val="22"/>
          <w:szCs w:val="22"/>
          <w:lang w:eastAsia="pl-PL"/>
        </w:rPr>
        <w:t>Europa będzie potrzebowała osób, które potrafią pracować z nowymi technologiami i szybko odnajdywać się w zmieniającym się środowisku zawodowym. Dlatego tak ważna jest współpraca szkół z przedsiębiorstwami i otwieranie młodym ludziom dostępu do doświadczeń poza granicami własnego kraju. Polska ma duży potencjał w rozwijaniu mobilności zawodowej. Warto go wykorzystywać, bo umiejętności zdobyte podczas takich wyjazdów mogą pracować na przyszłość samych uczestników, polskich firm i całej europejskiej gospodarki</w:t>
      </w:r>
      <w:r w:rsidRPr="00FD3947">
        <w:rPr>
          <w:rFonts w:eastAsia="Times New Roman" w:cs="Calibri"/>
          <w:sz w:val="22"/>
          <w:szCs w:val="22"/>
          <w:lang w:eastAsia="pl-PL"/>
        </w:rPr>
        <w:t xml:space="preserve"> – </w:t>
      </w:r>
      <w:r w:rsidR="003A1740" w:rsidRPr="00651AA3">
        <w:rPr>
          <w:rFonts w:eastAsia="Times New Roman" w:cs="Calibri"/>
          <w:sz w:val="22"/>
          <w:szCs w:val="22"/>
          <w:lang w:eastAsia="pl-PL"/>
        </w:rPr>
        <w:t xml:space="preserve">mówi </w:t>
      </w:r>
      <w:r w:rsidR="003A1740">
        <w:rPr>
          <w:rFonts w:eastAsia="Times New Roman" w:cs="Calibri"/>
          <w:sz w:val="22"/>
          <w:szCs w:val="22"/>
          <w:lang w:eastAsia="pl-PL"/>
        </w:rPr>
        <w:t xml:space="preserve">Katarzyna Smyk, </w:t>
      </w:r>
      <w:r w:rsidR="003A1740" w:rsidRPr="00916763">
        <w:rPr>
          <w:rFonts w:ascii="Arial" w:hAnsi="Arial" w:cs="Arial"/>
          <w:sz w:val="21"/>
          <w:szCs w:val="21"/>
        </w:rPr>
        <w:t>Dyrektorka Przedstawicielstwa Komisji Europejskiej w Polsce.</w:t>
      </w:r>
    </w:p>
    <w:p w14:paraId="37839DE7" w14:textId="599CF3B1" w:rsidR="008F77FB" w:rsidRPr="00FD3947" w:rsidRDefault="008F77FB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  <w:r w:rsidRPr="00FD3947">
        <w:rPr>
          <w:rFonts w:eastAsia="Times New Roman" w:cs="Calibri"/>
          <w:sz w:val="22"/>
          <w:szCs w:val="22"/>
          <w:lang w:eastAsia="pl-PL"/>
        </w:rPr>
        <w:t>Dla uczniów techników i szkół branżowych zagraniczne praktyki mogą stać się jednym z pierwszych ważnych etapów zawodowej drogi. Kontakt z innymi technologiami, organizacją pracy i międzynarodowym środowiskiem pozwala poszerzyć doświadczenia zdobywane w szkole, a także świadomiej planować dalszą edukację i zatrudnienie. Rozwój takich możliwości jest szczególnie istotny w perspektywie zmian technologicznych, które będą kształtować rynek pracy przez kolejne lata.</w:t>
      </w:r>
    </w:p>
    <w:p w14:paraId="64FCB545" w14:textId="77777777" w:rsidR="00867A40" w:rsidRPr="00FD3947" w:rsidRDefault="00867A40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</w:p>
    <w:p w14:paraId="77C9B608" w14:textId="77777777" w:rsidR="00867A40" w:rsidRPr="00FD3947" w:rsidRDefault="00867A40" w:rsidP="00867A40">
      <w:pPr>
        <w:spacing w:before="120" w:after="140" w:line="240" w:lineRule="auto"/>
        <w:jc w:val="both"/>
        <w:rPr>
          <w:rFonts w:cs="Calibri"/>
        </w:rPr>
      </w:pPr>
      <w:r w:rsidRPr="00FD3947">
        <w:rPr>
          <w:rFonts w:eastAsia="Arial" w:cs="Calibri"/>
          <w:sz w:val="17"/>
        </w:rPr>
        <w:t xml:space="preserve">#EuroTipy to kampania Przedstawicielstwa Komisji Europejskiej w Polsce skierowana do pokolenia Z. Pokazuje młodym ludziom, jak korzystać z możliwości, jakie daje członkostwo Polski w UE, w pięciu obszarach: nauka, praca, rozwój, biznes i bezpieczeństwo. Więcej informacji można znaleźć na stronie kampanii </w:t>
      </w:r>
      <w:hyperlink r:id="rId15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#EuroTipy (eurotipy.pl)</w:t>
        </w:r>
      </w:hyperlink>
      <w:r w:rsidRPr="00FD3947">
        <w:rPr>
          <w:rFonts w:eastAsia="Arial" w:cs="Calibri"/>
          <w:sz w:val="17"/>
        </w:rPr>
        <w:t xml:space="preserve"> oraz w mediach społecznościowych Przedstawicielstwa Komisji Europejskiej w Polsce.</w:t>
      </w:r>
    </w:p>
    <w:p w14:paraId="4C371266" w14:textId="77777777" w:rsidR="00867A40" w:rsidRPr="00FD3947" w:rsidRDefault="00867A40" w:rsidP="00DB48F2">
      <w:pPr>
        <w:spacing w:after="120" w:line="240" w:lineRule="auto"/>
        <w:jc w:val="both"/>
        <w:rPr>
          <w:rFonts w:eastAsia="Times New Roman" w:cs="Calibri"/>
          <w:sz w:val="22"/>
          <w:szCs w:val="22"/>
          <w:lang w:eastAsia="pl-PL"/>
        </w:rPr>
      </w:pPr>
    </w:p>
    <w:p w14:paraId="4B698B2E" w14:textId="77777777" w:rsidR="007F7EE8" w:rsidRPr="00FD3947" w:rsidRDefault="00606F5F">
      <w:pPr>
        <w:keepNext/>
        <w:spacing w:before="80" w:after="60"/>
        <w:rPr>
          <w:rFonts w:cs="Calibri"/>
        </w:rPr>
      </w:pPr>
      <w:r w:rsidRPr="00FD3947">
        <w:rPr>
          <w:rFonts w:eastAsia="Arial" w:cs="Calibri"/>
          <w:b/>
          <w:sz w:val="20"/>
        </w:rPr>
        <w:t>Źródła</w:t>
      </w:r>
    </w:p>
    <w:p w14:paraId="2B0D4C16" w14:textId="32C47465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1. </w:t>
      </w:r>
      <w:hyperlink r:id="rId16" w:history="1">
        <w:r w:rsidRPr="00FD3947">
          <w:rPr>
            <w:rStyle w:val="Hipercze"/>
            <w:rFonts w:eastAsia="Arial" w:cs="Calibri"/>
            <w:sz w:val="17"/>
            <w:szCs w:val="17"/>
          </w:rPr>
          <w:t>Przedstawicielstwo Komisji Europejskiej w Polsce, „W rytmie zmian. 22 lata Polski w Unii Europejskiej”, s. 5</w:t>
        </w:r>
        <w:r w:rsidRPr="00FD3947">
          <w:rPr>
            <w:rStyle w:val="Hipercze"/>
            <w:rFonts w:eastAsia="Arial" w:cs="Calibri"/>
            <w:sz w:val="17"/>
          </w:rPr>
          <w:t>.</w:t>
        </w:r>
      </w:hyperlink>
    </w:p>
    <w:p w14:paraId="382CC2CE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2. </w:t>
      </w:r>
      <w:hyperlink r:id="rId17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Narodowa Agencja Erasmus+, „Raport roczny Erasmus+ 2024 już dostępny”.</w:t>
        </w:r>
      </w:hyperlink>
    </w:p>
    <w:p w14:paraId="283A385F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3. </w:t>
      </w:r>
      <w:hyperlink r:id="rId18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Komisja Europejska, „Przewodnik po programie Erasmus+ – mobilność w kształceniu i szkoleniu zawodowym”.</w:t>
        </w:r>
      </w:hyperlink>
    </w:p>
    <w:p w14:paraId="5C915EB0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4. </w:t>
      </w:r>
      <w:hyperlink r:id="rId19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Ministerstwo Edukacji Narodowej, „Prognoza zapotrzebowania na pracowników w zawodach szkolnictwa branżowego na krajowym i wojewódzkim rynku pracy 2026”.</w:t>
        </w:r>
      </w:hyperlink>
    </w:p>
    <w:p w14:paraId="4FEA7F65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5. </w:t>
      </w:r>
      <w:hyperlink r:id="rId20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Narodowa Agencja Erasmus+, „EITA – lista nominowanych 2026”.</w:t>
        </w:r>
      </w:hyperlink>
    </w:p>
    <w:p w14:paraId="72263063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6. </w:t>
      </w:r>
      <w:hyperlink r:id="rId21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Komisja Europejska, „</w:t>
        </w:r>
        <w:proofErr w:type="spellStart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Education</w:t>
        </w:r>
        <w:proofErr w:type="spellEnd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 xml:space="preserve"> and Training Monitor 2025 – Poland”.</w:t>
        </w:r>
      </w:hyperlink>
    </w:p>
    <w:p w14:paraId="3E1B38FB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7. </w:t>
      </w:r>
      <w:hyperlink r:id="rId22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 xml:space="preserve">Komisja Europejska, </w:t>
        </w:r>
        <w:proofErr w:type="gramStart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COM(</w:t>
        </w:r>
        <w:proofErr w:type="gramEnd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 xml:space="preserve">2026) 363 </w:t>
        </w:r>
        <w:proofErr w:type="spellStart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final</w:t>
        </w:r>
        <w:proofErr w:type="spellEnd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, dokument z 10 lipca 2026 r.</w:t>
        </w:r>
      </w:hyperlink>
    </w:p>
    <w:p w14:paraId="3565C821" w14:textId="77777777" w:rsidR="007F7EE8" w:rsidRPr="00FD3947" w:rsidRDefault="00606F5F">
      <w:pPr>
        <w:spacing w:after="40" w:line="240" w:lineRule="auto"/>
        <w:rPr>
          <w:rFonts w:cs="Calibri"/>
        </w:rPr>
      </w:pPr>
      <w:r w:rsidRPr="00FD3947">
        <w:rPr>
          <w:rFonts w:eastAsia="Arial" w:cs="Calibri"/>
          <w:sz w:val="17"/>
        </w:rPr>
        <w:t xml:space="preserve">8. </w:t>
      </w:r>
      <w:hyperlink r:id="rId23" w:history="1"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 xml:space="preserve">Komisja Europejska, „Unia umiejętności” (Union of </w:t>
        </w:r>
        <w:proofErr w:type="spellStart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Skills</w:t>
        </w:r>
        <w:proofErr w:type="spellEnd"/>
        <w:r w:rsidRPr="00FD3947">
          <w:rPr>
            <w:rFonts w:eastAsia="Arial" w:cs="Calibri"/>
            <w:color w:val="0563C1"/>
            <w:sz w:val="17"/>
            <w:szCs w:val="17"/>
            <w:u w:val="single"/>
          </w:rPr>
          <w:t>).</w:t>
        </w:r>
      </w:hyperlink>
    </w:p>
    <w:p w14:paraId="2A708CD5" w14:textId="77777777" w:rsidR="00867A40" w:rsidRPr="00FD3947" w:rsidRDefault="00867A40">
      <w:pPr>
        <w:spacing w:after="40" w:line="240" w:lineRule="auto"/>
        <w:rPr>
          <w:rFonts w:cs="Calibri"/>
        </w:rPr>
      </w:pPr>
    </w:p>
    <w:p w14:paraId="5EC778A4" w14:textId="77777777" w:rsidR="007F7EE8" w:rsidRPr="00FD3947" w:rsidRDefault="00606F5F">
      <w:pPr>
        <w:spacing w:before="60" w:after="60"/>
        <w:rPr>
          <w:rFonts w:eastAsia="Arial" w:cs="Calibri"/>
          <w:b/>
          <w:sz w:val="20"/>
        </w:rPr>
      </w:pPr>
      <w:r w:rsidRPr="00FD3947">
        <w:rPr>
          <w:rFonts w:eastAsia="Arial" w:cs="Calibri"/>
          <w:b/>
          <w:sz w:val="20"/>
        </w:rPr>
        <w:t>Kontakt dla mediów</w:t>
      </w:r>
    </w:p>
    <w:p w14:paraId="6F0E2647" w14:textId="77777777" w:rsidR="00867A40" w:rsidRPr="003A1740" w:rsidRDefault="00867A40" w:rsidP="00867A40">
      <w:pPr>
        <w:spacing w:after="0" w:line="240" w:lineRule="auto"/>
        <w:rPr>
          <w:rFonts w:cs="Calibri"/>
          <w:bCs/>
          <w:sz w:val="20"/>
          <w:szCs w:val="20"/>
        </w:rPr>
      </w:pPr>
      <w:r w:rsidRPr="003A1740">
        <w:rPr>
          <w:rFonts w:cs="Calibri"/>
          <w:bCs/>
          <w:sz w:val="20"/>
          <w:szCs w:val="20"/>
        </w:rPr>
        <w:t xml:space="preserve">Marta </w:t>
      </w:r>
      <w:proofErr w:type="spellStart"/>
      <w:r w:rsidRPr="003A1740">
        <w:rPr>
          <w:rFonts w:cs="Calibri"/>
          <w:bCs/>
          <w:sz w:val="20"/>
          <w:szCs w:val="20"/>
        </w:rPr>
        <w:t>Angrocka-Krawczyk</w:t>
      </w:r>
      <w:proofErr w:type="spellEnd"/>
    </w:p>
    <w:p w14:paraId="0CDF66FC" w14:textId="77777777" w:rsidR="00867A40" w:rsidRPr="003A1740" w:rsidRDefault="00867A40" w:rsidP="00867A40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cs="Calibri"/>
          <w:sz w:val="20"/>
          <w:szCs w:val="20"/>
        </w:rPr>
        <w:t>Komisja Europejska Przedstawicielstwo w Polsce</w:t>
      </w:r>
    </w:p>
    <w:p w14:paraId="1E52F1AC" w14:textId="2C15ADDD" w:rsidR="00867A40" w:rsidRPr="003A1740" w:rsidRDefault="00867A40" w:rsidP="00867A40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cs="Calibri"/>
          <w:sz w:val="20"/>
          <w:szCs w:val="20"/>
        </w:rPr>
        <w:t xml:space="preserve">e-mail: </w:t>
      </w:r>
      <w:hyperlink r:id="rId24" w:history="1">
        <w:r w:rsidRPr="003A1740">
          <w:rPr>
            <w:rStyle w:val="Hipercze"/>
            <w:rFonts w:cs="Calibri"/>
            <w:sz w:val="20"/>
            <w:szCs w:val="20"/>
          </w:rPr>
          <w:t>marta.angrocka-krawczyk@ec.europa.eu</w:t>
        </w:r>
      </w:hyperlink>
    </w:p>
    <w:p w14:paraId="7DAD0BEF" w14:textId="77777777" w:rsidR="00867A40" w:rsidRPr="003A1740" w:rsidRDefault="00867A40" w:rsidP="00867A40">
      <w:pPr>
        <w:spacing w:after="0" w:line="240" w:lineRule="auto"/>
        <w:rPr>
          <w:rFonts w:cs="Calibri"/>
          <w:sz w:val="20"/>
          <w:szCs w:val="20"/>
        </w:rPr>
      </w:pPr>
    </w:p>
    <w:p w14:paraId="256C2411" w14:textId="77777777" w:rsidR="007F7EE8" w:rsidRPr="003A1740" w:rsidRDefault="00606F5F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eastAsia="Arial" w:cs="Calibri"/>
          <w:sz w:val="20"/>
          <w:szCs w:val="20"/>
        </w:rPr>
        <w:t>Ewa Szoch-Maciążek</w:t>
      </w:r>
    </w:p>
    <w:p w14:paraId="40B056A6" w14:textId="77777777" w:rsidR="007F7EE8" w:rsidRPr="003A1740" w:rsidRDefault="00606F5F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eastAsia="Arial" w:cs="Calibri"/>
          <w:sz w:val="20"/>
          <w:szCs w:val="20"/>
        </w:rPr>
        <w:t>Zespół komunikacji kampanii #Eurotipy</w:t>
      </w:r>
    </w:p>
    <w:p w14:paraId="47F8FA2B" w14:textId="77777777" w:rsidR="007F7EE8" w:rsidRPr="003A1740" w:rsidRDefault="00606F5F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eastAsia="Arial" w:cs="Calibri"/>
          <w:sz w:val="20"/>
          <w:szCs w:val="20"/>
        </w:rPr>
        <w:t>Tel.: +48 504 096 808</w:t>
      </w:r>
    </w:p>
    <w:p w14:paraId="35A2119F" w14:textId="77777777" w:rsidR="007F7EE8" w:rsidRPr="003A1740" w:rsidRDefault="00606F5F">
      <w:pPr>
        <w:spacing w:after="0" w:line="240" w:lineRule="auto"/>
        <w:rPr>
          <w:rFonts w:cs="Calibri"/>
          <w:sz w:val="20"/>
          <w:szCs w:val="20"/>
        </w:rPr>
      </w:pPr>
      <w:r w:rsidRPr="003A1740">
        <w:rPr>
          <w:rFonts w:eastAsia="Arial" w:cs="Calibri"/>
          <w:sz w:val="20"/>
          <w:szCs w:val="20"/>
        </w:rPr>
        <w:t xml:space="preserve">E-mail: </w:t>
      </w:r>
      <w:hyperlink r:id="rId25" w:history="1">
        <w:r w:rsidRPr="003A1740">
          <w:rPr>
            <w:rFonts w:eastAsia="Arial" w:cs="Calibri"/>
            <w:color w:val="0563C1"/>
            <w:sz w:val="20"/>
            <w:szCs w:val="20"/>
            <w:u w:val="single"/>
          </w:rPr>
          <w:t>e.szoch.maciazek@mccpr.eu</w:t>
        </w:r>
      </w:hyperlink>
    </w:p>
    <w:sectPr w:rsidR="007F7EE8" w:rsidRPr="003A1740" w:rsidSect="006F3D1C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80C56" w14:textId="77777777" w:rsidR="000200C3" w:rsidRDefault="000200C3" w:rsidP="00315F2F">
      <w:pPr>
        <w:spacing w:after="0" w:line="240" w:lineRule="auto"/>
      </w:pPr>
      <w:r>
        <w:separator/>
      </w:r>
    </w:p>
  </w:endnote>
  <w:endnote w:type="continuationSeparator" w:id="0">
    <w:p w14:paraId="5216E903" w14:textId="77777777" w:rsidR="000200C3" w:rsidRDefault="000200C3" w:rsidP="0031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B0331" w14:textId="558317B5" w:rsidR="00315F2F" w:rsidRDefault="00315F2F" w:rsidP="00315F2F">
    <w:pPr>
      <w:pStyle w:val="Stopka"/>
      <w:jc w:val="center"/>
    </w:pPr>
  </w:p>
  <w:p w14:paraId="32E7FC1D" w14:textId="42F1E8F7" w:rsidR="00315F2F" w:rsidRDefault="00315F2F" w:rsidP="00315F2F">
    <w:pPr>
      <w:pStyle w:val="Stopka"/>
      <w:jc w:val="center"/>
    </w:pPr>
  </w:p>
  <w:p w14:paraId="79287F46" w14:textId="77777777" w:rsidR="00315F2F" w:rsidRDefault="00315F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9CA158" w14:textId="77777777" w:rsidR="000200C3" w:rsidRDefault="000200C3" w:rsidP="00315F2F">
      <w:pPr>
        <w:spacing w:after="0" w:line="240" w:lineRule="auto"/>
      </w:pPr>
      <w:r>
        <w:separator/>
      </w:r>
    </w:p>
  </w:footnote>
  <w:footnote w:type="continuationSeparator" w:id="0">
    <w:p w14:paraId="6E52735D" w14:textId="77777777" w:rsidR="000200C3" w:rsidRDefault="000200C3" w:rsidP="0031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BD4058" w14:textId="43DC5E49" w:rsidR="00315F2F" w:rsidRDefault="00315F2F" w:rsidP="00315F2F">
    <w:pPr>
      <w:pStyle w:val="Nagwek"/>
      <w:jc w:val="center"/>
    </w:pPr>
    <w:r>
      <w:rPr>
        <w:noProof/>
      </w:rPr>
      <w:drawing>
        <wp:inline distT="0" distB="0" distL="0" distR="0" wp14:anchorId="4852F852" wp14:editId="2A5F5E01">
          <wp:extent cx="875595" cy="575841"/>
          <wp:effectExtent l="0" t="0" r="1270" b="0"/>
          <wp:docPr id="2546616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661650" name="Obraz 2546616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877" cy="638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183B06" w14:textId="77777777" w:rsidR="00315F2F" w:rsidRDefault="00315F2F" w:rsidP="00315F2F">
    <w:pPr>
      <w:pStyle w:val="Nagwek"/>
    </w:pPr>
  </w:p>
  <w:p w14:paraId="77BBF6B7" w14:textId="7819E292" w:rsidR="00315F2F" w:rsidRDefault="00315F2F" w:rsidP="00315F2F">
    <w:pPr>
      <w:pStyle w:val="Nagwek"/>
      <w:jc w:val="center"/>
    </w:pPr>
    <w:r>
      <w:rPr>
        <w:noProof/>
      </w:rPr>
      <w:drawing>
        <wp:inline distT="0" distB="0" distL="0" distR="0" wp14:anchorId="6D890FA8" wp14:editId="6D7C4321">
          <wp:extent cx="677333" cy="175674"/>
          <wp:effectExtent l="0" t="0" r="0" b="2540"/>
          <wp:docPr id="2047005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005177" name="Obraz 20470051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595" cy="226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E29AD3" w14:textId="77777777" w:rsidR="00315F2F" w:rsidRDefault="00315F2F" w:rsidP="00315F2F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71C571"/>
    <w:rsid w:val="000200C3"/>
    <w:rsid w:val="0007355F"/>
    <w:rsid w:val="000F479E"/>
    <w:rsid w:val="001159BD"/>
    <w:rsid w:val="0014537B"/>
    <w:rsid w:val="00156569"/>
    <w:rsid w:val="00187561"/>
    <w:rsid w:val="001D7B5C"/>
    <w:rsid w:val="0028054C"/>
    <w:rsid w:val="002D5E26"/>
    <w:rsid w:val="003058EF"/>
    <w:rsid w:val="003109B3"/>
    <w:rsid w:val="00315F2F"/>
    <w:rsid w:val="00324639"/>
    <w:rsid w:val="0038550D"/>
    <w:rsid w:val="003A1740"/>
    <w:rsid w:val="003A40E3"/>
    <w:rsid w:val="003A4301"/>
    <w:rsid w:val="003A5B54"/>
    <w:rsid w:val="003B49D8"/>
    <w:rsid w:val="003E06C1"/>
    <w:rsid w:val="00476A48"/>
    <w:rsid w:val="004C1D40"/>
    <w:rsid w:val="00577F6A"/>
    <w:rsid w:val="005A2790"/>
    <w:rsid w:val="005B13DE"/>
    <w:rsid w:val="005B255D"/>
    <w:rsid w:val="005D22FF"/>
    <w:rsid w:val="00606F5F"/>
    <w:rsid w:val="00651AA3"/>
    <w:rsid w:val="00674896"/>
    <w:rsid w:val="006A3FA3"/>
    <w:rsid w:val="006C42F7"/>
    <w:rsid w:val="006F3D1C"/>
    <w:rsid w:val="00741D0F"/>
    <w:rsid w:val="00744ED1"/>
    <w:rsid w:val="007A52AE"/>
    <w:rsid w:val="007D4584"/>
    <w:rsid w:val="007E49B6"/>
    <w:rsid w:val="007F7EE8"/>
    <w:rsid w:val="00823B62"/>
    <w:rsid w:val="00842B7C"/>
    <w:rsid w:val="00867A40"/>
    <w:rsid w:val="00870787"/>
    <w:rsid w:val="008F77FB"/>
    <w:rsid w:val="0090227C"/>
    <w:rsid w:val="00971798"/>
    <w:rsid w:val="009979CF"/>
    <w:rsid w:val="009B2DBB"/>
    <w:rsid w:val="009C7BEB"/>
    <w:rsid w:val="009D1BC2"/>
    <w:rsid w:val="009D33AB"/>
    <w:rsid w:val="00AD0271"/>
    <w:rsid w:val="00AF4E91"/>
    <w:rsid w:val="00BA216A"/>
    <w:rsid w:val="00BA4EB8"/>
    <w:rsid w:val="00BB6D02"/>
    <w:rsid w:val="00BC493D"/>
    <w:rsid w:val="00BE5EB4"/>
    <w:rsid w:val="00C54BC9"/>
    <w:rsid w:val="00C9619D"/>
    <w:rsid w:val="00CF0B9D"/>
    <w:rsid w:val="00CF3F97"/>
    <w:rsid w:val="00D02A7E"/>
    <w:rsid w:val="00D25798"/>
    <w:rsid w:val="00D76FFC"/>
    <w:rsid w:val="00DA40CF"/>
    <w:rsid w:val="00DB48F2"/>
    <w:rsid w:val="00E233AE"/>
    <w:rsid w:val="00E35106"/>
    <w:rsid w:val="00E71AC3"/>
    <w:rsid w:val="00E77FA5"/>
    <w:rsid w:val="00E84022"/>
    <w:rsid w:val="00EA16EC"/>
    <w:rsid w:val="00EB4C63"/>
    <w:rsid w:val="00EE729B"/>
    <w:rsid w:val="00F8056C"/>
    <w:rsid w:val="00FD3947"/>
    <w:rsid w:val="00FF5304"/>
    <w:rsid w:val="1C458DBE"/>
    <w:rsid w:val="21EE49C1"/>
    <w:rsid w:val="2C596CEB"/>
    <w:rsid w:val="3118A6F6"/>
    <w:rsid w:val="3BE0562F"/>
    <w:rsid w:val="4107BE8F"/>
    <w:rsid w:val="4771C571"/>
    <w:rsid w:val="4CBA6AA3"/>
    <w:rsid w:val="723B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7AD9"/>
  <w15:chartTrackingRefBased/>
  <w15:docId w15:val="{38298ACE-3539-49D2-99EC-9B885AA0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77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8F77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F2F"/>
  </w:style>
  <w:style w:type="paragraph" w:styleId="Stopka">
    <w:name w:val="footer"/>
    <w:basedOn w:val="Normalny"/>
    <w:link w:val="StopkaZnak"/>
    <w:uiPriority w:val="99"/>
    <w:unhideWhenUsed/>
    <w:rsid w:val="0031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F2F"/>
  </w:style>
  <w:style w:type="paragraph" w:styleId="Poprawka">
    <w:name w:val="Revision"/>
    <w:hidden/>
    <w:uiPriority w:val="99"/>
    <w:semiHidden/>
    <w:rsid w:val="00744E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72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72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72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72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729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33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33A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33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A2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5A279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5B5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8F77F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8F77F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77F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5B13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plus.org.pl/aktualnosci/raport-roczny-erasmus-2024-juz-dostepny" TargetMode="External"/><Relationship Id="rId13" Type="http://schemas.openxmlformats.org/officeDocument/2006/relationships/hyperlink" Target="https://eur-lex.europa.eu/legal-content/PL/ALL/?uri=CELEX%3A52026DC0363" TargetMode="External"/><Relationship Id="rId18" Type="http://schemas.openxmlformats.org/officeDocument/2006/relationships/hyperlink" Target="https://erasmus-plus.ec.europa.eu/pl/programme-guide/part-b/key-action-1/vet-learners-and-staff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op.europa.eu/webpub/eac/education-and-training-monitor/pl/country-reports/poland.html" TargetMode="External"/><Relationship Id="rId7" Type="http://schemas.openxmlformats.org/officeDocument/2006/relationships/hyperlink" Target="https://poland.representation.ec.europa.eu/publications/w-rytmie-zmian-22-lata-polski-w-unii-europejskiej_pl" TargetMode="External"/><Relationship Id="rId12" Type="http://schemas.openxmlformats.org/officeDocument/2006/relationships/hyperlink" Target="https://op.europa.eu/webpub/eac/education-and-training-monitor/pl/country-reports/poland.html" TargetMode="External"/><Relationship Id="rId17" Type="http://schemas.openxmlformats.org/officeDocument/2006/relationships/hyperlink" Target="https://erasmusplus.org.pl/aktualnosci/raport-roczny-erasmus-2024-juz-dostepny" TargetMode="External"/><Relationship Id="rId25" Type="http://schemas.openxmlformats.org/officeDocument/2006/relationships/hyperlink" Target="mailto:e.szoch.maciazek@mccpr.eu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land.representation.ec.europa.eu/publications/w-rytmie-zmian-22-lata-polski-w-unii-europejskiej_pl" TargetMode="External"/><Relationship Id="rId20" Type="http://schemas.openxmlformats.org/officeDocument/2006/relationships/hyperlink" Target="https://erasmusplus.org.pl/eita-lista-nominowanych-202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rasmusplus.org.pl/eita-lista-nominowanych-2026" TargetMode="External"/><Relationship Id="rId24" Type="http://schemas.openxmlformats.org/officeDocument/2006/relationships/hyperlink" Target="mailto:marta.angrocka-krawczyk@ec.europa.e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urotipy.pl" TargetMode="External"/><Relationship Id="rId23" Type="http://schemas.openxmlformats.org/officeDocument/2006/relationships/hyperlink" Target="https://commission.europa.eu/topics/competitiveness/union-skills_p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gov.pl/web/edukacja/prognoza-zapotrzebowania-na-pracownikow-w-zawodach-szkolnictwa-branzowego-na-krajowym-i-wojewodzkim-rynku-pracy-2026-juz-opublikowana" TargetMode="External"/><Relationship Id="rId19" Type="http://schemas.openxmlformats.org/officeDocument/2006/relationships/hyperlink" Target="https://www.gov.pl/web/edukacja/prognoza-zapotrzebowania-na-pracownikow-w-zawodach-szkolnictwa-branzowego-na-krajowym-i-wojewodzkim-rynku-pracy-2026-juz-opublikowa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rasmus-plus.ec.europa.eu/pl/programme-guide/part-b/key-action-1/vet-learners-and-staff" TargetMode="External"/><Relationship Id="rId14" Type="http://schemas.openxmlformats.org/officeDocument/2006/relationships/hyperlink" Target="https://commission.europa.eu/topics/competitiveness/union-skills_pl" TargetMode="External"/><Relationship Id="rId22" Type="http://schemas.openxmlformats.org/officeDocument/2006/relationships/hyperlink" Target="https://eur-lex.europa.eu/legal-content/PL/ALL/?uri=CELEX%3A52026DC0363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ED14-CEE4-4929-B6AD-E6E19350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1606</Words>
  <Characters>9641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Szoch - Maciążek</dc:creator>
  <cp:keywords/>
  <dc:description/>
  <cp:lastModifiedBy>Ewa Szoch - Maciążek</cp:lastModifiedBy>
  <cp:revision>8</cp:revision>
  <dcterms:created xsi:type="dcterms:W3CDTF">2026-10-15T14:04:00Z</dcterms:created>
  <dcterms:modified xsi:type="dcterms:W3CDTF">2026-10-21T07:39:00Z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2026-06-26T13:28:56Z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b7f08cbf-6726-4d4f-ac66-848c02b5432e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