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984D" w14:textId="77777777" w:rsidR="00063423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3AB06843" w14:textId="77777777" w:rsidR="00F564F9" w:rsidRPr="00F564F9" w:rsidRDefault="00000000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0"/>
          <w:szCs w:val="20"/>
          <w:lang w:val="pl-PL"/>
        </w:rPr>
      </w:pPr>
      <w:r>
        <w:rPr>
          <w:rFonts w:ascii="Calibri" w:eastAsia="Calibri" w:hAnsi="Calibri" w:cs="Calibri"/>
          <w:b/>
          <w:bCs/>
          <w:color w:val="696B6B"/>
          <w:sz w:val="18"/>
          <w:szCs w:val="18"/>
        </w:rPr>
        <w:br/>
      </w:r>
      <w:r w:rsidR="00F564F9" w:rsidRPr="00F564F9">
        <w:rPr>
          <w:b/>
          <w:bCs/>
          <w:color w:val="000000"/>
          <w:sz w:val="20"/>
          <w:szCs w:val="20"/>
          <w:lang w:val="pl-PL"/>
        </w:rPr>
        <w:t>Rynek handlowy przyspiesza. W 2026 roku może powstać ponad 600 tys. mkw. nowej powierzchni</w:t>
      </w:r>
    </w:p>
    <w:p w14:paraId="3253984E" w14:textId="1C9CA969" w:rsidR="00063423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0"/>
          <w:szCs w:val="20"/>
        </w:rPr>
      </w:pPr>
    </w:p>
    <w:p w14:paraId="3253984F" w14:textId="77777777" w:rsidR="00063423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0"/>
          <w:szCs w:val="20"/>
        </w:rPr>
      </w:pPr>
    </w:p>
    <w:p w14:paraId="4B7554C2" w14:textId="6AC756EC" w:rsidR="007D2B82" w:rsidRPr="007D2B82" w:rsidRDefault="00EA7C9B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sz w:val="20"/>
          <w:szCs w:val="20"/>
          <w:lang w:val="pl-PL"/>
        </w:rPr>
      </w:pPr>
      <w:r>
        <w:rPr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3BC82" wp14:editId="48A40865">
                <wp:simplePos x="0" y="0"/>
                <wp:positionH relativeFrom="column">
                  <wp:posOffset>-59690</wp:posOffset>
                </wp:positionH>
                <wp:positionV relativeFrom="paragraph">
                  <wp:posOffset>1114425</wp:posOffset>
                </wp:positionV>
                <wp:extent cx="6250305" cy="1333500"/>
                <wp:effectExtent l="0" t="0" r="10795" b="12700"/>
                <wp:wrapTopAndBottom/>
                <wp:docPr id="6467325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030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8F2165" w14:textId="77777777" w:rsidR="00EA7C9B" w:rsidRPr="00EA7C9B" w:rsidRDefault="00EA7C9B" w:rsidP="00EA7C9B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A7C9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III kw. 2026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roku </w:t>
                            </w:r>
                            <w:r w:rsidRPr="00EA7C9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 liczbach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2B00E8C0" w14:textId="3C2B053E" w:rsidR="00EA7C9B" w:rsidRPr="00EA7C9B" w:rsidRDefault="00EA7C9B" w:rsidP="00EA7C9B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A7C9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ok. 1</w:t>
                            </w:r>
                            <w:r w:rsidR="00837C96" w:rsidRPr="00E67AEA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pl-PL"/>
                              </w:rPr>
                              <w:t>32</w:t>
                            </w:r>
                            <w:r w:rsidRPr="00EA7C9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tys. mkw.</w:t>
                            </w:r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> nowej powierzchni handlowej oddanej w III kw.; 3</w:t>
                            </w:r>
                            <w:r w:rsidR="00837C96" w:rsidRPr="00E67AEA">
                              <w:rPr>
                                <w:color w:val="000000"/>
                                <w:sz w:val="20"/>
                                <w:szCs w:val="20"/>
                                <w:lang w:val="pl-PL"/>
                              </w:rPr>
                              <w:t>1</w:t>
                            </w:r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>% z tego to rozbudowy</w:t>
                            </w:r>
                          </w:p>
                          <w:p w14:paraId="5CEDC50C" w14:textId="77777777" w:rsidR="00EA7C9B" w:rsidRPr="00EA7C9B" w:rsidRDefault="00EA7C9B" w:rsidP="00EA7C9B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A7C9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ponad 600 tys. mkw.</w:t>
                            </w:r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> prognozowanej podaży w całym 2026 r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oku</w:t>
                            </w:r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>, najwięcej od ponad dekady</w:t>
                            </w:r>
                          </w:p>
                          <w:p w14:paraId="28AD3926" w14:textId="2A753BB4" w:rsidR="00EA7C9B" w:rsidRPr="00EA7C9B" w:rsidRDefault="00EA7C9B" w:rsidP="00EA7C9B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A7C9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ok. 76</w:t>
                            </w:r>
                            <w:r w:rsidR="00837C96" w:rsidRPr="00E67AEA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pl-PL"/>
                              </w:rPr>
                              <w:t>0</w:t>
                            </w:r>
                            <w:r w:rsidRPr="00EA7C9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tys. mkw.</w:t>
                            </w:r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> w budowie; 63% w miastach poniżej 100 tys. mieszkańców</w:t>
                            </w:r>
                          </w:p>
                          <w:p w14:paraId="18762DD7" w14:textId="77777777" w:rsidR="00EA7C9B" w:rsidRPr="00EA7C9B" w:rsidRDefault="00EA7C9B" w:rsidP="00EA7C9B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A7C9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180 EUR i 19,50 EUR/mkw./mies.</w:t>
                            </w:r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 czynsze </w:t>
                            </w:r>
                            <w:proofErr w:type="spellStart"/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>prime</w:t>
                            </w:r>
                            <w:proofErr w:type="spellEnd"/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w centrach i parkach handlowych, najwyższe w CEE</w:t>
                            </w:r>
                          </w:p>
                          <w:p w14:paraId="08C94C14" w14:textId="77777777" w:rsidR="00EA7C9B" w:rsidRPr="00EA7C9B" w:rsidRDefault="00EA7C9B" w:rsidP="00EA7C9B"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A7C9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+0,8% i blisko +5%</w:t>
                            </w:r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 zmiana </w:t>
                            </w:r>
                            <w:proofErr w:type="spellStart"/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>odwiedzalności</w:t>
                            </w:r>
                            <w:proofErr w:type="spellEnd"/>
                            <w:r w:rsidRPr="00EA7C9B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i obrotów centrów handlowych r/r, styczeń–sierpień (wg danych PRCH)</w:t>
                            </w:r>
                          </w:p>
                          <w:p w14:paraId="47F3BD3A" w14:textId="77777777" w:rsidR="00EA7C9B" w:rsidRPr="00EA7C9B" w:rsidRDefault="00EA7C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3BC8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7pt;margin-top:87.75pt;width:492.1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sm6NgIAAH0EAAAOAAAAZHJzL2Uyb0RvYy54bWysVEtv2zAMvg/YfxB0X+y8us2IU2QpMgwI&#10;2gLp0LMiS7ExWdQkJXb260fJzqvbadhFJkXqI/mR9Oy+rRU5COsq0DkdDlJKhOZQVHqX0+8vqw+f&#10;KHGe6YIp0CKnR+Ho/fz9u1ljMjGCElQhLEEQ7bLG5LT03mRJ4ngpauYGYIRGowRbM4+q3SWFZQ2i&#10;1yoZpeld0oAtjAUunMPbh85I5xFfSsH9k5ROeKJyirn5eNp4bsOZzGcs21lmyor3abB/yKJmlcag&#10;Z6gH5hnZ2+oPqLriFhxIP+BQJyBlxUWsAasZpm+q2ZTMiFgLkuPMmSb3/2D542Fjni3x7RdosYGB&#10;kMa4zOFlqKeVtg5fzJSgHSk8nmkTrSccL+9G03ScTinhaBuOx+NpGolNLs+Ndf6rgJoEIacW+xLp&#10;Yoe18xgSXU8uIZoDVRWrSqmohFkQS2XJgWEXlY9J4osbL6VJg6lg7Ah8YwvQ5/dbxfiPUOYtAmpK&#10;4+Wl+CD5dtv2jGyhOCJRFroZcoavKsRdM+efmcWhQW5wEfwTHlIBJgO9REkJ9tff7oM/9hKtlDQ4&#10;hDl1P/fMCkrUN41d/jycTMLURmUy/ThCxV5bttcWva+XgAwNceUMj2Lw9+okSgv1K+7LIkRFE9Mc&#10;Y+fUn8Sl71YD942LxSI64Zwa5td6Y3iADh0JfL60r8yavp8eR+ERTuPKsjdt7XzDSw2LvQdZxZ4H&#10;gjtWe95xxmNb+n0MS3StR6/LX2P+GwAA//8DAFBLAwQUAAYACAAAACEA/MCk/90AAAAKAQAADwAA&#10;AGRycy9kb3ducmV2LnhtbEyPwU7DMAyG70i8Q2QkblsKbKztmk6ABpedGGjnrMmSiMapkqwrb485&#10;wdG/P/3+3Gwm37NRx+QCCribF8A0dkE5NAI+P15nJbCUJSrZB9QCvnWCTXt91chahQu+63GfDaMS&#10;TLUUYHMeas5TZ7WXaR4GjbQ7hehlpjEarqK8ULnv+X1RPHIvHdIFKwf9YnX3tT97AdtnU5mulNFu&#10;S+XcOB1OO/MmxO3N9LQGlvWU/2D41Sd1aMnpGM6oEusFzKoFkZSvlktgBFSrRQXsKOChpIS3Df//&#10;QvsDAAD//wMAUEsBAi0AFAAGAAgAAAAhALaDOJL+AAAA4QEAABMAAAAAAAAAAAAAAAAAAAAAAFtD&#10;b250ZW50X1R5cGVzXS54bWxQSwECLQAUAAYACAAAACEAOP0h/9YAAACUAQAACwAAAAAAAAAAAAAA&#10;AAAvAQAAX3JlbHMvLnJlbHNQSwECLQAUAAYACAAAACEAOy7JujYCAAB9BAAADgAAAAAAAAAAAAAA&#10;AAAuAgAAZHJzL2Uyb0RvYy54bWxQSwECLQAUAAYACAAAACEA/MCk/90AAAAKAQAADwAAAAAAAAAA&#10;AAAAAACQBAAAZHJzL2Rvd25yZXYueG1sUEsFBgAAAAAEAAQA8wAAAJoFAAAAAA==&#10;" fillcolor="white [3201]" strokeweight=".5pt">
                <v:textbox>
                  <w:txbxContent>
                    <w:p w14:paraId="418F2165" w14:textId="77777777" w:rsidR="00EA7C9B" w:rsidRPr="00EA7C9B" w:rsidRDefault="00EA7C9B" w:rsidP="00EA7C9B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both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EA7C9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III kw. 2026 </w:t>
                      </w: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roku </w:t>
                      </w:r>
                      <w:r w:rsidRPr="00EA7C9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w liczbach</w:t>
                      </w: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:</w:t>
                      </w:r>
                    </w:p>
                    <w:p w14:paraId="2B00E8C0" w14:textId="3C2B053E" w:rsidR="00EA7C9B" w:rsidRPr="00EA7C9B" w:rsidRDefault="00EA7C9B" w:rsidP="00EA7C9B">
                      <w:pPr>
                        <w:widowControl w:val="0"/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both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EA7C9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ok. 1</w:t>
                      </w:r>
                      <w:r w:rsidR="00837C96" w:rsidRPr="00E67AEA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pl-PL"/>
                        </w:rPr>
                        <w:t>32</w:t>
                      </w:r>
                      <w:r w:rsidRPr="00EA7C9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tys. mkw.</w:t>
                      </w:r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> nowej powierzchni handlowej oddanej w III kw.; 3</w:t>
                      </w:r>
                      <w:r w:rsidR="00837C96" w:rsidRPr="00E67AEA">
                        <w:rPr>
                          <w:color w:val="000000"/>
                          <w:sz w:val="20"/>
                          <w:szCs w:val="20"/>
                          <w:lang w:val="pl-PL"/>
                        </w:rPr>
                        <w:t>1</w:t>
                      </w:r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>% z tego to rozbudowy</w:t>
                      </w:r>
                    </w:p>
                    <w:p w14:paraId="5CEDC50C" w14:textId="77777777" w:rsidR="00EA7C9B" w:rsidRPr="00EA7C9B" w:rsidRDefault="00EA7C9B" w:rsidP="00EA7C9B">
                      <w:pPr>
                        <w:widowControl w:val="0"/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both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EA7C9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ponad 600 tys. mkw.</w:t>
                      </w:r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> prognozowanej podaży w całym 2026 r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oku</w:t>
                      </w:r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>, najwięcej od ponad dekady</w:t>
                      </w:r>
                    </w:p>
                    <w:p w14:paraId="28AD3926" w14:textId="2A753BB4" w:rsidR="00EA7C9B" w:rsidRPr="00EA7C9B" w:rsidRDefault="00EA7C9B" w:rsidP="00EA7C9B">
                      <w:pPr>
                        <w:widowControl w:val="0"/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both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EA7C9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ok. 76</w:t>
                      </w:r>
                      <w:r w:rsidR="00837C96" w:rsidRPr="00E67AEA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pl-PL"/>
                        </w:rPr>
                        <w:t>0</w:t>
                      </w:r>
                      <w:r w:rsidRPr="00EA7C9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tys. mkw.</w:t>
                      </w:r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> w budowie; 63% w miastach poniżej 100 tys. mieszkańców</w:t>
                      </w:r>
                    </w:p>
                    <w:p w14:paraId="18762DD7" w14:textId="77777777" w:rsidR="00EA7C9B" w:rsidRPr="00EA7C9B" w:rsidRDefault="00EA7C9B" w:rsidP="00EA7C9B">
                      <w:pPr>
                        <w:widowControl w:val="0"/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both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EA7C9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180 EUR i 19,50 EUR/mkw./mies.</w:t>
                      </w:r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 xml:space="preserve"> czynsze </w:t>
                      </w:r>
                      <w:proofErr w:type="spellStart"/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>prime</w:t>
                      </w:r>
                      <w:proofErr w:type="spellEnd"/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 xml:space="preserve"> w centrach i parkach handlowych, najwyższe w CEE</w:t>
                      </w:r>
                    </w:p>
                    <w:p w14:paraId="08C94C14" w14:textId="77777777" w:rsidR="00EA7C9B" w:rsidRPr="00EA7C9B" w:rsidRDefault="00EA7C9B" w:rsidP="00EA7C9B">
                      <w:pPr>
                        <w:widowControl w:val="0"/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both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EA7C9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+0,8% i blisko +5%</w:t>
                      </w:r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 xml:space="preserve"> zmiana </w:t>
                      </w:r>
                      <w:proofErr w:type="spellStart"/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>odwiedzalności</w:t>
                      </w:r>
                      <w:proofErr w:type="spellEnd"/>
                      <w:r w:rsidRPr="00EA7C9B">
                        <w:rPr>
                          <w:color w:val="000000"/>
                          <w:sz w:val="20"/>
                          <w:szCs w:val="20"/>
                        </w:rPr>
                        <w:t xml:space="preserve"> i obrotów centrów handlowych r/r, styczeń–sierpień (wg danych PRCH)</w:t>
                      </w:r>
                    </w:p>
                    <w:p w14:paraId="47F3BD3A" w14:textId="77777777" w:rsidR="00EA7C9B" w:rsidRPr="00EA7C9B" w:rsidRDefault="00EA7C9B"/>
                  </w:txbxContent>
                </v:textbox>
                <w10:wrap type="topAndBottom"/>
              </v:shape>
            </w:pict>
          </mc:Fallback>
        </mc:AlternateContent>
      </w:r>
      <w:r w:rsidR="007D2B82" w:rsidRPr="007D2B82">
        <w:rPr>
          <w:b/>
          <w:bCs/>
          <w:sz w:val="20"/>
          <w:szCs w:val="20"/>
          <w:lang w:val="pl-PL"/>
        </w:rPr>
        <w:t xml:space="preserve">Eksperci </w:t>
      </w:r>
      <w:proofErr w:type="spellStart"/>
      <w:r w:rsidR="007D2B82" w:rsidRPr="007D2B82">
        <w:rPr>
          <w:b/>
          <w:bCs/>
          <w:sz w:val="20"/>
          <w:szCs w:val="20"/>
          <w:lang w:val="pl-PL"/>
        </w:rPr>
        <w:t>Cushman</w:t>
      </w:r>
      <w:proofErr w:type="spellEnd"/>
      <w:r w:rsidR="007D2B82" w:rsidRPr="007D2B82">
        <w:rPr>
          <w:b/>
          <w:bCs/>
          <w:sz w:val="20"/>
          <w:szCs w:val="20"/>
          <w:lang w:val="pl-PL"/>
        </w:rPr>
        <w:t xml:space="preserve"> &amp; Wakefield w Polsce podsumowali sytuację na rynku nieruchomości handlowych po trzecim kwartale 2026 roku. Okres od lipca do września przyniósł utrzymującą się wysoką aktywność deweloperską – w tym czasie oddano do użytku około 1</w:t>
      </w:r>
      <w:r w:rsidR="00B901D8">
        <w:rPr>
          <w:b/>
          <w:bCs/>
          <w:sz w:val="20"/>
          <w:szCs w:val="20"/>
          <w:lang w:val="pl-PL"/>
        </w:rPr>
        <w:t>32</w:t>
      </w:r>
      <w:r w:rsidR="007D2B82" w:rsidRPr="007D2B82">
        <w:rPr>
          <w:b/>
          <w:bCs/>
          <w:sz w:val="20"/>
          <w:szCs w:val="20"/>
          <w:lang w:val="pl-PL"/>
        </w:rPr>
        <w:t xml:space="preserve"> tys. mkw. nowoczesnej powierzchni handlowej, a w budowie pozostaje aż 76</w:t>
      </w:r>
      <w:r w:rsidR="00837C96">
        <w:rPr>
          <w:b/>
          <w:bCs/>
          <w:sz w:val="20"/>
          <w:szCs w:val="20"/>
          <w:lang w:val="pl-PL"/>
        </w:rPr>
        <w:t>0</w:t>
      </w:r>
      <w:r w:rsidR="007D2B82" w:rsidRPr="007D2B82">
        <w:rPr>
          <w:b/>
          <w:bCs/>
          <w:sz w:val="20"/>
          <w:szCs w:val="20"/>
          <w:lang w:val="pl-PL"/>
        </w:rPr>
        <w:t xml:space="preserve"> tys. mkw. Zgodnie z prognozami, łączna nowa podaż w 2026 roku może przekroczyć</w:t>
      </w:r>
      <w:r w:rsidR="00837C96">
        <w:rPr>
          <w:b/>
          <w:bCs/>
          <w:sz w:val="20"/>
          <w:szCs w:val="20"/>
          <w:lang w:val="pl-PL"/>
        </w:rPr>
        <w:t xml:space="preserve"> nawet</w:t>
      </w:r>
      <w:r w:rsidR="007D2B82" w:rsidRPr="007D2B82">
        <w:rPr>
          <w:b/>
          <w:bCs/>
          <w:sz w:val="20"/>
          <w:szCs w:val="20"/>
          <w:lang w:val="pl-PL"/>
        </w:rPr>
        <w:t xml:space="preserve"> 600 tys. mkw., osiągając najwyższy poziom od ponad dekady. Jednocześnie stabilna </w:t>
      </w:r>
      <w:proofErr w:type="spellStart"/>
      <w:r w:rsidR="007D2B82" w:rsidRPr="007D2B82">
        <w:rPr>
          <w:b/>
          <w:bCs/>
          <w:sz w:val="20"/>
          <w:szCs w:val="20"/>
          <w:lang w:val="pl-PL"/>
        </w:rPr>
        <w:t>odwiedzalność</w:t>
      </w:r>
      <w:proofErr w:type="spellEnd"/>
      <w:r w:rsidR="007D2B82" w:rsidRPr="007D2B82">
        <w:rPr>
          <w:b/>
          <w:bCs/>
          <w:sz w:val="20"/>
          <w:szCs w:val="20"/>
          <w:lang w:val="pl-PL"/>
        </w:rPr>
        <w:t xml:space="preserve"> centrów handlowych i rosnące obroty najemców potwierdzają odporność konsumpcji, mimo utrzymującej się ostrożności gospodarstw domowych.</w:t>
      </w:r>
    </w:p>
    <w:p w14:paraId="32539851" w14:textId="2C82D323" w:rsidR="00063423" w:rsidRPr="00EA7C9B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0"/>
          <w:szCs w:val="20"/>
        </w:rPr>
      </w:pPr>
    </w:p>
    <w:p w14:paraId="3404EDFE" w14:textId="4B3FA4D4" w:rsidR="00F564F9" w:rsidRPr="00F564F9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0"/>
          <w:szCs w:val="20"/>
          <w:lang w:val="pl-PL"/>
        </w:rPr>
      </w:pPr>
      <w:r w:rsidRPr="00F564F9">
        <w:rPr>
          <w:b/>
          <w:bCs/>
          <w:color w:val="000000"/>
          <w:sz w:val="20"/>
          <w:szCs w:val="20"/>
        </w:rPr>
        <w:t>Aktywność deweloperska rośnie</w:t>
      </w:r>
    </w:p>
    <w:p w14:paraId="13805297" w14:textId="65C180FA" w:rsid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W trzecim kwartale 2026 roku polski rynek handlowy powiększył się o około 1</w:t>
      </w:r>
      <w:r w:rsidR="00B749C6">
        <w:rPr>
          <w:color w:val="000000"/>
          <w:sz w:val="20"/>
          <w:szCs w:val="20"/>
          <w:lang w:val="pl-PL"/>
        </w:rPr>
        <w:t>32</w:t>
      </w:r>
      <w:r w:rsidRPr="007D2B82">
        <w:rPr>
          <w:color w:val="000000"/>
          <w:sz w:val="20"/>
          <w:szCs w:val="20"/>
          <w:lang w:val="pl-PL"/>
        </w:rPr>
        <w:t xml:space="preserve"> tys. mkw. nowoczesnej powierzchni</w:t>
      </w:r>
      <w:r w:rsidR="00B749C6">
        <w:rPr>
          <w:color w:val="000000"/>
          <w:sz w:val="20"/>
          <w:szCs w:val="20"/>
          <w:lang w:val="pl-PL"/>
        </w:rPr>
        <w:t>.</w:t>
      </w:r>
      <w:r w:rsidRPr="007D2B82">
        <w:rPr>
          <w:color w:val="000000"/>
          <w:sz w:val="20"/>
          <w:szCs w:val="20"/>
          <w:lang w:val="pl-PL"/>
        </w:rPr>
        <w:t xml:space="preserve"> </w:t>
      </w:r>
      <w:r w:rsidR="00B749C6" w:rsidRPr="00B749C6">
        <w:rPr>
          <w:color w:val="000000"/>
          <w:sz w:val="20"/>
          <w:szCs w:val="20"/>
          <w:lang w:val="pl-PL"/>
        </w:rPr>
        <w:t>W sumie od początku roku oddało się ok. 350 tys. mkw. powierzchni</w:t>
      </w:r>
      <w:r w:rsidRPr="007D2B82">
        <w:rPr>
          <w:color w:val="000000"/>
          <w:sz w:val="20"/>
          <w:szCs w:val="20"/>
          <w:lang w:val="pl-PL"/>
        </w:rPr>
        <w:t>. Zgodnie z trendem obserwowanym w ostatnich latach, wśród nowych inwestycji dominowały parki handlowe.</w:t>
      </w:r>
    </w:p>
    <w:p w14:paraId="3E81A4B0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3CED35EF" w14:textId="5FF85278" w:rsid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Do największych obiektów oddanych do użytku należały OTO Park w Siemianowicach Śląskich (20,5 tys. mkw. GLA), park handlowy S1 w Rybniku (19,5 tys. mkw.) oraz Park Handlowy Ku Słońcu w Szczecinie (14,5 tys. mkw.). Istotną część nowej podaży stanowiły również rozbudowy funkcjonujących obiektów, odpowiadające za 3</w:t>
      </w:r>
      <w:r w:rsidR="0031649B">
        <w:rPr>
          <w:color w:val="000000"/>
          <w:sz w:val="20"/>
          <w:szCs w:val="20"/>
          <w:lang w:val="pl-PL"/>
        </w:rPr>
        <w:t>1</w:t>
      </w:r>
      <w:r w:rsidRPr="007D2B82">
        <w:rPr>
          <w:color w:val="000000"/>
          <w:sz w:val="20"/>
          <w:szCs w:val="20"/>
          <w:lang w:val="pl-PL"/>
        </w:rPr>
        <w:t>% powierzchni dostarczonej na rynek w trzecim kwartale.</w:t>
      </w:r>
    </w:p>
    <w:p w14:paraId="6F28DD95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733AEBCF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Aktywność deweloperska może jeszcze przyspieszyć w ostatnich miesiącach roku. Zgodnie z zapowiedziami deweloperów w czwartym kwartale do użytku może zostać oddane nawet około 300 tys. mkw. powierzchni, co oznaczałoby przekroczenie poziomu 600 tys. mkw. nowej podaży w całym 2026 roku. Łączne zasoby nowoczesnej powierzchni handlowej w Polsce wynoszą obecnie około 17,5 mln mkw. GLA.</w:t>
      </w:r>
    </w:p>
    <w:p w14:paraId="7C55BDC6" w14:textId="77777777" w:rsidR="007D2B82" w:rsidRDefault="007D2B82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4D6CDC5A" w14:textId="04C6C08B" w:rsidR="0031649B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F564F9">
        <w:rPr>
          <w:color w:val="000000"/>
          <w:sz w:val="20"/>
          <w:szCs w:val="20"/>
          <w:lang w:val="pl-PL"/>
        </w:rPr>
        <w:t xml:space="preserve">– </w:t>
      </w:r>
      <w:r w:rsidR="007D2B82" w:rsidRPr="007D2B82">
        <w:rPr>
          <w:i/>
          <w:iCs/>
          <w:color w:val="000000"/>
          <w:sz w:val="20"/>
          <w:szCs w:val="20"/>
          <w:lang w:val="pl-PL"/>
        </w:rPr>
        <w:t>Polski rynek handlowy pozostaje bardzo aktywny pod względem nowych inwestycji. Co istotne, rozwój sektora nie opiera się wyłącznie na budowie kolejnych obiektów. W trzecim kwartale istotną rolę odegrały również rozbudowy istniejących projektów, które pozwalają właścicielom wzmacniać ich ofertę i dostosowywać ją do potrzeb lokalnych konsumentów. Skala inwestycji zaplanowanych na ostatni kwartał wskazuje, że 2026 rok może być jednym z najmocniejszych pod względem nowej podaży od ponad dekady</w:t>
      </w:r>
      <w:r w:rsidR="007D2B82">
        <w:rPr>
          <w:i/>
          <w:iCs/>
          <w:color w:val="000000"/>
          <w:sz w:val="20"/>
          <w:szCs w:val="20"/>
          <w:lang w:val="pl-PL"/>
        </w:rPr>
        <w:t xml:space="preserve"> </w:t>
      </w:r>
      <w:r w:rsidRPr="00F564F9">
        <w:rPr>
          <w:color w:val="000000"/>
          <w:sz w:val="20"/>
          <w:szCs w:val="20"/>
          <w:lang w:val="pl-PL"/>
        </w:rPr>
        <w:t xml:space="preserve">– komentuje </w:t>
      </w:r>
      <w:r w:rsidR="0031649B" w:rsidRPr="00E67AEA">
        <w:rPr>
          <w:b/>
          <w:bCs/>
          <w:color w:val="000000"/>
          <w:sz w:val="20"/>
          <w:szCs w:val="20"/>
          <w:lang w:val="pl-PL"/>
        </w:rPr>
        <w:t>Ewa Derlatka-</w:t>
      </w:r>
      <w:proofErr w:type="spellStart"/>
      <w:r w:rsidR="0031649B" w:rsidRPr="00E67AEA">
        <w:rPr>
          <w:b/>
          <w:bCs/>
          <w:color w:val="000000"/>
          <w:sz w:val="20"/>
          <w:szCs w:val="20"/>
          <w:lang w:val="pl-PL"/>
        </w:rPr>
        <w:t>Chilewicz</w:t>
      </w:r>
      <w:proofErr w:type="spellEnd"/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, </w:t>
      </w:r>
      <w:proofErr w:type="spellStart"/>
      <w:r w:rsidR="0031649B" w:rsidRPr="00E67AEA">
        <w:rPr>
          <w:b/>
          <w:bCs/>
          <w:color w:val="000000"/>
          <w:sz w:val="20"/>
          <w:szCs w:val="20"/>
          <w:lang w:val="pl-PL"/>
        </w:rPr>
        <w:t>Associate</w:t>
      </w:r>
      <w:proofErr w:type="spellEnd"/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 </w:t>
      </w:r>
      <w:proofErr w:type="spellStart"/>
      <w:r w:rsidR="0031649B" w:rsidRPr="00E67AEA">
        <w:rPr>
          <w:b/>
          <w:bCs/>
          <w:color w:val="000000"/>
          <w:sz w:val="20"/>
          <w:szCs w:val="20"/>
          <w:lang w:val="pl-PL"/>
        </w:rPr>
        <w:t>Director</w:t>
      </w:r>
      <w:proofErr w:type="spellEnd"/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, </w:t>
      </w:r>
      <w:proofErr w:type="spellStart"/>
      <w:r w:rsidR="0031649B" w:rsidRPr="00E67AEA">
        <w:rPr>
          <w:b/>
          <w:bCs/>
          <w:color w:val="000000"/>
          <w:sz w:val="20"/>
          <w:szCs w:val="20"/>
          <w:lang w:val="pl-PL"/>
        </w:rPr>
        <w:t>Head</w:t>
      </w:r>
      <w:proofErr w:type="spellEnd"/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 of </w:t>
      </w:r>
      <w:proofErr w:type="spellStart"/>
      <w:r w:rsidR="0031649B" w:rsidRPr="00E67AEA">
        <w:rPr>
          <w:b/>
          <w:bCs/>
          <w:color w:val="000000"/>
          <w:sz w:val="20"/>
          <w:szCs w:val="20"/>
          <w:lang w:val="pl-PL"/>
        </w:rPr>
        <w:t>Research</w:t>
      </w:r>
      <w:proofErr w:type="spellEnd"/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, </w:t>
      </w:r>
      <w:proofErr w:type="spellStart"/>
      <w:r w:rsidR="0031649B" w:rsidRPr="00E67AEA">
        <w:rPr>
          <w:b/>
          <w:bCs/>
          <w:color w:val="000000"/>
          <w:sz w:val="20"/>
          <w:szCs w:val="20"/>
          <w:lang w:val="pl-PL"/>
        </w:rPr>
        <w:t>Cushman</w:t>
      </w:r>
      <w:proofErr w:type="spellEnd"/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 &amp; Wakefield.</w:t>
      </w:r>
    </w:p>
    <w:p w14:paraId="577F8E17" w14:textId="77777777" w:rsidR="00F564F9" w:rsidRPr="00E67AEA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en-US"/>
        </w:rPr>
      </w:pPr>
    </w:p>
    <w:p w14:paraId="485862C2" w14:textId="01C1234C" w:rsid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Na koniec września w budowie pozostawało około 76</w:t>
      </w:r>
      <w:r w:rsidR="00310645">
        <w:rPr>
          <w:color w:val="000000"/>
          <w:sz w:val="20"/>
          <w:szCs w:val="20"/>
          <w:lang w:val="pl-PL"/>
        </w:rPr>
        <w:t>0</w:t>
      </w:r>
      <w:r w:rsidRPr="007D2B82">
        <w:rPr>
          <w:color w:val="000000"/>
          <w:sz w:val="20"/>
          <w:szCs w:val="20"/>
          <w:lang w:val="pl-PL"/>
        </w:rPr>
        <w:t xml:space="preserve"> tys. mkw. GLA nowoczesnej powierzchni handlowej. Wśród największych realizowanych inwestycji znajdują się Park Handlowy </w:t>
      </w:r>
      <w:proofErr w:type="spellStart"/>
      <w:r w:rsidRPr="007D2B82">
        <w:rPr>
          <w:color w:val="000000"/>
          <w:sz w:val="20"/>
          <w:szCs w:val="20"/>
          <w:lang w:val="pl-PL"/>
        </w:rPr>
        <w:t>Redkom</w:t>
      </w:r>
      <w:proofErr w:type="spellEnd"/>
      <w:r w:rsidRPr="007D2B82">
        <w:rPr>
          <w:color w:val="000000"/>
          <w:sz w:val="20"/>
          <w:szCs w:val="20"/>
          <w:lang w:val="pl-PL"/>
        </w:rPr>
        <w:t xml:space="preserve"> w Tarnowie (35 tys. mkw.), BIG Piła (24 tys. mkw.) oraz </w:t>
      </w:r>
      <w:r w:rsidR="00BF2267" w:rsidRPr="00BF2267">
        <w:rPr>
          <w:color w:val="000000"/>
          <w:sz w:val="20"/>
          <w:szCs w:val="20"/>
          <w:lang w:val="pl-PL"/>
        </w:rPr>
        <w:t xml:space="preserve">Aura Park Szczecinek (23 </w:t>
      </w:r>
      <w:r w:rsidR="00BF2267">
        <w:rPr>
          <w:color w:val="000000"/>
          <w:sz w:val="20"/>
          <w:szCs w:val="20"/>
          <w:lang w:val="pl-PL"/>
        </w:rPr>
        <w:t>tys.</w:t>
      </w:r>
      <w:r w:rsidR="00BF2267" w:rsidRPr="00BF2267">
        <w:rPr>
          <w:color w:val="000000"/>
          <w:sz w:val="20"/>
          <w:szCs w:val="20"/>
          <w:lang w:val="pl-PL"/>
        </w:rPr>
        <w:t xml:space="preserve"> mkw.)</w:t>
      </w:r>
      <w:r w:rsidR="00BF2267">
        <w:rPr>
          <w:color w:val="000000"/>
          <w:sz w:val="20"/>
          <w:szCs w:val="20"/>
          <w:lang w:val="pl-PL"/>
        </w:rPr>
        <w:t>.</w:t>
      </w:r>
      <w:r w:rsidRPr="007D2B82">
        <w:rPr>
          <w:color w:val="000000"/>
          <w:sz w:val="20"/>
          <w:szCs w:val="20"/>
          <w:lang w:val="pl-PL"/>
        </w:rPr>
        <w:t xml:space="preserve"> Aktywność deweloperów nadal koncentruje się przede wszystkim poza głównymi aglomeracjami – aż 63% powierzchni będącej obecnie w budowie przypada na miasta liczące mniej niż 100 tys. mieszkańców.</w:t>
      </w:r>
    </w:p>
    <w:p w14:paraId="07500852" w14:textId="77777777" w:rsidR="009336E3" w:rsidRDefault="009336E3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73ED3994" w14:textId="42C0D801" w:rsidR="009336E3" w:rsidRPr="007D2B82" w:rsidRDefault="009336E3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>
        <w:rPr>
          <w:color w:val="000000"/>
          <w:sz w:val="20"/>
          <w:szCs w:val="20"/>
        </w:rPr>
        <w:t xml:space="preserve">– </w:t>
      </w:r>
      <w:r w:rsidRPr="009336E3">
        <w:rPr>
          <w:i/>
          <w:iCs/>
          <w:color w:val="000000"/>
          <w:sz w:val="20"/>
          <w:szCs w:val="20"/>
        </w:rPr>
        <w:t xml:space="preserve">Parki handlowe wciąż mają w Polsce przestrzeń do rozwoju, ale o sukcesie nowego projektu nie przesądza już sam format. Coraz więcej inwestycji powstaje w mniejszych miastach, często w zasięgu istniejących obiektów, dlatego konkurencję trzeba analizować bardzo lokalnie, biorąc pod uwagę nie tylko inne parki, ale też centra handlowe i lokalny handel. Przewagę zyskają projekty z przemyślaną strategią pozycjonowania, czyli z dobrze dobranym </w:t>
      </w:r>
      <w:proofErr w:type="spellStart"/>
      <w:r w:rsidRPr="009336E3">
        <w:rPr>
          <w:i/>
          <w:iCs/>
          <w:color w:val="000000"/>
          <w:sz w:val="20"/>
          <w:szCs w:val="20"/>
        </w:rPr>
        <w:t>miksem</w:t>
      </w:r>
      <w:proofErr w:type="spellEnd"/>
      <w:r w:rsidRPr="009336E3">
        <w:rPr>
          <w:i/>
          <w:iCs/>
          <w:color w:val="000000"/>
          <w:sz w:val="20"/>
          <w:szCs w:val="20"/>
        </w:rPr>
        <w:t xml:space="preserve"> najemców i ofertą, która uzupełnia, a nie powiela to, co mieszkańcy mają już w </w:t>
      </w:r>
      <w:r w:rsidRPr="009336E3">
        <w:rPr>
          <w:i/>
          <w:iCs/>
          <w:color w:val="000000"/>
          <w:sz w:val="20"/>
          <w:szCs w:val="20"/>
        </w:rPr>
        <w:lastRenderedPageBreak/>
        <w:t>okolicy</w:t>
      </w:r>
      <w:r w:rsidRPr="009336E3">
        <w:rPr>
          <w:color w:val="000000"/>
          <w:sz w:val="20"/>
          <w:szCs w:val="20"/>
        </w:rPr>
        <w:t xml:space="preserve"> – mówi </w:t>
      </w:r>
      <w:r w:rsidRPr="009336E3">
        <w:rPr>
          <w:b/>
          <w:bCs/>
          <w:color w:val="000000"/>
          <w:sz w:val="20"/>
          <w:szCs w:val="20"/>
        </w:rPr>
        <w:t xml:space="preserve">Michał </w:t>
      </w:r>
      <w:proofErr w:type="spellStart"/>
      <w:r w:rsidRPr="009336E3">
        <w:rPr>
          <w:b/>
          <w:bCs/>
          <w:color w:val="000000"/>
          <w:sz w:val="20"/>
          <w:szCs w:val="20"/>
        </w:rPr>
        <w:t>Masztakowski</w:t>
      </w:r>
      <w:proofErr w:type="spellEnd"/>
      <w:r w:rsidRPr="009336E3">
        <w:rPr>
          <w:b/>
          <w:bCs/>
          <w:color w:val="000000"/>
          <w:sz w:val="20"/>
          <w:szCs w:val="20"/>
        </w:rPr>
        <w:t xml:space="preserve">, </w:t>
      </w:r>
      <w:proofErr w:type="spellStart"/>
      <w:r w:rsidRPr="009336E3">
        <w:rPr>
          <w:b/>
          <w:bCs/>
          <w:color w:val="000000"/>
          <w:sz w:val="20"/>
          <w:szCs w:val="20"/>
        </w:rPr>
        <w:t>Head</w:t>
      </w:r>
      <w:proofErr w:type="spellEnd"/>
      <w:r w:rsidRPr="009336E3">
        <w:rPr>
          <w:b/>
          <w:bCs/>
          <w:color w:val="000000"/>
          <w:sz w:val="20"/>
          <w:szCs w:val="20"/>
        </w:rPr>
        <w:t xml:space="preserve"> of Retail </w:t>
      </w:r>
      <w:proofErr w:type="spellStart"/>
      <w:r w:rsidRPr="009336E3">
        <w:rPr>
          <w:b/>
          <w:bCs/>
          <w:color w:val="000000"/>
          <w:sz w:val="20"/>
          <w:szCs w:val="20"/>
        </w:rPr>
        <w:t>Agency</w:t>
      </w:r>
      <w:proofErr w:type="spellEnd"/>
      <w:r w:rsidRPr="009336E3">
        <w:rPr>
          <w:b/>
          <w:bCs/>
          <w:color w:val="000000"/>
          <w:sz w:val="20"/>
          <w:szCs w:val="20"/>
        </w:rPr>
        <w:t xml:space="preserve">, </w:t>
      </w:r>
      <w:proofErr w:type="spellStart"/>
      <w:r w:rsidRPr="009336E3">
        <w:rPr>
          <w:b/>
          <w:bCs/>
          <w:color w:val="000000"/>
          <w:sz w:val="20"/>
          <w:szCs w:val="20"/>
        </w:rPr>
        <w:t>Cushman</w:t>
      </w:r>
      <w:proofErr w:type="spellEnd"/>
      <w:r w:rsidRPr="009336E3">
        <w:rPr>
          <w:b/>
          <w:bCs/>
          <w:color w:val="000000"/>
          <w:sz w:val="20"/>
          <w:szCs w:val="20"/>
        </w:rPr>
        <w:t xml:space="preserve"> &amp; Wakefield</w:t>
      </w:r>
      <w:r w:rsidRPr="009336E3">
        <w:rPr>
          <w:color w:val="000000"/>
          <w:sz w:val="20"/>
          <w:szCs w:val="20"/>
        </w:rPr>
        <w:t>.</w:t>
      </w:r>
    </w:p>
    <w:p w14:paraId="2DE25737" w14:textId="77777777" w:rsidR="00F564F9" w:rsidRPr="00F564F9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5A134207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0"/>
          <w:szCs w:val="20"/>
          <w:lang w:val="pl-PL"/>
        </w:rPr>
      </w:pPr>
      <w:r w:rsidRPr="007D2B82">
        <w:rPr>
          <w:b/>
          <w:bCs/>
          <w:color w:val="000000"/>
          <w:sz w:val="20"/>
          <w:szCs w:val="20"/>
          <w:lang w:val="pl-PL"/>
        </w:rPr>
        <w:t>Osiem marek rozpoczęło działalność stacjonarną w trzecim kwartale</w:t>
      </w:r>
    </w:p>
    <w:p w14:paraId="2FD8FDE8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 xml:space="preserve">W trzecim kwartale 2026 roku działalność stacjonarną w Polsce rozpoczęło osiem marek, z czego pięć reprezentuje sektor modowy. Wśród debiutantów znalazły się szwedzkie marki Grupy </w:t>
      </w:r>
      <w:proofErr w:type="spellStart"/>
      <w:r w:rsidRPr="007D2B82">
        <w:rPr>
          <w:color w:val="000000"/>
          <w:sz w:val="20"/>
          <w:szCs w:val="20"/>
          <w:lang w:val="pl-PL"/>
        </w:rPr>
        <w:t>Kappahl</w:t>
      </w:r>
      <w:proofErr w:type="spellEnd"/>
      <w:r w:rsidRPr="007D2B82">
        <w:rPr>
          <w:color w:val="000000"/>
          <w:sz w:val="20"/>
          <w:szCs w:val="20"/>
          <w:lang w:val="pl-PL"/>
        </w:rPr>
        <w:t xml:space="preserve"> – </w:t>
      </w:r>
      <w:proofErr w:type="spellStart"/>
      <w:r w:rsidRPr="007D2B82">
        <w:rPr>
          <w:color w:val="000000"/>
          <w:sz w:val="20"/>
          <w:szCs w:val="20"/>
          <w:lang w:val="pl-PL"/>
        </w:rPr>
        <w:t>kay</w:t>
      </w:r>
      <w:proofErr w:type="spellEnd"/>
      <w:r w:rsidRPr="007D2B82">
        <w:rPr>
          <w:color w:val="000000"/>
          <w:sz w:val="20"/>
          <w:szCs w:val="20"/>
          <w:lang w:val="pl-PL"/>
        </w:rPr>
        <w:t>/</w:t>
      </w:r>
      <w:proofErr w:type="spellStart"/>
      <w:r w:rsidRPr="007D2B82">
        <w:rPr>
          <w:color w:val="000000"/>
          <w:sz w:val="20"/>
          <w:szCs w:val="20"/>
          <w:lang w:val="pl-PL"/>
        </w:rPr>
        <w:t>day</w:t>
      </w:r>
      <w:proofErr w:type="spellEnd"/>
      <w:r w:rsidRPr="007D2B82">
        <w:rPr>
          <w:color w:val="000000"/>
          <w:sz w:val="20"/>
          <w:szCs w:val="20"/>
          <w:lang w:val="pl-PL"/>
        </w:rPr>
        <w:t xml:space="preserve"> i </w:t>
      </w:r>
      <w:proofErr w:type="spellStart"/>
      <w:r w:rsidRPr="007D2B82">
        <w:rPr>
          <w:color w:val="000000"/>
          <w:sz w:val="20"/>
          <w:szCs w:val="20"/>
          <w:lang w:val="pl-PL"/>
        </w:rPr>
        <w:t>Kappahl</w:t>
      </w:r>
      <w:proofErr w:type="spellEnd"/>
      <w:r w:rsidRPr="007D2B82">
        <w:rPr>
          <w:color w:val="000000"/>
          <w:sz w:val="20"/>
          <w:szCs w:val="20"/>
          <w:lang w:val="pl-PL"/>
        </w:rPr>
        <w:t xml:space="preserve"> baby, amerykańska </w:t>
      </w:r>
      <w:proofErr w:type="spellStart"/>
      <w:r w:rsidRPr="007D2B82">
        <w:rPr>
          <w:color w:val="000000"/>
          <w:sz w:val="20"/>
          <w:szCs w:val="20"/>
          <w:lang w:val="pl-PL"/>
        </w:rPr>
        <w:t>Beverly</w:t>
      </w:r>
      <w:proofErr w:type="spellEnd"/>
      <w:r w:rsidRPr="007D2B82">
        <w:rPr>
          <w:color w:val="000000"/>
          <w:sz w:val="20"/>
          <w:szCs w:val="20"/>
          <w:lang w:val="pl-PL"/>
        </w:rPr>
        <w:t xml:space="preserve"> </w:t>
      </w:r>
      <w:proofErr w:type="spellStart"/>
      <w:r w:rsidRPr="007D2B82">
        <w:rPr>
          <w:color w:val="000000"/>
          <w:sz w:val="20"/>
          <w:szCs w:val="20"/>
          <w:lang w:val="pl-PL"/>
        </w:rPr>
        <w:t>Hills</w:t>
      </w:r>
      <w:proofErr w:type="spellEnd"/>
      <w:r w:rsidRPr="007D2B82">
        <w:rPr>
          <w:color w:val="000000"/>
          <w:sz w:val="20"/>
          <w:szCs w:val="20"/>
          <w:lang w:val="pl-PL"/>
        </w:rPr>
        <w:t xml:space="preserve"> Polo Club, duńska VILA oraz ukraińska </w:t>
      </w:r>
      <w:proofErr w:type="spellStart"/>
      <w:r w:rsidRPr="007D2B82">
        <w:rPr>
          <w:color w:val="000000"/>
          <w:sz w:val="20"/>
          <w:szCs w:val="20"/>
          <w:lang w:val="pl-PL"/>
        </w:rPr>
        <w:t>Coosh</w:t>
      </w:r>
      <w:proofErr w:type="spellEnd"/>
      <w:r w:rsidRPr="007D2B82">
        <w:rPr>
          <w:color w:val="000000"/>
          <w:sz w:val="20"/>
          <w:szCs w:val="20"/>
          <w:lang w:val="pl-PL"/>
        </w:rPr>
        <w:t>.</w:t>
      </w:r>
    </w:p>
    <w:p w14:paraId="010DB1D1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32916E52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 xml:space="preserve">Na polskim rynku pojawiła się również marka </w:t>
      </w:r>
      <w:proofErr w:type="spellStart"/>
      <w:r w:rsidRPr="007D2B82">
        <w:rPr>
          <w:color w:val="000000"/>
          <w:sz w:val="20"/>
          <w:szCs w:val="20"/>
          <w:lang w:val="pl-PL"/>
        </w:rPr>
        <w:t>Etnika</w:t>
      </w:r>
      <w:proofErr w:type="spellEnd"/>
      <w:r w:rsidRPr="007D2B82">
        <w:rPr>
          <w:color w:val="000000"/>
          <w:sz w:val="20"/>
          <w:szCs w:val="20"/>
          <w:lang w:val="pl-PL"/>
        </w:rPr>
        <w:t xml:space="preserve"> ze Zjednoczonych Emiratów Arabskich, oferująca meble i artykuły wyposażenia wnętrz. Do sprzedaży stacjonarnej weszły także polskie marki: </w:t>
      </w:r>
      <w:proofErr w:type="spellStart"/>
      <w:r w:rsidRPr="007D2B82">
        <w:rPr>
          <w:color w:val="000000"/>
          <w:sz w:val="20"/>
          <w:szCs w:val="20"/>
          <w:lang w:val="pl-PL"/>
        </w:rPr>
        <w:t>ShockPrice</w:t>
      </w:r>
      <w:proofErr w:type="spellEnd"/>
      <w:r w:rsidRPr="007D2B82">
        <w:rPr>
          <w:color w:val="000000"/>
          <w:sz w:val="20"/>
          <w:szCs w:val="20"/>
          <w:lang w:val="pl-PL"/>
        </w:rPr>
        <w:t>, powracająca na rynek z formatem sklepów off-</w:t>
      </w:r>
      <w:proofErr w:type="spellStart"/>
      <w:r w:rsidRPr="007D2B82">
        <w:rPr>
          <w:color w:val="000000"/>
          <w:sz w:val="20"/>
          <w:szCs w:val="20"/>
          <w:lang w:val="pl-PL"/>
        </w:rPr>
        <w:t>price</w:t>
      </w:r>
      <w:proofErr w:type="spellEnd"/>
      <w:r w:rsidRPr="007D2B82">
        <w:rPr>
          <w:color w:val="000000"/>
          <w:sz w:val="20"/>
          <w:szCs w:val="20"/>
          <w:lang w:val="pl-PL"/>
        </w:rPr>
        <w:t xml:space="preserve">, oraz </w:t>
      </w:r>
      <w:proofErr w:type="spellStart"/>
      <w:r w:rsidRPr="007D2B82">
        <w:rPr>
          <w:color w:val="000000"/>
          <w:sz w:val="20"/>
          <w:szCs w:val="20"/>
          <w:lang w:val="pl-PL"/>
        </w:rPr>
        <w:t>Selsey</w:t>
      </w:r>
      <w:proofErr w:type="spellEnd"/>
      <w:r w:rsidRPr="007D2B82">
        <w:rPr>
          <w:color w:val="000000"/>
          <w:sz w:val="20"/>
          <w:szCs w:val="20"/>
          <w:lang w:val="pl-PL"/>
        </w:rPr>
        <w:t>, polska marka meblowa debiutująca w kanale stacjonarnym.</w:t>
      </w:r>
    </w:p>
    <w:p w14:paraId="0642F10F" w14:textId="77777777" w:rsidR="00F564F9" w:rsidRPr="00F564F9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0DBDB7D3" w14:textId="4241D55F" w:rsidR="00F564F9" w:rsidRPr="00F564F9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0"/>
          <w:szCs w:val="20"/>
          <w:lang w:val="pl-PL"/>
        </w:rPr>
      </w:pPr>
      <w:r w:rsidRPr="00F564F9">
        <w:rPr>
          <w:b/>
          <w:bCs/>
          <w:color w:val="000000"/>
          <w:sz w:val="20"/>
          <w:szCs w:val="20"/>
          <w:lang w:val="pl-PL"/>
        </w:rPr>
        <w:t>Konsumpcja pozostaje stabilna, choć Polacy ostrożniej planują wydatki</w:t>
      </w:r>
    </w:p>
    <w:p w14:paraId="0A64CF5E" w14:textId="77777777" w:rsid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Dane za trzeci kwartał wskazują na utrzymanie dodatniej dynamiki sprzedaży detalicznej. W sierpniu 2026 roku sprzedaż w cenach stałych wzrosła o 3,8% rok do roku. Najwyższe wzrosty odnotowano w kategoriach mebli, RTV i AGD (+10,6%) oraz farmaceutyków, kosmetyków i sprzętu ortopedycznego (+6,2%). Spadek dotyczył natomiast tekstyliów, odzieży i obuwia (-2,7% r/r).</w:t>
      </w:r>
    </w:p>
    <w:p w14:paraId="1D24A4BB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58740DB5" w14:textId="77777777" w:rsid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Mimo utrzymującej się dodatniej dynamiki sprzedaży nastroje konsumentów nie wskazują na wyraźny przełom. We wrześniu bieżący wskaźnik ufności konsumenckiej wyniósł -10,8, a wyprzedzający wskaźnik ufności konsumenckiej -7,9. Relatywnie dobra ocena obecnej sytuacji finansowej gospodarstw domowych wspiera konsumpcję, jednak niepewność dotycząca przyszłości może skłaniać Polaków do bardziej selektywnego podejścia do zakupów.</w:t>
      </w:r>
    </w:p>
    <w:p w14:paraId="51642DBA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773EBA4F" w14:textId="77777777" w:rsid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 xml:space="preserve">Stabilna pozostaje również </w:t>
      </w:r>
      <w:proofErr w:type="spellStart"/>
      <w:r w:rsidRPr="007D2B82">
        <w:rPr>
          <w:color w:val="000000"/>
          <w:sz w:val="20"/>
          <w:szCs w:val="20"/>
          <w:lang w:val="pl-PL"/>
        </w:rPr>
        <w:t>odwiedzalność</w:t>
      </w:r>
      <w:proofErr w:type="spellEnd"/>
      <w:r w:rsidRPr="007D2B82">
        <w:rPr>
          <w:color w:val="000000"/>
          <w:sz w:val="20"/>
          <w:szCs w:val="20"/>
          <w:lang w:val="pl-PL"/>
        </w:rPr>
        <w:t xml:space="preserve"> centrów handlowych. W okresie od stycznia do sierpnia wzrosła ona o 0,8% rok do roku. Po słabszym kwietniu, kiedy ruch klientów spadł o 5,7%, kolejne miesiące przyniosły poprawę. W czerwcu liczba odwiedzin zwiększyła się o 5%, a dodatnia dynamika utrzymała się także w lipcu i sierpniu.</w:t>
      </w:r>
    </w:p>
    <w:p w14:paraId="75188DFC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3C7E5592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Jeszcze lepiej prezentują się wyniki sprzedażowe najemców. W pierwszych ośmiu miesiącach 2026 roku średnie obroty przypadające na jedno centrum handlowe były nominalnie o blisko 5% wyższe niż rok wcześniej.</w:t>
      </w:r>
    </w:p>
    <w:p w14:paraId="35354E24" w14:textId="77777777" w:rsidR="00F564F9" w:rsidRPr="00F564F9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6F20C74E" w14:textId="2CB9E301" w:rsidR="0031649B" w:rsidRPr="007D2B82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i/>
          <w:iCs/>
          <w:color w:val="000000"/>
          <w:sz w:val="20"/>
          <w:szCs w:val="20"/>
          <w:lang w:val="pl-PL"/>
        </w:rPr>
      </w:pPr>
      <w:r w:rsidRPr="00F564F9">
        <w:rPr>
          <w:color w:val="000000"/>
          <w:sz w:val="20"/>
          <w:szCs w:val="20"/>
          <w:lang w:val="pl-PL"/>
        </w:rPr>
        <w:t xml:space="preserve">– </w:t>
      </w:r>
      <w:r w:rsidR="007D2B82" w:rsidRPr="007D2B82">
        <w:rPr>
          <w:i/>
          <w:iCs/>
          <w:color w:val="000000"/>
          <w:sz w:val="20"/>
          <w:szCs w:val="20"/>
          <w:lang w:val="pl-PL"/>
        </w:rPr>
        <w:t xml:space="preserve">Pomimo utrzymującej się ostrożności konsumentów wyniki centrów handlowych pokazują odporność sektora. </w:t>
      </w:r>
      <w:proofErr w:type="spellStart"/>
      <w:r w:rsidR="007D2B82" w:rsidRPr="007D2B82">
        <w:rPr>
          <w:i/>
          <w:iCs/>
          <w:color w:val="000000"/>
          <w:sz w:val="20"/>
          <w:szCs w:val="20"/>
          <w:lang w:val="pl-PL"/>
        </w:rPr>
        <w:t>Odwiedzalność</w:t>
      </w:r>
      <w:proofErr w:type="spellEnd"/>
      <w:r w:rsidR="007D2B82" w:rsidRPr="007D2B82">
        <w:rPr>
          <w:i/>
          <w:iCs/>
          <w:color w:val="000000"/>
          <w:sz w:val="20"/>
          <w:szCs w:val="20"/>
          <w:lang w:val="pl-PL"/>
        </w:rPr>
        <w:t xml:space="preserve"> pozostaje stabilna, a nominalne obroty rosną wyraźnie szybciej niż liczba wizyt. Widzimy jednak istotne różnice pomiędzy poszczególnymi kategoriami handlowymi. Dodatnią dynamikę sprzedaży obserwujemy m.in. w segmentach wyposażenia mieszkań, elektroniki oraz produktów związanych ze zdrowiem i urodą, podczas gdy sprzedaż odzieży i obuwia notuje spadki. To pokazuje, jak ważne dla właścicieli obiektów jest odpowiednie dopasowanie oferty handlowej do zmieniających się potrzeb konsumentów</w:t>
      </w:r>
      <w:r w:rsidR="007D2B82">
        <w:rPr>
          <w:i/>
          <w:iCs/>
          <w:color w:val="000000"/>
          <w:sz w:val="20"/>
          <w:szCs w:val="20"/>
          <w:lang w:val="pl-PL"/>
        </w:rPr>
        <w:t xml:space="preserve"> </w:t>
      </w:r>
      <w:r w:rsidRPr="00F564F9">
        <w:rPr>
          <w:color w:val="000000"/>
          <w:sz w:val="20"/>
          <w:szCs w:val="20"/>
          <w:lang w:val="pl-PL"/>
        </w:rPr>
        <w:t xml:space="preserve">– komentuje </w:t>
      </w:r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Ewelina Staruch, Senior </w:t>
      </w:r>
      <w:proofErr w:type="spellStart"/>
      <w:r w:rsidR="0031649B" w:rsidRPr="00E67AEA">
        <w:rPr>
          <w:b/>
          <w:bCs/>
          <w:color w:val="000000"/>
          <w:sz w:val="20"/>
          <w:szCs w:val="20"/>
          <w:lang w:val="pl-PL"/>
        </w:rPr>
        <w:t>Analyst</w:t>
      </w:r>
      <w:proofErr w:type="spellEnd"/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, </w:t>
      </w:r>
      <w:proofErr w:type="spellStart"/>
      <w:r w:rsidR="0031649B" w:rsidRPr="00E67AEA">
        <w:rPr>
          <w:b/>
          <w:bCs/>
          <w:color w:val="000000"/>
          <w:sz w:val="20"/>
          <w:szCs w:val="20"/>
          <w:lang w:val="pl-PL"/>
        </w:rPr>
        <w:t>Research</w:t>
      </w:r>
      <w:proofErr w:type="spellEnd"/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, </w:t>
      </w:r>
      <w:proofErr w:type="spellStart"/>
      <w:r w:rsidR="0031649B" w:rsidRPr="00E67AEA">
        <w:rPr>
          <w:b/>
          <w:bCs/>
          <w:color w:val="000000"/>
          <w:sz w:val="20"/>
          <w:szCs w:val="20"/>
          <w:lang w:val="pl-PL"/>
        </w:rPr>
        <w:t>Cushman</w:t>
      </w:r>
      <w:proofErr w:type="spellEnd"/>
      <w:r w:rsidR="0031649B" w:rsidRPr="00E67AEA">
        <w:rPr>
          <w:b/>
          <w:bCs/>
          <w:color w:val="000000"/>
          <w:sz w:val="20"/>
          <w:szCs w:val="20"/>
          <w:lang w:val="pl-PL"/>
        </w:rPr>
        <w:t xml:space="preserve"> &amp; Wakefield.</w:t>
      </w:r>
    </w:p>
    <w:p w14:paraId="7A7D4124" w14:textId="77777777" w:rsidR="00F564F9" w:rsidRPr="00F564F9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64922DF5" w14:textId="77777777" w:rsidR="00F564F9" w:rsidRPr="00F564F9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0"/>
          <w:szCs w:val="20"/>
          <w:lang w:val="pl-PL"/>
        </w:rPr>
      </w:pPr>
      <w:r w:rsidRPr="00F564F9">
        <w:rPr>
          <w:b/>
          <w:bCs/>
          <w:color w:val="000000"/>
          <w:sz w:val="20"/>
          <w:szCs w:val="20"/>
          <w:lang w:val="pl-PL"/>
        </w:rPr>
        <w:t xml:space="preserve">Polska z najwyższymi czynszami </w:t>
      </w:r>
      <w:proofErr w:type="spellStart"/>
      <w:r w:rsidRPr="00F564F9">
        <w:rPr>
          <w:b/>
          <w:bCs/>
          <w:color w:val="000000"/>
          <w:sz w:val="20"/>
          <w:szCs w:val="20"/>
          <w:lang w:val="pl-PL"/>
        </w:rPr>
        <w:t>prime</w:t>
      </w:r>
      <w:proofErr w:type="spellEnd"/>
      <w:r w:rsidRPr="00F564F9">
        <w:rPr>
          <w:b/>
          <w:bCs/>
          <w:color w:val="000000"/>
          <w:sz w:val="20"/>
          <w:szCs w:val="20"/>
          <w:lang w:val="pl-PL"/>
        </w:rPr>
        <w:t xml:space="preserve"> w regionie CEE</w:t>
      </w:r>
    </w:p>
    <w:p w14:paraId="1963A184" w14:textId="77777777" w:rsid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W trzecim kwartale 2026 roku stawki czynszów za najlepsze powierzchnie handlowe pozostały stabilne w ujęciu kwartał do kwartału. Jedynie na głównych ulicach handlowych odnotowano niewielką korektę stawek.</w:t>
      </w:r>
    </w:p>
    <w:p w14:paraId="66061F7B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1E37FAE7" w14:textId="6811A099" w:rsid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W</w:t>
      </w:r>
      <w:r>
        <w:rPr>
          <w:color w:val="000000"/>
          <w:sz w:val="20"/>
          <w:szCs w:val="20"/>
          <w:lang w:val="pl-PL"/>
        </w:rPr>
        <w:t>e</w:t>
      </w:r>
      <w:r w:rsidRPr="007D2B82">
        <w:rPr>
          <w:color w:val="000000"/>
          <w:sz w:val="20"/>
          <w:szCs w:val="20"/>
          <w:lang w:val="pl-PL"/>
        </w:rPr>
        <w:t xml:space="preserve"> flagowych centrach handlowych czynsze dla lokali o powierzchni około 100 mkw. utrzymały się na poziomie 180 EUR/mkw. miesięcznie. W najlepszych parkach handlowych wynosiły 19,50 EUR/mkw. miesięcznie. W obu przypadkach są to najwyższe poziomy wśród analizowanych krajów Europy Środkowo-Wschodniej.</w:t>
      </w:r>
    </w:p>
    <w:p w14:paraId="5ED337D4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64A1415D" w14:textId="77777777" w:rsidR="007D2B82" w:rsidRPr="007D2B82" w:rsidRDefault="007D2B82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7D2B82">
        <w:rPr>
          <w:color w:val="000000"/>
          <w:sz w:val="20"/>
          <w:szCs w:val="20"/>
          <w:lang w:val="pl-PL"/>
        </w:rPr>
        <w:t>Na głównych ulicach handlowych czynsze ukształtowały się na poziomie około 94 EUR/mkw. miesięcznie. W tym segmencie Polska nadal ustępuje Czechom i Węgrom, gdzie rynek prestiżowych lokalizacji handlowych jest bardziej rozwinięty.</w:t>
      </w:r>
    </w:p>
    <w:p w14:paraId="3CC9DBD9" w14:textId="77777777" w:rsidR="00F564F9" w:rsidRPr="00F564F9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</w:p>
    <w:p w14:paraId="0C005F59" w14:textId="52958A35" w:rsidR="00F564F9" w:rsidRPr="007D2B82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i/>
          <w:iCs/>
          <w:color w:val="000000"/>
          <w:sz w:val="20"/>
          <w:szCs w:val="20"/>
          <w:lang w:val="pl-PL"/>
        </w:rPr>
      </w:pPr>
      <w:r w:rsidRPr="00F564F9">
        <w:rPr>
          <w:color w:val="000000"/>
          <w:sz w:val="20"/>
          <w:szCs w:val="20"/>
          <w:lang w:val="pl-PL"/>
        </w:rPr>
        <w:t xml:space="preserve">– </w:t>
      </w:r>
      <w:r w:rsidR="007D2B82" w:rsidRPr="007D2B82">
        <w:rPr>
          <w:i/>
          <w:iCs/>
          <w:color w:val="000000"/>
          <w:sz w:val="20"/>
          <w:szCs w:val="20"/>
          <w:lang w:val="pl-PL"/>
        </w:rPr>
        <w:t xml:space="preserve">Stabilizacja czynszów </w:t>
      </w:r>
      <w:proofErr w:type="spellStart"/>
      <w:r w:rsidR="007D2B82" w:rsidRPr="007D2B82">
        <w:rPr>
          <w:i/>
          <w:iCs/>
          <w:color w:val="000000"/>
          <w:sz w:val="20"/>
          <w:szCs w:val="20"/>
          <w:lang w:val="pl-PL"/>
        </w:rPr>
        <w:t>prime</w:t>
      </w:r>
      <w:proofErr w:type="spellEnd"/>
      <w:r w:rsidR="007D2B82" w:rsidRPr="007D2B82">
        <w:rPr>
          <w:i/>
          <w:iCs/>
          <w:color w:val="000000"/>
          <w:sz w:val="20"/>
          <w:szCs w:val="20"/>
          <w:lang w:val="pl-PL"/>
        </w:rPr>
        <w:t xml:space="preserve"> nie oznacza osłabienia pozycji najlepszych nieruchomości handlowych. Polska utrzymuje najwyższe stawki w regionie CEE zarówno w przypadku centrów, jak i parków handlowych, co potwierdza znaczenie atrakcyjnych lokalizacji i dobrze funkcjonujących projektów</w:t>
      </w:r>
      <w:r w:rsidR="009336E3">
        <w:rPr>
          <w:i/>
          <w:iCs/>
          <w:color w:val="000000"/>
          <w:sz w:val="20"/>
          <w:szCs w:val="20"/>
          <w:lang w:val="pl-PL"/>
        </w:rPr>
        <w:t xml:space="preserve"> </w:t>
      </w:r>
      <w:r w:rsidRPr="00F564F9">
        <w:rPr>
          <w:color w:val="000000"/>
          <w:sz w:val="20"/>
          <w:szCs w:val="20"/>
          <w:lang w:val="pl-PL"/>
        </w:rPr>
        <w:t xml:space="preserve">– podsumowuje </w:t>
      </w:r>
      <w:r w:rsidRPr="00F564F9">
        <w:rPr>
          <w:b/>
          <w:bCs/>
          <w:color w:val="000000"/>
          <w:sz w:val="20"/>
          <w:szCs w:val="20"/>
          <w:lang w:val="pl-PL"/>
        </w:rPr>
        <w:t xml:space="preserve">Michał </w:t>
      </w:r>
      <w:proofErr w:type="spellStart"/>
      <w:r w:rsidRPr="00F564F9">
        <w:rPr>
          <w:b/>
          <w:bCs/>
          <w:color w:val="000000"/>
          <w:sz w:val="20"/>
          <w:szCs w:val="20"/>
          <w:lang w:val="pl-PL"/>
        </w:rPr>
        <w:t>Masztakowski</w:t>
      </w:r>
      <w:proofErr w:type="spellEnd"/>
      <w:r w:rsidRPr="00F564F9">
        <w:rPr>
          <w:b/>
          <w:bCs/>
          <w:color w:val="000000"/>
          <w:sz w:val="20"/>
          <w:szCs w:val="20"/>
          <w:lang w:val="pl-PL"/>
        </w:rPr>
        <w:t xml:space="preserve">, </w:t>
      </w:r>
      <w:proofErr w:type="spellStart"/>
      <w:r w:rsidRPr="00F564F9">
        <w:rPr>
          <w:b/>
          <w:bCs/>
          <w:color w:val="000000"/>
          <w:sz w:val="20"/>
          <w:szCs w:val="20"/>
          <w:lang w:val="pl-PL"/>
        </w:rPr>
        <w:t>Head</w:t>
      </w:r>
      <w:proofErr w:type="spellEnd"/>
      <w:r w:rsidRPr="00F564F9">
        <w:rPr>
          <w:b/>
          <w:bCs/>
          <w:color w:val="000000"/>
          <w:sz w:val="20"/>
          <w:szCs w:val="20"/>
          <w:lang w:val="pl-PL"/>
        </w:rPr>
        <w:t xml:space="preserve"> of Retail </w:t>
      </w:r>
      <w:proofErr w:type="spellStart"/>
      <w:r w:rsidRPr="00F564F9">
        <w:rPr>
          <w:b/>
          <w:bCs/>
          <w:color w:val="000000"/>
          <w:sz w:val="20"/>
          <w:szCs w:val="20"/>
          <w:lang w:val="pl-PL"/>
        </w:rPr>
        <w:t>Agency</w:t>
      </w:r>
      <w:proofErr w:type="spellEnd"/>
      <w:r w:rsidRPr="00F564F9">
        <w:rPr>
          <w:b/>
          <w:bCs/>
          <w:color w:val="000000"/>
          <w:sz w:val="20"/>
          <w:szCs w:val="20"/>
          <w:lang w:val="pl-PL"/>
        </w:rPr>
        <w:t xml:space="preserve">, </w:t>
      </w:r>
      <w:proofErr w:type="spellStart"/>
      <w:r w:rsidRPr="00F564F9">
        <w:rPr>
          <w:b/>
          <w:bCs/>
          <w:color w:val="000000"/>
          <w:sz w:val="20"/>
          <w:szCs w:val="20"/>
          <w:lang w:val="pl-PL"/>
        </w:rPr>
        <w:t>Cushman</w:t>
      </w:r>
      <w:proofErr w:type="spellEnd"/>
      <w:r w:rsidRPr="00F564F9">
        <w:rPr>
          <w:b/>
          <w:bCs/>
          <w:color w:val="000000"/>
          <w:sz w:val="20"/>
          <w:szCs w:val="20"/>
          <w:lang w:val="pl-PL"/>
        </w:rPr>
        <w:t xml:space="preserve"> &amp; Wakefield.</w:t>
      </w:r>
    </w:p>
    <w:p w14:paraId="3253986E" w14:textId="77777777" w:rsidR="00063423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6"/>
          <w:szCs w:val="16"/>
        </w:rPr>
      </w:pPr>
    </w:p>
    <w:p w14:paraId="3253986F" w14:textId="77777777" w:rsidR="00063423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6"/>
          <w:szCs w:val="16"/>
        </w:rPr>
      </w:pPr>
    </w:p>
    <w:p w14:paraId="73FD8146" w14:textId="77777777" w:rsidR="00961AC2" w:rsidRPr="00961AC2" w:rsidRDefault="00961AC2" w:rsidP="00961A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40" w:lineRule="auto"/>
        <w:rPr>
          <w:b/>
          <w:bCs/>
          <w:color w:val="000000"/>
          <w:sz w:val="16"/>
          <w:szCs w:val="16"/>
        </w:rPr>
      </w:pPr>
      <w:r w:rsidRPr="00961AC2">
        <w:rPr>
          <w:b/>
          <w:bCs/>
          <w:color w:val="000000"/>
          <w:sz w:val="16"/>
          <w:szCs w:val="16"/>
        </w:rPr>
        <w:t xml:space="preserve">O </w:t>
      </w:r>
      <w:proofErr w:type="spellStart"/>
      <w:r w:rsidRPr="00961AC2">
        <w:rPr>
          <w:b/>
          <w:bCs/>
          <w:color w:val="000000"/>
          <w:sz w:val="16"/>
          <w:szCs w:val="16"/>
        </w:rPr>
        <w:t>Cushman</w:t>
      </w:r>
      <w:proofErr w:type="spellEnd"/>
      <w:r w:rsidRPr="00961AC2">
        <w:rPr>
          <w:b/>
          <w:bCs/>
          <w:color w:val="000000"/>
          <w:sz w:val="16"/>
          <w:szCs w:val="16"/>
        </w:rPr>
        <w:t xml:space="preserve"> &amp; Wakefield</w:t>
      </w:r>
    </w:p>
    <w:p w14:paraId="7748FB32" w14:textId="69E7AD69" w:rsidR="00961AC2" w:rsidRPr="00961AC2" w:rsidRDefault="00961AC2" w:rsidP="00961A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40" w:lineRule="auto"/>
        <w:jc w:val="both"/>
        <w:rPr>
          <w:color w:val="000000"/>
          <w:sz w:val="16"/>
          <w:szCs w:val="16"/>
        </w:rPr>
      </w:pPr>
      <w:proofErr w:type="spellStart"/>
      <w:r w:rsidRPr="00961AC2">
        <w:rPr>
          <w:color w:val="000000"/>
          <w:sz w:val="16"/>
          <w:szCs w:val="16"/>
        </w:rPr>
        <w:t>Cushman</w:t>
      </w:r>
      <w:proofErr w:type="spellEnd"/>
      <w:r w:rsidRPr="00961AC2">
        <w:rPr>
          <w:color w:val="000000"/>
          <w:sz w:val="16"/>
          <w:szCs w:val="16"/>
        </w:rPr>
        <w:t xml:space="preserve"> &amp; Wakefield (NYSE: CWK) jest wiodącą na świecie firmą świadczącą usługi na rynku nieruchomości komercyjnych na rzecz najemców i inwestorów. Zatrudnia ok. 53 tys. pracowników w ponad 350 biurach i niemal 60 krajach na całym świecie. 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 </w:t>
      </w:r>
      <w:proofErr w:type="spellStart"/>
      <w:r w:rsidRPr="00961AC2">
        <w:rPr>
          <w:color w:val="000000"/>
          <w:sz w:val="16"/>
          <w:szCs w:val="16"/>
        </w:rPr>
        <w:t>Better</w:t>
      </w:r>
      <w:proofErr w:type="spellEnd"/>
      <w:r w:rsidRPr="00961AC2">
        <w:rPr>
          <w:color w:val="000000"/>
          <w:sz w:val="16"/>
          <w:szCs w:val="16"/>
        </w:rPr>
        <w:t xml:space="preserve"> </w:t>
      </w:r>
      <w:proofErr w:type="spellStart"/>
      <w:r w:rsidRPr="00961AC2">
        <w:rPr>
          <w:color w:val="000000"/>
          <w:sz w:val="16"/>
          <w:szCs w:val="16"/>
        </w:rPr>
        <w:t>never</w:t>
      </w:r>
      <w:proofErr w:type="spellEnd"/>
      <w:r w:rsidRPr="00961AC2">
        <w:rPr>
          <w:color w:val="000000"/>
          <w:sz w:val="16"/>
          <w:szCs w:val="16"/>
        </w:rPr>
        <w:t xml:space="preserve"> </w:t>
      </w:r>
      <w:proofErr w:type="spellStart"/>
      <w:r w:rsidRPr="00961AC2">
        <w:rPr>
          <w:color w:val="000000"/>
          <w:sz w:val="16"/>
          <w:szCs w:val="16"/>
        </w:rPr>
        <w:t>settles</w:t>
      </w:r>
      <w:proofErr w:type="spellEnd"/>
      <w:r w:rsidRPr="00961AC2">
        <w:rPr>
          <w:color w:val="000000"/>
          <w:sz w:val="16"/>
          <w:szCs w:val="16"/>
        </w:rPr>
        <w:t xml:space="preserve"> </w:t>
      </w:r>
      <w:proofErr w:type="spellStart"/>
      <w:r w:rsidRPr="00961AC2">
        <w:rPr>
          <w:color w:val="000000"/>
          <w:sz w:val="16"/>
          <w:szCs w:val="16"/>
        </w:rPr>
        <w:t>Cushman</w:t>
      </w:r>
      <w:proofErr w:type="spellEnd"/>
      <w:r w:rsidRPr="00961AC2">
        <w:rPr>
          <w:color w:val="000000"/>
          <w:sz w:val="16"/>
          <w:szCs w:val="16"/>
        </w:rPr>
        <w:t xml:space="preserve"> &amp; Wakefield otrzymuje wiele wyróżnień oraz nagród w konkursach branżowych i biznesowych. Dodatkowe informacje na stronie </w:t>
      </w:r>
      <w:hyperlink r:id="rId11" w:history="1">
        <w:r w:rsidRPr="00961AC2">
          <w:rPr>
            <w:rStyle w:val="Hipercze"/>
            <w:sz w:val="16"/>
            <w:szCs w:val="16"/>
          </w:rPr>
          <w:t>www.cushmanwakefield.com</w:t>
        </w:r>
      </w:hyperlink>
      <w:r w:rsidRPr="00961AC2">
        <w:rPr>
          <w:color w:val="000000"/>
          <w:sz w:val="16"/>
          <w:szCs w:val="16"/>
        </w:rPr>
        <w:t>.</w:t>
      </w:r>
    </w:p>
    <w:p w14:paraId="32539872" w14:textId="651BD1B5" w:rsidR="00063423" w:rsidRDefault="00000000" w:rsidP="00961A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40" w:lineRule="auto"/>
        <w:jc w:val="center"/>
        <w:rPr>
          <w:b/>
          <w:bCs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- </w:t>
      </w:r>
      <w:r>
        <w:rPr>
          <w:b/>
          <w:bCs/>
          <w:color w:val="000000"/>
          <w:sz w:val="16"/>
          <w:szCs w:val="16"/>
        </w:rPr>
        <w:t>KONIEC -</w:t>
      </w:r>
    </w:p>
    <w:sectPr w:rsidR="00063423">
      <w:headerReference w:type="default" r:id="rId12"/>
      <w:footerReference w:type="default" r:id="rId13"/>
      <w:pgSz w:w="11900" w:h="16820"/>
      <w:pgMar w:top="1555" w:right="950" w:bottom="763" w:left="1215" w:header="0" w:footer="1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4CB32" w14:textId="77777777" w:rsidR="002B188B" w:rsidRDefault="002B188B">
      <w:pPr>
        <w:spacing w:line="240" w:lineRule="auto"/>
      </w:pPr>
      <w:r>
        <w:separator/>
      </w:r>
    </w:p>
  </w:endnote>
  <w:endnote w:type="continuationSeparator" w:id="0">
    <w:p w14:paraId="06EB7C6C" w14:textId="77777777" w:rsidR="002B188B" w:rsidRDefault="002B18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589AB461-B8A1-465E-80DB-1CB1739E74E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89F1128-B027-4015-B97E-664DE42D7A05}"/>
    <w:embedBold r:id="rId3" w:fontKey="{B1773E52-CBF2-48C3-98C1-5692773613E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2E1A227-F57F-4909-A6CF-F0E416C97A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00"/>
    </w:tblGrid>
    <w:tr w:rsidR="00961AC2" w:rsidRPr="00961AC2" w14:paraId="04CACB62" w14:textId="77777777" w:rsidTr="00FF174C">
      <w:trPr>
        <w:trHeight w:val="630"/>
      </w:trPr>
      <w:tc>
        <w:tcPr>
          <w:tcW w:w="8931" w:type="dxa"/>
          <w:vAlign w:val="bottom"/>
        </w:tcPr>
        <w:p w14:paraId="04DBF175" w14:textId="77777777" w:rsidR="00961AC2" w:rsidRPr="00961AC2" w:rsidRDefault="00961AC2" w:rsidP="00961A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line="240" w:lineRule="auto"/>
            <w:rPr>
              <w:b/>
              <w:color w:val="000000"/>
              <w:sz w:val="16"/>
              <w:szCs w:val="16"/>
              <w:lang w:val="pl-PL"/>
            </w:rPr>
          </w:pPr>
          <w:r w:rsidRPr="00961AC2">
            <w:rPr>
              <w:b/>
              <w:color w:val="000000"/>
              <w:sz w:val="16"/>
              <w:szCs w:val="16"/>
              <w:lang w:val="pl-PL"/>
            </w:rPr>
            <w:t>Dodatkowe informacje:</w:t>
          </w:r>
        </w:p>
      </w:tc>
    </w:tr>
    <w:tr w:rsidR="00961AC2" w:rsidRPr="00B901D8" w14:paraId="1734856C" w14:textId="77777777" w:rsidTr="00FF174C">
      <w:trPr>
        <w:trHeight w:val="1260"/>
      </w:trPr>
      <w:tc>
        <w:tcPr>
          <w:tcW w:w="8931" w:type="dxa"/>
        </w:tcPr>
        <w:tbl>
          <w:tblPr>
            <w:tblW w:w="10095" w:type="dxa"/>
            <w:tblLayout w:type="fixed"/>
            <w:tblLook w:val="04A0" w:firstRow="1" w:lastRow="0" w:firstColumn="1" w:lastColumn="0" w:noHBand="0" w:noVBand="1"/>
          </w:tblPr>
          <w:tblGrid>
            <w:gridCol w:w="3467"/>
            <w:gridCol w:w="3763"/>
            <w:gridCol w:w="2865"/>
          </w:tblGrid>
          <w:tr w:rsidR="00961AC2" w:rsidRPr="00B901D8" w14:paraId="31534530" w14:textId="77777777" w:rsidTr="00FF174C">
            <w:trPr>
              <w:trHeight w:val="1164"/>
            </w:trPr>
            <w:tc>
              <w:tcPr>
                <w:tcW w:w="3467" w:type="dxa"/>
              </w:tcPr>
              <w:tbl>
                <w:tblPr>
                  <w:tblStyle w:val="Tabela-Siatka"/>
                  <w:tblW w:w="22945" w:type="dxa"/>
                  <w:tblInd w:w="27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4687"/>
                  <w:gridCol w:w="6086"/>
                  <w:gridCol w:w="6086"/>
                  <w:gridCol w:w="6086"/>
                </w:tblGrid>
                <w:tr w:rsidR="00961AC2" w:rsidRPr="00B901D8" w14:paraId="3F0FF765" w14:textId="77777777" w:rsidTr="00FF174C">
                  <w:trPr>
                    <w:trHeight w:val="738"/>
                  </w:trPr>
                  <w:tc>
                    <w:tcPr>
                      <w:tcW w:w="4687" w:type="dxa"/>
                    </w:tcPr>
                    <w:p w14:paraId="72E912B7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>Karolina Samczyńska-</w:t>
                      </w:r>
                      <w:proofErr w:type="spellStart"/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>Fiślak</w:t>
                      </w:r>
                      <w:proofErr w:type="spellEnd"/>
                    </w:p>
                    <w:p w14:paraId="727FE572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 w:rsidRPr="00961AC2">
                        <w:rPr>
                          <w:color w:val="000000"/>
                          <w:sz w:val="16"/>
                          <w:szCs w:val="16"/>
                          <w:lang w:val="en-US"/>
                        </w:rPr>
                        <w:t xml:space="preserve">Cushman &amp; Wakefield </w:t>
                      </w:r>
                    </w:p>
                    <w:p w14:paraId="2F924711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 w:rsidRPr="00961AC2">
                        <w:rPr>
                          <w:color w:val="000000"/>
                          <w:sz w:val="16"/>
                          <w:szCs w:val="16"/>
                          <w:lang w:val="en-US"/>
                        </w:rPr>
                        <w:t>Tel: + 48 22 820 20 20; 691 060 202</w:t>
                      </w:r>
                    </w:p>
                    <w:p w14:paraId="19BD2C5F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  <w:t>e-mail</w:t>
                      </w:r>
                      <w:proofErr w:type="spellEnd"/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  <w:t xml:space="preserve">: </w:t>
                      </w:r>
                      <w:hyperlink r:id="rId1" w:history="1">
                        <w:r w:rsidRPr="00961AC2">
                          <w:rPr>
                            <w:rStyle w:val="Hipercze"/>
                            <w:b/>
                            <w:bCs/>
                            <w:sz w:val="16"/>
                            <w:szCs w:val="16"/>
                            <w:lang w:val="de-AT"/>
                          </w:rPr>
                          <w:t>media.poland@cushwake.pl</w:t>
                        </w:r>
                      </w:hyperlink>
                    </w:p>
                  </w:tc>
                  <w:tc>
                    <w:tcPr>
                      <w:tcW w:w="6086" w:type="dxa"/>
                    </w:tcPr>
                    <w:p w14:paraId="095C0026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pl-PL"/>
                        </w:rPr>
                      </w:pPr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pl-PL"/>
                        </w:rPr>
                        <w:t>Magdalena Znyk-Ossowska</w:t>
                      </w:r>
                    </w:p>
                    <w:p w14:paraId="297E57CC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pl-PL"/>
                        </w:rPr>
                      </w:pPr>
                      <w:r w:rsidRPr="00961AC2">
                        <w:rPr>
                          <w:color w:val="000000"/>
                          <w:sz w:val="16"/>
                          <w:szCs w:val="16"/>
                          <w:lang w:val="pl-PL"/>
                        </w:rPr>
                        <w:t>Linkleaders</w:t>
                      </w:r>
                    </w:p>
                    <w:p w14:paraId="6EFAE41B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pl-PL"/>
                        </w:rPr>
                      </w:pPr>
                      <w:r w:rsidRPr="00961AC2">
                        <w:rPr>
                          <w:color w:val="000000"/>
                          <w:sz w:val="16"/>
                          <w:szCs w:val="16"/>
                          <w:lang w:val="pl-PL"/>
                        </w:rPr>
                        <w:t>Tel: + 48 502 556 846</w:t>
                      </w:r>
                    </w:p>
                    <w:p w14:paraId="2A0DC616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961AC2">
                        <w:rPr>
                          <w:color w:val="000000"/>
                          <w:sz w:val="16"/>
                          <w:szCs w:val="16"/>
                          <w:lang w:val="de-DE"/>
                        </w:rPr>
                        <w:t>e-mail</w:t>
                      </w:r>
                      <w:proofErr w:type="spellEnd"/>
                      <w:r w:rsidRPr="00961AC2">
                        <w:rPr>
                          <w:color w:val="000000"/>
                          <w:sz w:val="16"/>
                          <w:szCs w:val="16"/>
                          <w:lang w:val="de-DE"/>
                        </w:rPr>
                        <w:t xml:space="preserve">: </w:t>
                      </w:r>
                      <w:r w:rsidRPr="00961AC2">
                        <w:rPr>
                          <w:color w:val="000000"/>
                          <w:sz w:val="16"/>
                          <w:szCs w:val="16"/>
                          <w:lang w:val="en-GB"/>
                        </w:rPr>
                        <w:t>magdalena.ossowska@linkleaders.pl</w:t>
                      </w:r>
                    </w:p>
                  </w:tc>
                  <w:tc>
                    <w:tcPr>
                      <w:tcW w:w="6086" w:type="dxa"/>
                    </w:tcPr>
                    <w:p w14:paraId="6D751195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</w:pPr>
                    </w:p>
                  </w:tc>
                  <w:tc>
                    <w:tcPr>
                      <w:tcW w:w="6086" w:type="dxa"/>
                    </w:tcPr>
                    <w:p w14:paraId="3F3067EE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</w:pPr>
                    </w:p>
                  </w:tc>
                </w:tr>
              </w:tbl>
              <w:p w14:paraId="6292A0AD" w14:textId="77777777" w:rsidR="00961AC2" w:rsidRPr="00961AC2" w:rsidRDefault="00961AC2" w:rsidP="00961A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513"/>
                    <w:tab w:val="right" w:pos="9026"/>
                  </w:tabs>
                  <w:spacing w:line="240" w:lineRule="auto"/>
                  <w:rPr>
                    <w:b/>
                    <w:bCs/>
                    <w:color w:val="000000"/>
                    <w:sz w:val="16"/>
                    <w:szCs w:val="16"/>
                    <w:lang w:val="es-ES_tradnl"/>
                  </w:rPr>
                </w:pPr>
              </w:p>
            </w:tc>
            <w:tc>
              <w:tcPr>
                <w:tcW w:w="3763" w:type="dxa"/>
              </w:tcPr>
              <w:p w14:paraId="2E2AF586" w14:textId="77777777" w:rsidR="00961AC2" w:rsidRPr="00961AC2" w:rsidRDefault="00961AC2" w:rsidP="00961A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513"/>
                    <w:tab w:val="right" w:pos="9026"/>
                  </w:tabs>
                  <w:spacing w:line="240" w:lineRule="auto"/>
                  <w:rPr>
                    <w:b/>
                    <w:bCs/>
                    <w:color w:val="000000"/>
                    <w:sz w:val="16"/>
                    <w:szCs w:val="16"/>
                    <w:lang w:val="en-US"/>
                  </w:rPr>
                </w:pPr>
              </w:p>
            </w:tc>
            <w:tc>
              <w:tcPr>
                <w:tcW w:w="2865" w:type="dxa"/>
              </w:tcPr>
              <w:p w14:paraId="4119E601" w14:textId="77777777" w:rsidR="00961AC2" w:rsidRPr="00961AC2" w:rsidRDefault="00961AC2" w:rsidP="00961A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513"/>
                    <w:tab w:val="right" w:pos="9026"/>
                  </w:tabs>
                  <w:spacing w:line="240" w:lineRule="auto"/>
                  <w:rPr>
                    <w:b/>
                    <w:bCs/>
                    <w:color w:val="000000"/>
                    <w:sz w:val="16"/>
                    <w:szCs w:val="16"/>
                    <w:lang w:val="en-US"/>
                  </w:rPr>
                </w:pPr>
              </w:p>
              <w:p w14:paraId="1999836A" w14:textId="77777777" w:rsidR="00961AC2" w:rsidRPr="00961AC2" w:rsidRDefault="00961AC2" w:rsidP="00961A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513"/>
                    <w:tab w:val="right" w:pos="9026"/>
                  </w:tabs>
                  <w:spacing w:line="240" w:lineRule="auto"/>
                  <w:rPr>
                    <w:b/>
                    <w:bCs/>
                    <w:color w:val="000000"/>
                    <w:sz w:val="16"/>
                    <w:szCs w:val="16"/>
                    <w:lang w:val="en-US"/>
                  </w:rPr>
                </w:pPr>
              </w:p>
            </w:tc>
          </w:tr>
        </w:tbl>
        <w:p w14:paraId="62920772" w14:textId="77777777" w:rsidR="00961AC2" w:rsidRPr="00961AC2" w:rsidRDefault="00961AC2" w:rsidP="00961A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line="240" w:lineRule="auto"/>
            <w:rPr>
              <w:color w:val="000000"/>
              <w:sz w:val="16"/>
              <w:szCs w:val="16"/>
              <w:lang w:val="en-US"/>
            </w:rPr>
          </w:pPr>
        </w:p>
      </w:tc>
    </w:tr>
  </w:tbl>
  <w:p w14:paraId="32539878" w14:textId="77777777" w:rsidR="00063423" w:rsidRPr="00147C3A" w:rsidRDefault="0006342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23094" w14:textId="77777777" w:rsidR="002B188B" w:rsidRDefault="002B188B">
      <w:pPr>
        <w:spacing w:line="240" w:lineRule="auto"/>
      </w:pPr>
      <w:r>
        <w:separator/>
      </w:r>
    </w:p>
  </w:footnote>
  <w:footnote w:type="continuationSeparator" w:id="0">
    <w:p w14:paraId="1BB7D60B" w14:textId="77777777" w:rsidR="002B188B" w:rsidRDefault="002B18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9873" w14:textId="77777777" w:rsidR="0006342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539879" wp14:editId="3253987A">
          <wp:simplePos x="0" y="0"/>
          <wp:positionH relativeFrom="column">
            <wp:posOffset>1</wp:posOffset>
          </wp:positionH>
          <wp:positionV relativeFrom="paragraph">
            <wp:posOffset>292100</wp:posOffset>
          </wp:positionV>
          <wp:extent cx="1701165" cy="32194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1165" cy="321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F19F5"/>
    <w:multiLevelType w:val="multilevel"/>
    <w:tmpl w:val="1136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3052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423"/>
    <w:rsid w:val="00040975"/>
    <w:rsid w:val="00063423"/>
    <w:rsid w:val="000D303E"/>
    <w:rsid w:val="001048B7"/>
    <w:rsid w:val="00147C3A"/>
    <w:rsid w:val="00170FA2"/>
    <w:rsid w:val="002962B6"/>
    <w:rsid w:val="002B188B"/>
    <w:rsid w:val="00310645"/>
    <w:rsid w:val="0031649B"/>
    <w:rsid w:val="003A3378"/>
    <w:rsid w:val="003A4CE0"/>
    <w:rsid w:val="003B640A"/>
    <w:rsid w:val="003F60F6"/>
    <w:rsid w:val="00425D24"/>
    <w:rsid w:val="00456618"/>
    <w:rsid w:val="00723CFB"/>
    <w:rsid w:val="00775BE4"/>
    <w:rsid w:val="007944FE"/>
    <w:rsid w:val="007D2B82"/>
    <w:rsid w:val="00837C96"/>
    <w:rsid w:val="0087132E"/>
    <w:rsid w:val="00906C2F"/>
    <w:rsid w:val="009336E3"/>
    <w:rsid w:val="00961AC2"/>
    <w:rsid w:val="00974F64"/>
    <w:rsid w:val="009D1CCA"/>
    <w:rsid w:val="009F65B7"/>
    <w:rsid w:val="00A72650"/>
    <w:rsid w:val="00AB6307"/>
    <w:rsid w:val="00B749C6"/>
    <w:rsid w:val="00B824D2"/>
    <w:rsid w:val="00B901D8"/>
    <w:rsid w:val="00BC0FEA"/>
    <w:rsid w:val="00BF2267"/>
    <w:rsid w:val="00C555F5"/>
    <w:rsid w:val="00DA15D1"/>
    <w:rsid w:val="00DE1466"/>
    <w:rsid w:val="00E67AEA"/>
    <w:rsid w:val="00E81A8F"/>
    <w:rsid w:val="00EA7C9B"/>
    <w:rsid w:val="00F564F9"/>
    <w:rsid w:val="00FD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984D"/>
  <w15:docId w15:val="{FA9F1FCF-DDDA-44AA-81E0-51BA5BF4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147C3A"/>
    <w:pPr>
      <w:spacing w:line="240" w:lineRule="auto"/>
    </w:pPr>
  </w:style>
  <w:style w:type="character" w:styleId="Hipercze">
    <w:name w:val="Hyperlink"/>
    <w:basedOn w:val="Domylnaczcionkaakapitu"/>
    <w:uiPriority w:val="99"/>
    <w:unhideWhenUsed/>
    <w:rsid w:val="00F564F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64F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D2B82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7C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7C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7C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7C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7C9B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336E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61AC2"/>
    <w:pPr>
      <w:tabs>
        <w:tab w:val="center" w:pos="4513"/>
        <w:tab w:val="right" w:pos="9026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1AC2"/>
  </w:style>
  <w:style w:type="paragraph" w:styleId="Stopka">
    <w:name w:val="footer"/>
    <w:basedOn w:val="Normalny"/>
    <w:link w:val="StopkaZnak"/>
    <w:uiPriority w:val="99"/>
    <w:unhideWhenUsed/>
    <w:rsid w:val="00961AC2"/>
    <w:pPr>
      <w:tabs>
        <w:tab w:val="center" w:pos="4513"/>
        <w:tab w:val="right" w:pos="9026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1AC2"/>
  </w:style>
  <w:style w:type="table" w:styleId="Tabela-Siatka">
    <w:name w:val="Table Grid"/>
    <w:basedOn w:val="Standardowy"/>
    <w:uiPriority w:val="39"/>
    <w:rsid w:val="00961AC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ushmanwakefiel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dia.poland@cushwak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27d1f9-8819-4dd8-877c-e9f8844f9576">
      <Terms xmlns="http://schemas.microsoft.com/office/infopath/2007/PartnerControls"/>
    </lcf76f155ced4ddcb4097134ff3c332f>
    <TaxCatchAll xmlns="016bc716-2ef2-42ff-a34e-e437c0f24fe9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ingV8HxCZ128iTEBDDnHrpr6JA==">CgMxLjA4AGoqChRzdWdnZXN0LmxvYzNpd2QweGptYhISTWFnZGFsZW5hIE9zc293c2thaioKFHN1Z2dlc3QubTdsYXB1MTJmNmE0EhJNYWdkYWxlbmEgT3Nzb3dza2FqKgoUc3VnZ2VzdC4yendnMTlueG4zcXYSEk1hZ2RhbGVuYSBPc3Nvd3NrYWoqChRzdWdnZXN0Ljg4djFrdmprMXA3cBISTWFnZGFsZW5hIE9zc293c2thaioKFHN1Z2dlc3QudnRmZ3QzZzh4ZjRrEhJNYWdkYWxlbmEgT3Nzb3dza2FqKgoUc3VnZ2VzdC5lMzIzMDAyZGN2YTkSEk1hZ2RhbGVuYSBPc3Nvd3NrYWoqChRzdWdnZXN0LjVtMHFnaGpvZzByZRISTWFnZGFsZW5hIE9zc293c2thaioKFHN1Z2dlc3QuNXluYzdweWtha2N6EhJNYWdkYWxlbmEgT3Nzb3dza2FqKgoUc3VnZ2VzdC5qazhuOHIxcHI2MGESEk1hZ2RhbGVuYSBPc3Nvd3NrYWoqChRzdWdnZXN0Lml3dndkNzRvOHBxMBISTWFnZGFsZW5hIE9zc293c2thaioKFHN1Z2dlc3QuZm15ZDRwZ2Q2MnN5EhJNYWdkYWxlbmEgT3Nzb3dza2FyITFNTUgxTE1sYTY0T1hJNzU5R2pYZG5ueG44ZFEwUnlGZ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18526F10DA64CBE3916EAA4716759" ma:contentTypeVersion="14" ma:contentTypeDescription="Create a new document." ma:contentTypeScope="" ma:versionID="a6bcf28dd5df189bb159643cb19b040e">
  <xsd:schema xmlns:xsd="http://www.w3.org/2001/XMLSchema" xmlns:xs="http://www.w3.org/2001/XMLSchema" xmlns:p="http://schemas.microsoft.com/office/2006/metadata/properties" xmlns:ns2="5927d1f9-8819-4dd8-877c-e9f8844f9576" xmlns:ns3="016bc716-2ef2-42ff-a34e-e437c0f24fe9" targetNamespace="http://schemas.microsoft.com/office/2006/metadata/properties" ma:root="true" ma:fieldsID="d3f9c4e4a4ed97316d1c896bf0b99438" ns2:_="" ns3:_="">
    <xsd:import namespace="5927d1f9-8819-4dd8-877c-e9f8844f9576"/>
    <xsd:import namespace="016bc716-2ef2-42ff-a34e-e437c0f24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7d1f9-8819-4dd8-877c-e9f8844f9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8603ae-3637-436a-adfc-4f3f468c9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bc716-2ef2-42ff-a34e-e437c0f24f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cb88db-cc8f-49c6-a577-6708ad005284}" ma:internalName="TaxCatchAll" ma:showField="CatchAllData" ma:web="016bc716-2ef2-42ff-a34e-e437c0f24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77BFF4-2F85-47AB-B631-26B8C6640DB5}">
  <ds:schemaRefs>
    <ds:schemaRef ds:uri="http://schemas.microsoft.com/office/2006/metadata/properties"/>
    <ds:schemaRef ds:uri="http://schemas.microsoft.com/office/infopath/2007/PartnerControls"/>
    <ds:schemaRef ds:uri="5927d1f9-8819-4dd8-877c-e9f8844f9576"/>
    <ds:schemaRef ds:uri="016bc716-2ef2-42ff-a34e-e437c0f24fe9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82BBBE7-4721-4704-A5A8-C2FECC731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7d1f9-8819-4dd8-877c-e9f8844f9576"/>
    <ds:schemaRef ds:uri="016bc716-2ef2-42ff-a34e-e437c0f24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FD647E-D2C1-4885-BB17-4E0C5580DC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1171</Words>
  <Characters>7026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Link Leaders</cp:lastModifiedBy>
  <cp:revision>2</cp:revision>
  <dcterms:created xsi:type="dcterms:W3CDTF">2026-10-20T08:45:00Z</dcterms:created>
  <dcterms:modified xsi:type="dcterms:W3CDTF">2026-10-20T08:45:00Z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0x010100EC618526F10DA64CBE3916EAA4716759</vt:lpwstr>
  </property>
  <property fmtid="{D5CDD505-2E9C-101B-9397-08002B2CF9AE}" pid="3" name="MediaServiceImageTags">
    <vt:lpwstr/>
  </property>
</Properties>
</file>