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5DAD625E" w:rsidR="00656B0E" w:rsidRPr="0054166F" w:rsidRDefault="00B85EB9" w:rsidP="00656B0E">
      <w:pPr>
        <w:pStyle w:val="AKAPIT"/>
        <w:jc w:val="right"/>
      </w:pPr>
      <w:r>
        <w:t>Warszawa</w:t>
      </w:r>
      <w:r w:rsidR="00665294" w:rsidRPr="00665294">
        <w:t xml:space="preserve">, </w:t>
      </w:r>
      <w:r w:rsidR="00F736DB">
        <w:t>16</w:t>
      </w:r>
      <w:r w:rsidR="00665294" w:rsidRPr="00665294">
        <w:t>.</w:t>
      </w:r>
      <w:r w:rsidR="001A12F5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423A9683" w:rsidR="00ED56C8" w:rsidRDefault="00892DCF" w:rsidP="00764E9F">
      <w:pPr>
        <w:pStyle w:val="BACKGROUNDER"/>
        <w:jc w:val="center"/>
        <w:rPr>
          <w:b/>
          <w:bCs/>
          <w:sz w:val="28"/>
          <w:szCs w:val="28"/>
        </w:rPr>
      </w:pPr>
      <w:r w:rsidRPr="00892DCF">
        <w:rPr>
          <w:b/>
          <w:bCs/>
          <w:sz w:val="28"/>
          <w:szCs w:val="28"/>
        </w:rPr>
        <w:t>Archicom uplasował obligacje o wartości 385 mln zł. Popyt przekroczył wartość emisji o blisko 3</w:t>
      </w:r>
      <w:r>
        <w:rPr>
          <w:b/>
          <w:bCs/>
          <w:sz w:val="28"/>
          <w:szCs w:val="28"/>
        </w:rPr>
        <w:t>0%</w:t>
      </w:r>
    </w:p>
    <w:p w14:paraId="786B8903" w14:textId="77777777" w:rsidR="00554BA2" w:rsidRDefault="00554BA2" w:rsidP="0066666F">
      <w:pPr>
        <w:pStyle w:val="BACKGROUNDER"/>
        <w:rPr>
          <w:b/>
          <w:bCs/>
          <w:sz w:val="20"/>
          <w:szCs w:val="20"/>
        </w:rPr>
      </w:pPr>
    </w:p>
    <w:p w14:paraId="6C674869" w14:textId="44FE087E" w:rsidR="00943A5E" w:rsidRDefault="00CE2E40" w:rsidP="0066666F">
      <w:pPr>
        <w:pStyle w:val="BACKGROUNDER"/>
        <w:rPr>
          <w:b/>
          <w:bCs/>
          <w:sz w:val="20"/>
          <w:szCs w:val="20"/>
        </w:rPr>
      </w:pPr>
      <w:r w:rsidRPr="00CE2E40">
        <w:rPr>
          <w:b/>
          <w:bCs/>
          <w:sz w:val="20"/>
          <w:szCs w:val="20"/>
        </w:rPr>
        <w:t>Archicom</w:t>
      </w:r>
      <w:r w:rsidR="002E301B">
        <w:rPr>
          <w:b/>
          <w:bCs/>
          <w:sz w:val="20"/>
          <w:szCs w:val="20"/>
        </w:rPr>
        <w:t xml:space="preserve">, </w:t>
      </w:r>
      <w:r w:rsidR="0017360D">
        <w:rPr>
          <w:b/>
          <w:bCs/>
          <w:sz w:val="20"/>
          <w:szCs w:val="20"/>
        </w:rPr>
        <w:t>ogólnopolski deweloper z Grupy Echo,</w:t>
      </w:r>
      <w:r w:rsidRPr="00CE2E40">
        <w:rPr>
          <w:b/>
          <w:bCs/>
          <w:sz w:val="20"/>
          <w:szCs w:val="20"/>
        </w:rPr>
        <w:t xml:space="preserve"> zakończył emisję czteroletnich obligacji o wartości 385 mln zł, przy deklarowanym zainteresowaniu inwestorów na poziomie 495 mln zł. Spółka uzyskała marżę wynoszącą 240 punktów bazowych ponad WIBOR 6M</w:t>
      </w:r>
      <w:r w:rsidR="0017360D">
        <w:rPr>
          <w:b/>
          <w:bCs/>
          <w:sz w:val="20"/>
          <w:szCs w:val="20"/>
        </w:rPr>
        <w:t xml:space="preserve"> – </w:t>
      </w:r>
      <w:r w:rsidRPr="00CE2E40">
        <w:rPr>
          <w:b/>
          <w:bCs/>
          <w:sz w:val="20"/>
          <w:szCs w:val="20"/>
        </w:rPr>
        <w:t>istotnie niższą niż w przypadku refinansowanych serii obligacji. Transakcja pozwala wydłużyć okres finansowania, obniżyć jego koszt oraz poszerzyć bazę inwestorów instytucjonalnych.</w:t>
      </w:r>
    </w:p>
    <w:p w14:paraId="496ACD6D" w14:textId="77777777" w:rsidR="00943A5E" w:rsidRDefault="00943A5E" w:rsidP="0066666F">
      <w:pPr>
        <w:pStyle w:val="BACKGROUNDER"/>
        <w:rPr>
          <w:b/>
          <w:bCs/>
          <w:sz w:val="20"/>
          <w:szCs w:val="20"/>
        </w:rPr>
      </w:pPr>
    </w:p>
    <w:p w14:paraId="28556A16" w14:textId="5856EBE6" w:rsidR="003E6992" w:rsidRPr="00554BA2" w:rsidRDefault="00CE2E40" w:rsidP="000A4ED5">
      <w:pPr>
        <w:pStyle w:val="BACKGROUNDER"/>
        <w:rPr>
          <w:sz w:val="20"/>
          <w:szCs w:val="20"/>
        </w:rPr>
      </w:pPr>
      <w:r w:rsidRPr="00CE2E40">
        <w:rPr>
          <w:sz w:val="20"/>
          <w:szCs w:val="20"/>
        </w:rPr>
        <w:t>Łączne deklarowane zainteresowanie obligacjami Archicom odpowiadało 128,6</w:t>
      </w:r>
      <w:r w:rsidR="0017360D">
        <w:rPr>
          <w:sz w:val="20"/>
          <w:szCs w:val="20"/>
        </w:rPr>
        <w:t>%</w:t>
      </w:r>
      <w:r w:rsidRPr="00CE2E40">
        <w:rPr>
          <w:sz w:val="20"/>
          <w:szCs w:val="20"/>
        </w:rPr>
        <w:t xml:space="preserve"> wartości przeprowadzonej emisji. Czteroletnie papiery dłużne zostały uplasowane z oprocentowaniem opartym na stawce WIBOR 6M powiększonej o marżę 240 punktów bazowych. To wyraźna poprawa warunków finansowania w porównaniu z obligacjami podlegającymi refinansowaniu. W przypadku serii M8/2023 marża wynosiła 340 punktów bazowych, a dla serii M9/2024 – 325 punktów bazowych. Oznacza to jej obniżenie odpowiednio o 100 i 85 punktów bazowych.</w:t>
      </w:r>
    </w:p>
    <w:p w14:paraId="27AE3ADB" w14:textId="77777777" w:rsidR="00060ED4" w:rsidRDefault="00060ED4" w:rsidP="000835D4">
      <w:pPr>
        <w:pStyle w:val="BACKGROUNDER"/>
        <w:rPr>
          <w:b/>
          <w:bCs/>
          <w:sz w:val="20"/>
          <w:szCs w:val="20"/>
        </w:rPr>
      </w:pPr>
    </w:p>
    <w:p w14:paraId="1EE30619" w14:textId="3D3E171D" w:rsidR="00B85EB9" w:rsidRPr="00CE2E40" w:rsidRDefault="00CE2E40" w:rsidP="000835D4">
      <w:pPr>
        <w:pStyle w:val="BACKGROUNDER"/>
        <w:rPr>
          <w:b/>
          <w:bCs/>
          <w:sz w:val="20"/>
          <w:szCs w:val="20"/>
        </w:rPr>
      </w:pPr>
      <w:r w:rsidRPr="00CE2E40">
        <w:rPr>
          <w:b/>
          <w:bCs/>
          <w:sz w:val="20"/>
          <w:szCs w:val="20"/>
        </w:rPr>
        <w:t>Wcześniejsze refinansowanie i szersza baza inwestorów</w:t>
      </w:r>
    </w:p>
    <w:p w14:paraId="3AEE2EFF" w14:textId="77777777" w:rsidR="00B85EB9" w:rsidRDefault="00B85EB9" w:rsidP="000835D4">
      <w:pPr>
        <w:pStyle w:val="BACKGROUNDER"/>
        <w:rPr>
          <w:b/>
          <w:bCs/>
          <w:sz w:val="20"/>
          <w:szCs w:val="20"/>
        </w:rPr>
      </w:pPr>
    </w:p>
    <w:p w14:paraId="100C1562" w14:textId="4FFB3650" w:rsidR="00CE2E40" w:rsidRPr="00CE2E40" w:rsidRDefault="004130C0" w:rsidP="000835D4">
      <w:pPr>
        <w:pStyle w:val="BACKGROUNDER"/>
        <w:rPr>
          <w:sz w:val="20"/>
          <w:szCs w:val="20"/>
        </w:rPr>
      </w:pPr>
      <w:r w:rsidRPr="004130C0">
        <w:rPr>
          <w:sz w:val="20"/>
          <w:szCs w:val="20"/>
        </w:rPr>
        <w:t>Archicom zdecydował się na refinansowanie obligacji przed terminem ich zapadalności, przypadającym pierwotnie na luty i czerwiec 2027 roku. Dzięki nowej emisji spółka zastępuje dotychczasowe zobowiązania finansowaniem o niższej marży i czteroletnim terminie wykupu. Pozwala to ograniczyć koszt obsługi refinansowanego zadłużenia w części wynikającej z marży oraz odsunąć w czasie konieczność jego spłaty, zapewniając większą przewidywalność finansowania działalności i planowanych inwestycji.</w:t>
      </w:r>
    </w:p>
    <w:p w14:paraId="5D417E01" w14:textId="77777777" w:rsidR="00CE2E40" w:rsidRDefault="00CE2E40" w:rsidP="000835D4">
      <w:pPr>
        <w:pStyle w:val="BACKGROUNDER"/>
        <w:rPr>
          <w:i/>
          <w:iCs/>
          <w:sz w:val="20"/>
          <w:szCs w:val="20"/>
        </w:rPr>
      </w:pPr>
    </w:p>
    <w:p w14:paraId="76DE255B" w14:textId="08F26C51" w:rsidR="000A4ED5" w:rsidRPr="00CF6C68" w:rsidRDefault="00517274" w:rsidP="000835D4">
      <w:pPr>
        <w:pStyle w:val="BACKGROUNDER"/>
        <w:rPr>
          <w:sz w:val="20"/>
          <w:szCs w:val="20"/>
        </w:rPr>
      </w:pPr>
      <w:r w:rsidRPr="00554BA2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2955CC" w:rsidRPr="002955CC">
        <w:rPr>
          <w:i/>
          <w:iCs/>
          <w:sz w:val="20"/>
          <w:szCs w:val="20"/>
        </w:rPr>
        <w:t xml:space="preserve">Zależało nam na tym, aby odpowiednio wcześnie zabezpieczyć finansowanie na kolejne lata i jednocześnie poprawić jego warunki. Nie czekaliśmy na terminy wykupu dotychczasowych obligacji, </w:t>
      </w:r>
      <w:r w:rsidR="0017360D">
        <w:rPr>
          <w:i/>
          <w:iCs/>
          <w:sz w:val="20"/>
          <w:szCs w:val="20"/>
        </w:rPr>
        <w:t xml:space="preserve">a </w:t>
      </w:r>
      <w:r w:rsidR="002955CC" w:rsidRPr="002955CC">
        <w:rPr>
          <w:i/>
          <w:iCs/>
          <w:sz w:val="20"/>
          <w:szCs w:val="20"/>
        </w:rPr>
        <w:t>wykorzystaliśmy możliwość ich wcześniejszego refinansowania. Efektem jest czteroletnie finansowanie z marżą niższą o 85</w:t>
      </w:r>
      <w:r w:rsidR="00363F21">
        <w:rPr>
          <w:i/>
          <w:iCs/>
          <w:sz w:val="20"/>
          <w:szCs w:val="20"/>
        </w:rPr>
        <w:t>-</w:t>
      </w:r>
      <w:r w:rsidR="002955CC" w:rsidRPr="002955CC">
        <w:rPr>
          <w:i/>
          <w:iCs/>
          <w:sz w:val="20"/>
          <w:szCs w:val="20"/>
        </w:rPr>
        <w:t>100 punktów bazowych względem zastępowanych serii. Dla spółki prowadzącej działalność deweloperską, w której inwestycje realizowane są w kilkuletnich cyklach, ma to istotne znaczenie. Pozwala lepiej planować przepływy finansowe i realizację kolejnych projektów. Ważnym sygnałem jest dla nas również zainteresowanie inwestorów przekraczające wartość emisji oraz poszerzenie ich grona o nowe instytucje. To potwierdza, że potrafimy skutecznie pozyskiwać finansowanie na rynku kapitałowym na konkurencyjnych warunkach</w:t>
      </w:r>
      <w:r w:rsidR="00554BA2" w:rsidRPr="00554BA2">
        <w:rPr>
          <w:sz w:val="20"/>
          <w:szCs w:val="20"/>
        </w:rPr>
        <w:t xml:space="preserve"> –</w:t>
      </w:r>
      <w:r w:rsidR="00554BA2">
        <w:rPr>
          <w:b/>
          <w:bCs/>
          <w:sz w:val="20"/>
          <w:szCs w:val="20"/>
        </w:rPr>
        <w:t xml:space="preserve"> </w:t>
      </w:r>
      <w:r w:rsidR="00554BA2" w:rsidRPr="00554BA2">
        <w:rPr>
          <w:sz w:val="20"/>
          <w:szCs w:val="20"/>
        </w:rPr>
        <w:t>mówi</w:t>
      </w:r>
      <w:r w:rsidR="00554BA2">
        <w:rPr>
          <w:b/>
          <w:bCs/>
          <w:sz w:val="20"/>
          <w:szCs w:val="20"/>
        </w:rPr>
        <w:t xml:space="preserve"> </w:t>
      </w:r>
      <w:r w:rsidR="00CA1414" w:rsidRPr="00CA1414">
        <w:rPr>
          <w:b/>
          <w:bCs/>
          <w:sz w:val="20"/>
          <w:szCs w:val="20"/>
        </w:rPr>
        <w:t>Justyna Kawa, CFO i Członkini Zarządu Archicom</w:t>
      </w:r>
      <w:r w:rsidR="00CF6C68">
        <w:rPr>
          <w:sz w:val="20"/>
          <w:szCs w:val="20"/>
        </w:rPr>
        <w:t>.</w:t>
      </w:r>
    </w:p>
    <w:p w14:paraId="43B5848D" w14:textId="2DC34EE8" w:rsidR="009614DC" w:rsidRDefault="009614DC" w:rsidP="000835D4">
      <w:pPr>
        <w:pStyle w:val="BACKGROUNDER"/>
        <w:rPr>
          <w:sz w:val="20"/>
          <w:szCs w:val="20"/>
        </w:rPr>
      </w:pPr>
    </w:p>
    <w:p w14:paraId="17D7C19C" w14:textId="77777777" w:rsidR="00224F03" w:rsidRDefault="00224F03" w:rsidP="00224F03">
      <w:pPr>
        <w:pStyle w:val="BACKGROUNDER"/>
        <w:rPr>
          <w:sz w:val="20"/>
          <w:szCs w:val="20"/>
        </w:rPr>
      </w:pPr>
      <w:r w:rsidRPr="00306DB2">
        <w:rPr>
          <w:sz w:val="20"/>
          <w:szCs w:val="20"/>
        </w:rPr>
        <w:t>Transakcja została przeprowadzona w ramach nowego programu emisji obligacji Archicom, ustanowionego 23 września 2026 roku. Za jej przygotowanie i realizację odpowiadał zespół DCM IPOPEMA Securities</w:t>
      </w:r>
      <w:r>
        <w:rPr>
          <w:sz w:val="20"/>
          <w:szCs w:val="20"/>
        </w:rPr>
        <w:t xml:space="preserve">. </w:t>
      </w:r>
      <w:r w:rsidRPr="00306DB2">
        <w:rPr>
          <w:sz w:val="20"/>
          <w:szCs w:val="20"/>
        </w:rPr>
        <w:t>IPOPEMA Securities pełniła funkcje wyłącznego organizatora i wyłącznego dealera, a także agenta emisji, agenta technicznego oraz agenta kalkulacyjnego.</w:t>
      </w:r>
    </w:p>
    <w:p w14:paraId="44D3A7D9" w14:textId="77777777" w:rsidR="00224F03" w:rsidRDefault="00224F03" w:rsidP="00224F03">
      <w:pPr>
        <w:pStyle w:val="BACKGROUNDER"/>
        <w:rPr>
          <w:sz w:val="20"/>
          <w:szCs w:val="20"/>
        </w:rPr>
      </w:pPr>
    </w:p>
    <w:p w14:paraId="1E9E3FAC" w14:textId="1E7BE09D" w:rsidR="00224F03" w:rsidRPr="00224F03" w:rsidRDefault="00224F03" w:rsidP="00224F03">
      <w:pPr>
        <w:pStyle w:val="BACKGROUND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– </w:t>
      </w:r>
      <w:r w:rsidRPr="00224F03">
        <w:rPr>
          <w:i/>
          <w:iCs/>
          <w:sz w:val="20"/>
          <w:szCs w:val="20"/>
        </w:rPr>
        <w:t xml:space="preserve">Sukces emisji obligacji </w:t>
      </w:r>
      <w:proofErr w:type="spellStart"/>
      <w:r w:rsidRPr="00224F03">
        <w:rPr>
          <w:i/>
          <w:iCs/>
          <w:sz w:val="20"/>
          <w:szCs w:val="20"/>
        </w:rPr>
        <w:t>Archicomu</w:t>
      </w:r>
      <w:proofErr w:type="spellEnd"/>
      <w:r w:rsidRPr="00224F03">
        <w:rPr>
          <w:i/>
          <w:iCs/>
          <w:sz w:val="20"/>
          <w:szCs w:val="20"/>
        </w:rPr>
        <w:t xml:space="preserve"> to potwierdzenie zaufania </w:t>
      </w:r>
      <w:r w:rsidR="00AA79E7">
        <w:rPr>
          <w:i/>
          <w:iCs/>
          <w:sz w:val="20"/>
          <w:szCs w:val="20"/>
        </w:rPr>
        <w:t>rynku kapitałowego</w:t>
      </w:r>
      <w:r w:rsidR="00AA79E7" w:rsidRPr="00224F03">
        <w:rPr>
          <w:i/>
          <w:iCs/>
          <w:sz w:val="20"/>
          <w:szCs w:val="20"/>
        </w:rPr>
        <w:t xml:space="preserve"> </w:t>
      </w:r>
      <w:r w:rsidRPr="00224F03">
        <w:rPr>
          <w:i/>
          <w:iCs/>
          <w:sz w:val="20"/>
          <w:szCs w:val="20"/>
        </w:rPr>
        <w:t xml:space="preserve">do spółki i jej strategii rozwoju. Dzięki dużemu zainteresowaniu </w:t>
      </w:r>
      <w:r w:rsidR="00AA79E7">
        <w:rPr>
          <w:i/>
          <w:iCs/>
          <w:sz w:val="20"/>
          <w:szCs w:val="20"/>
        </w:rPr>
        <w:t>inwestorów</w:t>
      </w:r>
      <w:r w:rsidR="00AA79E7" w:rsidRPr="00224F03">
        <w:rPr>
          <w:i/>
          <w:iCs/>
          <w:sz w:val="20"/>
          <w:szCs w:val="20"/>
        </w:rPr>
        <w:t xml:space="preserve"> </w:t>
      </w:r>
      <w:r w:rsidRPr="00224F03">
        <w:rPr>
          <w:i/>
          <w:iCs/>
          <w:sz w:val="20"/>
          <w:szCs w:val="20"/>
        </w:rPr>
        <w:t xml:space="preserve">udało się pozyskać 385 mln zł finansowania na cztery lata, przy jednoczesnym istotnym obniżeniu marży. Przeprowadzona transakcja umożliwiła </w:t>
      </w:r>
      <w:r>
        <w:rPr>
          <w:i/>
          <w:iCs/>
          <w:sz w:val="20"/>
          <w:szCs w:val="20"/>
        </w:rPr>
        <w:t>emitentowi</w:t>
      </w:r>
      <w:r w:rsidRPr="00224F03">
        <w:rPr>
          <w:i/>
          <w:iCs/>
          <w:sz w:val="20"/>
          <w:szCs w:val="20"/>
        </w:rPr>
        <w:t xml:space="preserve"> wcześniejsze refinansowanie zobowiązań na korzystniejszych warunkach, wydłużenie horyzontu finansowania oraz pozyskanie kapitału od szerszego grona inwestorów instytucjonalnych.</w:t>
      </w:r>
      <w:r>
        <w:rPr>
          <w:i/>
          <w:iCs/>
          <w:sz w:val="20"/>
          <w:szCs w:val="20"/>
        </w:rPr>
        <w:t xml:space="preserve"> C</w:t>
      </w:r>
      <w:r w:rsidRPr="00224F03">
        <w:rPr>
          <w:i/>
          <w:iCs/>
          <w:sz w:val="20"/>
          <w:szCs w:val="20"/>
        </w:rPr>
        <w:t>ieszy nas, że mogliśmy wesprzeć Archicom w realizacji tych celów, łącząc korzystniejsze warunki finansowania z większą dywersyfikacją źródeł kapitału</w:t>
      </w:r>
      <w:r>
        <w:rPr>
          <w:i/>
          <w:iCs/>
          <w:sz w:val="20"/>
          <w:szCs w:val="20"/>
        </w:rPr>
        <w:t xml:space="preserve"> – mówi </w:t>
      </w:r>
      <w:r w:rsidRPr="000A0DA7">
        <w:rPr>
          <w:b/>
          <w:bCs/>
          <w:sz w:val="20"/>
          <w:szCs w:val="20"/>
        </w:rPr>
        <w:t>Marcin Zając, dyrektor zarządzający Ipopema Securities</w:t>
      </w:r>
      <w:r>
        <w:rPr>
          <w:b/>
          <w:bCs/>
          <w:i/>
          <w:iCs/>
          <w:sz w:val="20"/>
          <w:szCs w:val="20"/>
        </w:rPr>
        <w:t>.</w:t>
      </w:r>
    </w:p>
    <w:p w14:paraId="4B2B3977" w14:textId="77777777" w:rsidR="00224F03" w:rsidRPr="00306DB2" w:rsidRDefault="00224F03" w:rsidP="00224F03">
      <w:pPr>
        <w:pStyle w:val="BACKGROUNDER"/>
        <w:rPr>
          <w:sz w:val="20"/>
          <w:szCs w:val="20"/>
        </w:rPr>
      </w:pPr>
    </w:p>
    <w:p w14:paraId="74811656" w14:textId="27FB9897" w:rsidR="00011543" w:rsidRDefault="00011543" w:rsidP="000835D4">
      <w:pPr>
        <w:pStyle w:val="BACKGROUNDER"/>
        <w:rPr>
          <w:sz w:val="20"/>
          <w:szCs w:val="20"/>
        </w:rPr>
      </w:pPr>
      <w:r w:rsidRPr="00011543">
        <w:rPr>
          <w:sz w:val="20"/>
          <w:szCs w:val="20"/>
        </w:rPr>
        <w:t xml:space="preserve">Cała emisja została objęta przez </w:t>
      </w:r>
      <w:proofErr w:type="spellStart"/>
      <w:r w:rsidRPr="00011543">
        <w:rPr>
          <w:sz w:val="20"/>
          <w:szCs w:val="20"/>
        </w:rPr>
        <w:t>pozabankowych</w:t>
      </w:r>
      <w:proofErr w:type="spellEnd"/>
      <w:r w:rsidRPr="00011543">
        <w:rPr>
          <w:sz w:val="20"/>
          <w:szCs w:val="20"/>
        </w:rPr>
        <w:t xml:space="preserve"> inwestorów instytucjonalnych. 160 mln zł stanowiły nowe środki, natomiast 225 mln zł pochodziło z reinwestycji dotychczasowych obligatariuszy. Do grona inwestorów dołączyły kolejne instytucje, w tym duży otwarty fundusz emerytalny. W rezultacie Archicom poszerzył bazę obligatariuszy i zastąpił dotychczasowe</w:t>
      </w:r>
      <w:r w:rsidR="00517274">
        <w:rPr>
          <w:sz w:val="20"/>
          <w:szCs w:val="20"/>
        </w:rPr>
        <w:t xml:space="preserve"> </w:t>
      </w:r>
      <w:r w:rsidRPr="00011543">
        <w:rPr>
          <w:sz w:val="20"/>
          <w:szCs w:val="20"/>
        </w:rPr>
        <w:t>zaangażowanie bankowe kapitałem pozyskanym od inwestorów instytucjonalnych.</w:t>
      </w:r>
    </w:p>
    <w:p w14:paraId="693111E6" w14:textId="77777777" w:rsidR="002E1178" w:rsidRPr="002E1178" w:rsidRDefault="002E1178" w:rsidP="00E657BB">
      <w:pPr>
        <w:pStyle w:val="BACKGROUNDER"/>
        <w:rPr>
          <w:sz w:val="20"/>
          <w:szCs w:val="20"/>
        </w:rPr>
      </w:pPr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1"/>
      <w:footerReference w:type="even" r:id="rId12"/>
      <w:footerReference w:type="default" r:id="rId13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E4DAF" w14:textId="77777777" w:rsidR="00766959" w:rsidRDefault="00766959" w:rsidP="0051173F">
      <w:r>
        <w:separator/>
      </w:r>
    </w:p>
    <w:p w14:paraId="45E72896" w14:textId="77777777" w:rsidR="00766959" w:rsidRDefault="00766959" w:rsidP="0051173F"/>
    <w:p w14:paraId="500CDFA1" w14:textId="77777777" w:rsidR="00766959" w:rsidRDefault="00766959" w:rsidP="0051173F"/>
  </w:endnote>
  <w:endnote w:type="continuationSeparator" w:id="0">
    <w:p w14:paraId="2F1D7FCD" w14:textId="77777777" w:rsidR="00766959" w:rsidRDefault="00766959" w:rsidP="0051173F">
      <w:r>
        <w:continuationSeparator/>
      </w:r>
    </w:p>
    <w:p w14:paraId="19BCBA2F" w14:textId="77777777" w:rsidR="00766959" w:rsidRDefault="00766959" w:rsidP="0051173F"/>
    <w:p w14:paraId="783F6753" w14:textId="77777777" w:rsidR="00766959" w:rsidRDefault="00766959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74BBE" w14:textId="77777777" w:rsidR="00766959" w:rsidRDefault="00766959" w:rsidP="0051173F">
      <w:r>
        <w:separator/>
      </w:r>
    </w:p>
    <w:p w14:paraId="28018BDF" w14:textId="77777777" w:rsidR="00766959" w:rsidRDefault="00766959" w:rsidP="0051173F"/>
    <w:p w14:paraId="5E5FA74D" w14:textId="77777777" w:rsidR="00766959" w:rsidRDefault="00766959" w:rsidP="0051173F"/>
  </w:footnote>
  <w:footnote w:type="continuationSeparator" w:id="0">
    <w:p w14:paraId="6577ACB1" w14:textId="77777777" w:rsidR="00766959" w:rsidRDefault="00766959" w:rsidP="0051173F">
      <w:r>
        <w:continuationSeparator/>
      </w:r>
    </w:p>
    <w:p w14:paraId="3B29019B" w14:textId="77777777" w:rsidR="00766959" w:rsidRDefault="00766959" w:rsidP="0051173F"/>
    <w:p w14:paraId="2F2F6217" w14:textId="77777777" w:rsidR="00766959" w:rsidRDefault="00766959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1543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DA7"/>
    <w:rsid w:val="000A0E61"/>
    <w:rsid w:val="000A3493"/>
    <w:rsid w:val="000A4ED5"/>
    <w:rsid w:val="000A5B6C"/>
    <w:rsid w:val="000A60B5"/>
    <w:rsid w:val="000B0625"/>
    <w:rsid w:val="000B47A1"/>
    <w:rsid w:val="000B4CF9"/>
    <w:rsid w:val="000B6A47"/>
    <w:rsid w:val="000C1AC2"/>
    <w:rsid w:val="000C26FA"/>
    <w:rsid w:val="000C5FF9"/>
    <w:rsid w:val="000C77E8"/>
    <w:rsid w:val="000D3719"/>
    <w:rsid w:val="000E002C"/>
    <w:rsid w:val="000E244E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60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2365"/>
    <w:rsid w:val="00194FD1"/>
    <w:rsid w:val="001A12F5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24F03"/>
    <w:rsid w:val="00230DE1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635E6"/>
    <w:rsid w:val="002666EA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87DE0"/>
    <w:rsid w:val="002904D2"/>
    <w:rsid w:val="00290DD8"/>
    <w:rsid w:val="00292EF4"/>
    <w:rsid w:val="002947B2"/>
    <w:rsid w:val="00294C3F"/>
    <w:rsid w:val="00295251"/>
    <w:rsid w:val="002955CC"/>
    <w:rsid w:val="0029621C"/>
    <w:rsid w:val="00297E8A"/>
    <w:rsid w:val="002A20E5"/>
    <w:rsid w:val="002A4325"/>
    <w:rsid w:val="002A7504"/>
    <w:rsid w:val="002C22B0"/>
    <w:rsid w:val="002C5049"/>
    <w:rsid w:val="002D37CF"/>
    <w:rsid w:val="002D3E48"/>
    <w:rsid w:val="002D4DC1"/>
    <w:rsid w:val="002D6D8A"/>
    <w:rsid w:val="002D7D29"/>
    <w:rsid w:val="002E0E62"/>
    <w:rsid w:val="002E1178"/>
    <w:rsid w:val="002E28AB"/>
    <w:rsid w:val="002E301B"/>
    <w:rsid w:val="002E64FA"/>
    <w:rsid w:val="002F231C"/>
    <w:rsid w:val="002F4F47"/>
    <w:rsid w:val="00301591"/>
    <w:rsid w:val="00303A65"/>
    <w:rsid w:val="00306DB2"/>
    <w:rsid w:val="00307037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0479"/>
    <w:rsid w:val="0035580E"/>
    <w:rsid w:val="00355FD4"/>
    <w:rsid w:val="003573FA"/>
    <w:rsid w:val="003602EA"/>
    <w:rsid w:val="00361876"/>
    <w:rsid w:val="00361F77"/>
    <w:rsid w:val="0036249A"/>
    <w:rsid w:val="0036268B"/>
    <w:rsid w:val="00362786"/>
    <w:rsid w:val="00362825"/>
    <w:rsid w:val="00363F21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3A94"/>
    <w:rsid w:val="0039531E"/>
    <w:rsid w:val="003A3520"/>
    <w:rsid w:val="003A35C2"/>
    <w:rsid w:val="003A442B"/>
    <w:rsid w:val="003A52D9"/>
    <w:rsid w:val="003B018F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6C1B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0D23"/>
    <w:rsid w:val="004130C0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6B8B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496"/>
    <w:rsid w:val="00497E7F"/>
    <w:rsid w:val="004A10CB"/>
    <w:rsid w:val="004A2C19"/>
    <w:rsid w:val="004A2D36"/>
    <w:rsid w:val="004A3955"/>
    <w:rsid w:val="004B2717"/>
    <w:rsid w:val="004B7AF5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1F28"/>
    <w:rsid w:val="00504D77"/>
    <w:rsid w:val="00504F70"/>
    <w:rsid w:val="0051173F"/>
    <w:rsid w:val="00511A22"/>
    <w:rsid w:val="005128FD"/>
    <w:rsid w:val="0051668A"/>
    <w:rsid w:val="00517274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B9B"/>
    <w:rsid w:val="00544FE9"/>
    <w:rsid w:val="00545552"/>
    <w:rsid w:val="00545737"/>
    <w:rsid w:val="00551763"/>
    <w:rsid w:val="00551F6D"/>
    <w:rsid w:val="00554343"/>
    <w:rsid w:val="00554BA2"/>
    <w:rsid w:val="00556572"/>
    <w:rsid w:val="005610AB"/>
    <w:rsid w:val="0056258E"/>
    <w:rsid w:val="00565CE4"/>
    <w:rsid w:val="005662F0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287"/>
    <w:rsid w:val="005C3CB1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37FDB"/>
    <w:rsid w:val="006414AF"/>
    <w:rsid w:val="0064254B"/>
    <w:rsid w:val="006435F1"/>
    <w:rsid w:val="00646704"/>
    <w:rsid w:val="006473FA"/>
    <w:rsid w:val="00647680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0A54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66959"/>
    <w:rsid w:val="007765E2"/>
    <w:rsid w:val="007801CC"/>
    <w:rsid w:val="007820B8"/>
    <w:rsid w:val="0078271A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2DE7"/>
    <w:rsid w:val="0081317F"/>
    <w:rsid w:val="00814A5B"/>
    <w:rsid w:val="0082193C"/>
    <w:rsid w:val="00822CCA"/>
    <w:rsid w:val="0082703C"/>
    <w:rsid w:val="00827E3F"/>
    <w:rsid w:val="00833066"/>
    <w:rsid w:val="008334FF"/>
    <w:rsid w:val="0084000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5FC3"/>
    <w:rsid w:val="00877615"/>
    <w:rsid w:val="00877CA6"/>
    <w:rsid w:val="008807C5"/>
    <w:rsid w:val="00882BF8"/>
    <w:rsid w:val="00885891"/>
    <w:rsid w:val="00885C1A"/>
    <w:rsid w:val="00886348"/>
    <w:rsid w:val="00887BAF"/>
    <w:rsid w:val="00892DCF"/>
    <w:rsid w:val="0089357A"/>
    <w:rsid w:val="00895C61"/>
    <w:rsid w:val="00896FC3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3A5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9794E"/>
    <w:rsid w:val="009A0596"/>
    <w:rsid w:val="009A0A28"/>
    <w:rsid w:val="009A120C"/>
    <w:rsid w:val="009A3655"/>
    <w:rsid w:val="009A3768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0572"/>
    <w:rsid w:val="009E499B"/>
    <w:rsid w:val="009E536C"/>
    <w:rsid w:val="009E58AA"/>
    <w:rsid w:val="009E58E9"/>
    <w:rsid w:val="009E6B46"/>
    <w:rsid w:val="009F5C47"/>
    <w:rsid w:val="009F5D25"/>
    <w:rsid w:val="009F738E"/>
    <w:rsid w:val="00A0247D"/>
    <w:rsid w:val="00A02C42"/>
    <w:rsid w:val="00A041F0"/>
    <w:rsid w:val="00A0456D"/>
    <w:rsid w:val="00A108AF"/>
    <w:rsid w:val="00A118F8"/>
    <w:rsid w:val="00A12CF1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44468"/>
    <w:rsid w:val="00A5164B"/>
    <w:rsid w:val="00A6038F"/>
    <w:rsid w:val="00A60F3F"/>
    <w:rsid w:val="00A62158"/>
    <w:rsid w:val="00A71181"/>
    <w:rsid w:val="00A72C25"/>
    <w:rsid w:val="00A74CB3"/>
    <w:rsid w:val="00A7502F"/>
    <w:rsid w:val="00A76CE4"/>
    <w:rsid w:val="00A76F7A"/>
    <w:rsid w:val="00A77236"/>
    <w:rsid w:val="00A774D4"/>
    <w:rsid w:val="00A806F0"/>
    <w:rsid w:val="00A8158F"/>
    <w:rsid w:val="00A81950"/>
    <w:rsid w:val="00A82A54"/>
    <w:rsid w:val="00A8636A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A79E7"/>
    <w:rsid w:val="00AB2FF5"/>
    <w:rsid w:val="00AB577B"/>
    <w:rsid w:val="00AC4FC3"/>
    <w:rsid w:val="00AC6606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56674"/>
    <w:rsid w:val="00B60945"/>
    <w:rsid w:val="00B60999"/>
    <w:rsid w:val="00B64959"/>
    <w:rsid w:val="00B65594"/>
    <w:rsid w:val="00B67599"/>
    <w:rsid w:val="00B678DF"/>
    <w:rsid w:val="00B70F1A"/>
    <w:rsid w:val="00B72200"/>
    <w:rsid w:val="00B85EB9"/>
    <w:rsid w:val="00B85EC5"/>
    <w:rsid w:val="00B907DB"/>
    <w:rsid w:val="00B96883"/>
    <w:rsid w:val="00B97287"/>
    <w:rsid w:val="00BA4E3E"/>
    <w:rsid w:val="00BA5416"/>
    <w:rsid w:val="00BA6545"/>
    <w:rsid w:val="00BA655D"/>
    <w:rsid w:val="00BA6AA3"/>
    <w:rsid w:val="00BA6CA6"/>
    <w:rsid w:val="00BA6F75"/>
    <w:rsid w:val="00BB0F95"/>
    <w:rsid w:val="00BB1129"/>
    <w:rsid w:val="00BB64E2"/>
    <w:rsid w:val="00BC0A4B"/>
    <w:rsid w:val="00BC1011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071E2"/>
    <w:rsid w:val="00C10326"/>
    <w:rsid w:val="00C129DF"/>
    <w:rsid w:val="00C13540"/>
    <w:rsid w:val="00C17CFB"/>
    <w:rsid w:val="00C264AF"/>
    <w:rsid w:val="00C26C2C"/>
    <w:rsid w:val="00C26CD1"/>
    <w:rsid w:val="00C304B6"/>
    <w:rsid w:val="00C31066"/>
    <w:rsid w:val="00C36342"/>
    <w:rsid w:val="00C369C5"/>
    <w:rsid w:val="00C406BA"/>
    <w:rsid w:val="00C40C48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D54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1414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2E40"/>
    <w:rsid w:val="00CE404D"/>
    <w:rsid w:val="00CE461E"/>
    <w:rsid w:val="00CE5B3C"/>
    <w:rsid w:val="00CE776F"/>
    <w:rsid w:val="00CE798A"/>
    <w:rsid w:val="00CE7B8C"/>
    <w:rsid w:val="00CF0000"/>
    <w:rsid w:val="00CF100B"/>
    <w:rsid w:val="00CF4E00"/>
    <w:rsid w:val="00CF530A"/>
    <w:rsid w:val="00CF6C68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782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22C3"/>
    <w:rsid w:val="00D6367B"/>
    <w:rsid w:val="00D70398"/>
    <w:rsid w:val="00D72F13"/>
    <w:rsid w:val="00D74ED7"/>
    <w:rsid w:val="00D80085"/>
    <w:rsid w:val="00D83F75"/>
    <w:rsid w:val="00D87EAA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6E0D"/>
    <w:rsid w:val="00DB7D24"/>
    <w:rsid w:val="00DB7EC8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613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6B97"/>
    <w:rsid w:val="00E57B3D"/>
    <w:rsid w:val="00E60A8A"/>
    <w:rsid w:val="00E6144A"/>
    <w:rsid w:val="00E62EBD"/>
    <w:rsid w:val="00E6531D"/>
    <w:rsid w:val="00E65758"/>
    <w:rsid w:val="00E657BB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95707"/>
    <w:rsid w:val="00EA1415"/>
    <w:rsid w:val="00EA3750"/>
    <w:rsid w:val="00EA3F63"/>
    <w:rsid w:val="00EA40DE"/>
    <w:rsid w:val="00EA5433"/>
    <w:rsid w:val="00EA615E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6145"/>
    <w:rsid w:val="00EE7203"/>
    <w:rsid w:val="00EF1C6C"/>
    <w:rsid w:val="00EF1D20"/>
    <w:rsid w:val="00EF46C4"/>
    <w:rsid w:val="00EF4AED"/>
    <w:rsid w:val="00EF50D4"/>
    <w:rsid w:val="00EF557F"/>
    <w:rsid w:val="00EF6C9C"/>
    <w:rsid w:val="00EF719D"/>
    <w:rsid w:val="00F01F0F"/>
    <w:rsid w:val="00F04BB9"/>
    <w:rsid w:val="00F04F7D"/>
    <w:rsid w:val="00F067A7"/>
    <w:rsid w:val="00F06D52"/>
    <w:rsid w:val="00F105ED"/>
    <w:rsid w:val="00F12BB1"/>
    <w:rsid w:val="00F12F35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6DB"/>
    <w:rsid w:val="00F73CB9"/>
    <w:rsid w:val="00F767D9"/>
    <w:rsid w:val="00F80437"/>
    <w:rsid w:val="00F8668B"/>
    <w:rsid w:val="00F876EE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426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E776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47680"/>
    <w:rPr>
      <w:color w:val="FF00FF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4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8</cp:revision>
  <dcterms:created xsi:type="dcterms:W3CDTF">2026-10-15T17:21:00Z</dcterms:created>
  <dcterms:modified xsi:type="dcterms:W3CDTF">2026-10-16T07:55:00Z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