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D5252" w14:textId="77777777" w:rsidR="005C6917" w:rsidRDefault="005C6917" w:rsidP="005C6917">
      <w:pPr>
        <w:spacing w:before="120" w:after="120" w:line="360" w:lineRule="auto"/>
        <w:rPr>
          <w:rFonts w:ascii="Noto Sans" w:hAnsi="Noto Sans" w:cs="Noto Sans"/>
          <w:b/>
          <w:bCs/>
          <w:lang w:val="fr"/>
        </w:rPr>
      </w:pPr>
    </w:p>
    <w:p w14:paraId="06E73737" w14:textId="4BD56B2C" w:rsidR="00E97677" w:rsidRPr="00AF7ED5" w:rsidRDefault="004859B4" w:rsidP="005C6917">
      <w:pPr>
        <w:spacing w:before="120" w:after="120" w:line="360" w:lineRule="auto"/>
        <w:rPr>
          <w:rFonts w:ascii="Noto Sans" w:hAnsi="Noto Sans" w:cs="Noto Sans"/>
        </w:rPr>
      </w:pPr>
      <w:r>
        <w:rPr>
          <w:rFonts w:ascii="Noto Sans" w:hAnsi="Noto Sans" w:cs="Noto Sans"/>
          <w:b/>
          <w:bCs/>
          <w:lang w:val="fr"/>
        </w:rPr>
        <w:t>La conformité sans compromis : gérer la traçabilité des produits dans la fabrication de matériaux de construction</w:t>
      </w:r>
    </w:p>
    <w:p w14:paraId="6F3DE14A"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i/>
          <w:iCs/>
          <w:sz w:val="22"/>
          <w:szCs w:val="22"/>
          <w:lang w:val="fr"/>
        </w:rPr>
        <w:t xml:space="preserve">Les lignes de production de matériaux de construction, fonctionnent à des cadences élevées dans un environnement caractérisé par des marges réduites, de délais serrés et une croissance continue du secteur. Alors que certains fabricants craignent que les nouvelles réglementations ne compromettent la recherche d'efficacité, Rob Ellinor, Global Building and Construction </w:t>
      </w:r>
      <w:proofErr w:type="spellStart"/>
      <w:r>
        <w:rPr>
          <w:rFonts w:ascii="Noto Sans" w:hAnsi="Noto Sans" w:cs="Noto Sans"/>
          <w:i/>
          <w:iCs/>
          <w:sz w:val="22"/>
          <w:szCs w:val="22"/>
          <w:lang w:val="fr"/>
        </w:rPr>
        <w:t>Sector</w:t>
      </w:r>
      <w:proofErr w:type="spellEnd"/>
      <w:r>
        <w:rPr>
          <w:rFonts w:ascii="Noto Sans" w:hAnsi="Noto Sans" w:cs="Noto Sans"/>
          <w:i/>
          <w:iCs/>
          <w:sz w:val="22"/>
          <w:szCs w:val="22"/>
          <w:lang w:val="fr"/>
        </w:rPr>
        <w:t xml:space="preserve"> Manager, Domino, explique comment imprimer des codes 2D GS1 conformes au (RPC-UE 2024) sans compromettre la productivité de fabrication.</w:t>
      </w:r>
    </w:p>
    <w:p w14:paraId="33F8C972" w14:textId="4C0738B7" w:rsidR="00E97677" w:rsidRPr="00AF7ED5" w:rsidRDefault="00C634AE" w:rsidP="005C6917">
      <w:pPr>
        <w:spacing w:before="120" w:after="120" w:line="360" w:lineRule="auto"/>
        <w:rPr>
          <w:rFonts w:ascii="Noto Sans" w:hAnsi="Noto Sans" w:cs="Noto Sans"/>
          <w:sz w:val="22"/>
          <w:szCs w:val="22"/>
        </w:rPr>
      </w:pPr>
      <w:r>
        <w:rPr>
          <w:rFonts w:ascii="Noto Sans" w:hAnsi="Noto Sans" w:cs="Noto Sans"/>
          <w:b/>
          <w:bCs/>
          <w:sz w:val="22"/>
          <w:szCs w:val="22"/>
          <w:lang w:val="fr"/>
        </w:rPr>
        <w:t xml:space="preserve">Nouvelles règles relatives aux produits de construction pour les fabricants </w:t>
      </w:r>
    </w:p>
    <w:p w14:paraId="6A54F41A"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Les fabricants de matériaux de construction évaluent actuellement l'impact des réglementations nouvelles et à venir, notamment le règlement européen sur les produits de construction (RPC-UE 2024), qui impose une traçabilité des matériaux plus avancée, y compris des codes lisibles par machine, afin d'améliorer la sécurité, la responsabilité et la durabilité des bâtiments.</w:t>
      </w:r>
    </w:p>
    <w:p w14:paraId="5825738B" w14:textId="69011950"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 xml:space="preserve">L'adoption de normes de données mondiales favorisera une identification harmonisée et un partage cohérent des données relatives aux matériaux de construction tout au long de la vie d'un bâtiment. Bien qu'il n'existe actuellement aucune règle unique quant à la manière dont l'information doit être partagée, </w:t>
      </w:r>
      <w:hyperlink r:id="rId6" w:history="1">
        <w:r w:rsidRPr="00253722">
          <w:rPr>
            <w:rStyle w:val="Hyperlink"/>
            <w:rFonts w:ascii="Noto Sans" w:hAnsi="Noto Sans" w:cs="Noto Sans"/>
            <w:sz w:val="22"/>
            <w:szCs w:val="22"/>
            <w:lang w:val="fr"/>
          </w:rPr>
          <w:t>les codes 2D GS1 Digital Link</w:t>
        </w:r>
      </w:hyperlink>
      <w:r>
        <w:rPr>
          <w:rFonts w:ascii="Noto Sans" w:hAnsi="Noto Sans" w:cs="Noto Sans"/>
          <w:sz w:val="22"/>
          <w:szCs w:val="22"/>
          <w:lang w:val="fr"/>
        </w:rPr>
        <w:t xml:space="preserve"> offrent une norme universellement reconnue susceptible d'apporter la clarté tant attendue au secteur. </w:t>
      </w:r>
    </w:p>
    <w:p w14:paraId="2FCE7D21" w14:textId="584C2BF8"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Chaque code 2D GS1 (</w:t>
      </w:r>
      <w:hyperlink r:id="rId7" w:history="1">
        <w:r w:rsidRPr="00253722">
          <w:rPr>
            <w:rStyle w:val="Hyperlink"/>
            <w:rFonts w:ascii="Noto Sans" w:hAnsi="Noto Sans" w:cs="Noto Sans"/>
            <w:sz w:val="22"/>
            <w:szCs w:val="22"/>
            <w:lang w:val="fr"/>
          </w:rPr>
          <w:t xml:space="preserve">GS1 QR ou GS1 </w:t>
        </w:r>
        <w:proofErr w:type="spellStart"/>
        <w:r w:rsidRPr="00253722">
          <w:rPr>
            <w:rStyle w:val="Hyperlink"/>
            <w:rFonts w:ascii="Noto Sans" w:hAnsi="Noto Sans" w:cs="Noto Sans"/>
            <w:sz w:val="22"/>
            <w:szCs w:val="22"/>
            <w:lang w:val="fr"/>
          </w:rPr>
          <w:t>DataMatrix</w:t>
        </w:r>
        <w:proofErr w:type="spellEnd"/>
      </w:hyperlink>
      <w:r>
        <w:rPr>
          <w:rFonts w:ascii="Noto Sans" w:hAnsi="Noto Sans" w:cs="Noto Sans"/>
          <w:sz w:val="22"/>
          <w:szCs w:val="22"/>
          <w:lang w:val="fr"/>
        </w:rPr>
        <w:t xml:space="preserve">) sera lié au nom de marque du produit, à ses attributs clés et à son numéro d'article commercial international (GTIN) unique. Cela permettra également d'accéder à d'autres informations sur le produit, notamment les certifications de conformité, les détails de traçabilité, les instructions d'utilisation et d'installation, ainsi que les exigences en matière de durabilité et de maintenance. </w:t>
      </w:r>
    </w:p>
    <w:p w14:paraId="6081BCDD" w14:textId="77777777" w:rsidR="005C6917" w:rsidRDefault="005C6917" w:rsidP="005C6917">
      <w:pPr>
        <w:spacing w:before="120" w:after="120" w:line="360" w:lineRule="auto"/>
        <w:rPr>
          <w:rFonts w:ascii="Noto Sans" w:hAnsi="Noto Sans" w:cs="Noto Sans"/>
          <w:b/>
          <w:bCs/>
          <w:sz w:val="22"/>
          <w:szCs w:val="22"/>
          <w:lang w:val="fr"/>
        </w:rPr>
      </w:pPr>
    </w:p>
    <w:p w14:paraId="1FA32877" w14:textId="4A209F0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b/>
          <w:bCs/>
          <w:sz w:val="22"/>
          <w:szCs w:val="22"/>
          <w:lang w:val="fr"/>
        </w:rPr>
        <w:t>Défis liés à l'impression des codes 2D GS1 dans la fabrication de matériaux de construction</w:t>
      </w:r>
    </w:p>
    <w:p w14:paraId="51543007"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 xml:space="preserve">Il convient de préciser que les équipements de codage et les lignes de </w:t>
      </w:r>
      <w:proofErr w:type="gramStart"/>
      <w:r>
        <w:rPr>
          <w:rFonts w:ascii="Noto Sans" w:hAnsi="Noto Sans" w:cs="Noto Sans"/>
          <w:sz w:val="22"/>
          <w:szCs w:val="22"/>
          <w:lang w:val="fr"/>
        </w:rPr>
        <w:t>production existants</w:t>
      </w:r>
      <w:proofErr w:type="gramEnd"/>
      <w:r>
        <w:rPr>
          <w:rFonts w:ascii="Noto Sans" w:hAnsi="Noto Sans" w:cs="Noto Sans"/>
          <w:sz w:val="22"/>
          <w:szCs w:val="22"/>
          <w:lang w:val="fr"/>
        </w:rPr>
        <w:t xml:space="preserve"> peuvent ne pas être optimisés pour l'impression de codes 2D. Les fabricants qui mettent à niveau leurs lignes pour gérer des codes 2D avancés à données variables devront prendre en compte un ensemble de facteurs afin de garantir une lecture efficace dans des environnements de production exigeants et à cadence élevée. </w:t>
      </w:r>
    </w:p>
    <w:p w14:paraId="25C34B5F"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 xml:space="preserve">Les matériaux pour la construction tels que le bois, les granulats et les produits en sacs peuvent varier en texture et en consistance de surface, rendant le codage fiable plus difficile. Il existe également un compromis entre la vitesse de ligne et la résolution d'impression, des vitesses de ligne élevées pouvant entraîner une qualité d'impression et une expérience de lecture inadéquates. Les conséquences d'une mauvaise qualité d'impression dans ce secteur ne se limitent pas au gaspillage de matières premières : les </w:t>
      </w:r>
      <w:proofErr w:type="gramStart"/>
      <w:r>
        <w:rPr>
          <w:rFonts w:ascii="Noto Sans" w:hAnsi="Noto Sans" w:cs="Noto Sans"/>
          <w:sz w:val="22"/>
          <w:szCs w:val="22"/>
          <w:lang w:val="fr"/>
        </w:rPr>
        <w:t>temps</w:t>
      </w:r>
      <w:proofErr w:type="gramEnd"/>
      <w:r>
        <w:rPr>
          <w:rFonts w:ascii="Noto Sans" w:hAnsi="Noto Sans" w:cs="Noto Sans"/>
          <w:sz w:val="22"/>
          <w:szCs w:val="22"/>
          <w:lang w:val="fr"/>
        </w:rPr>
        <w:t xml:space="preserve"> d'arrêt entraînent également des pertes de ventes, un gaspillage de main-d'œuvre et des perturbations en aval.</w:t>
      </w:r>
    </w:p>
    <w:p w14:paraId="502F3249"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b/>
          <w:bCs/>
          <w:sz w:val="22"/>
          <w:szCs w:val="22"/>
          <w:lang w:val="fr"/>
        </w:rPr>
        <w:t xml:space="preserve">Mise à niveau des lignes de fabrication de matériaux de construction pour les codes 2D GS1 </w:t>
      </w:r>
    </w:p>
    <w:p w14:paraId="3DA8EBE4" w14:textId="7189909F"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 xml:space="preserve">Les fabricants souhaitant moderniser leur ligne peuvent se réjouir : les solutions d'impression de codes-barres 2D n'ont jamais été aussi abouties. L'adoption dans d'autres secteurs, comme la pharmacie, a accéléré le développement et fait baisser les coûts. Les nouveaux systèmes de codage sont également conçus spécifiquement pour fonctionner dans les environnements difficiles et poussiéreux, les systèmes modernes de jet d'encre industriel et de laser étant conçus pour appliquer efficacement les codes 2D GS1 dans des environnements hostiles, </w:t>
      </w:r>
      <w:hyperlink r:id="rId8" w:anchor="productcomparisoncomponent?utm_medium=press_release&amp;utm_source=onlinepublication&amp;utm_content=q1-b&amp;c-efficiency-sb-fr&amp;utm_campaign=2026-int-fr-2026-int-fr-global-pr-cm-fy26-q1" w:history="1">
        <w:r w:rsidRPr="00253722">
          <w:rPr>
            <w:rStyle w:val="Hyperlink"/>
            <w:rFonts w:ascii="Noto Sans" w:hAnsi="Noto Sans" w:cs="Noto Sans"/>
            <w:sz w:val="22"/>
            <w:szCs w:val="22"/>
            <w:lang w:val="fr"/>
          </w:rPr>
          <w:t>réduisant ainsi le risque de temps d'arrêt</w:t>
        </w:r>
      </w:hyperlink>
      <w:r>
        <w:rPr>
          <w:rFonts w:ascii="Noto Sans" w:hAnsi="Noto Sans" w:cs="Noto Sans"/>
          <w:sz w:val="22"/>
          <w:szCs w:val="22"/>
          <w:lang w:val="fr"/>
        </w:rPr>
        <w:t>.</w:t>
      </w:r>
    </w:p>
    <w:p w14:paraId="1F517065" w14:textId="77777777" w:rsidR="005C6917" w:rsidRDefault="004859B4" w:rsidP="005C6917">
      <w:pPr>
        <w:spacing w:before="120" w:after="120" w:line="360" w:lineRule="auto"/>
        <w:rPr>
          <w:rFonts w:ascii="Noto Sans" w:hAnsi="Noto Sans" w:cs="Noto Sans"/>
          <w:sz w:val="22"/>
          <w:szCs w:val="22"/>
          <w:lang w:val="fr"/>
        </w:rPr>
      </w:pPr>
      <w:r>
        <w:rPr>
          <w:rFonts w:ascii="Noto Sans" w:hAnsi="Noto Sans" w:cs="Noto Sans"/>
          <w:sz w:val="22"/>
          <w:szCs w:val="22"/>
          <w:lang w:val="fr"/>
        </w:rPr>
        <w:t xml:space="preserve">La technologie d'impression a elle aussi évolué pour permettre l'impression de codes 2D haute résolution à des vitesses élevées. Des solutions complémentaires telles que les </w:t>
      </w:r>
    </w:p>
    <w:p w14:paraId="5DF3A184" w14:textId="77777777" w:rsidR="005C6917" w:rsidRDefault="005C6917" w:rsidP="005C6917">
      <w:pPr>
        <w:spacing w:before="120" w:after="120" w:line="360" w:lineRule="auto"/>
        <w:rPr>
          <w:rFonts w:ascii="Noto Sans" w:hAnsi="Noto Sans" w:cs="Noto Sans"/>
          <w:sz w:val="22"/>
          <w:szCs w:val="22"/>
          <w:lang w:val="fr"/>
        </w:rPr>
      </w:pPr>
    </w:p>
    <w:p w14:paraId="146E6DB6" w14:textId="12518F50" w:rsidR="00E97677" w:rsidRPr="00AF7ED5" w:rsidRDefault="004859B4" w:rsidP="005C6917">
      <w:pPr>
        <w:spacing w:before="120" w:after="120" w:line="360" w:lineRule="auto"/>
        <w:rPr>
          <w:rFonts w:ascii="Noto Sans" w:hAnsi="Noto Sans" w:cs="Noto Sans"/>
          <w:sz w:val="22"/>
          <w:szCs w:val="22"/>
        </w:rPr>
      </w:pPr>
      <w:proofErr w:type="gramStart"/>
      <w:r>
        <w:rPr>
          <w:rFonts w:ascii="Noto Sans" w:hAnsi="Noto Sans" w:cs="Noto Sans"/>
          <w:sz w:val="22"/>
          <w:szCs w:val="22"/>
          <w:lang w:val="fr"/>
        </w:rPr>
        <w:t>systèmes</w:t>
      </w:r>
      <w:proofErr w:type="gramEnd"/>
      <w:r>
        <w:rPr>
          <w:rFonts w:ascii="Noto Sans" w:hAnsi="Noto Sans" w:cs="Noto Sans"/>
          <w:sz w:val="22"/>
          <w:szCs w:val="22"/>
          <w:lang w:val="fr"/>
        </w:rPr>
        <w:t xml:space="preserve"> d'automatisation et de vérification par vision améliorent la productivité et réduisent le gaspillage, tout en garantissant l'exactitude et la lisibilité des codes réglementaires. </w:t>
      </w:r>
    </w:p>
    <w:p w14:paraId="6B739776"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Les solutions d'automatisation du codage peuvent simplifier l'intégration avec les systèmes ERP et MES des fabricants afin d'automatiser le codage des produits, réduisant ainsi le besoin de saisie manuelle des données et le risque d'erreurs de codage. Les systèmes de vision industrielle intégrés en ligne peuvent vérifier automatiquement les codes 2D à des vitesses correspondant à celles des imprimantes des lignes de production et rejeter les produits non conformes avant qu'ils ne quittent la ligne.</w:t>
      </w:r>
    </w:p>
    <w:p w14:paraId="4C867A7C" w14:textId="729ED31E"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 xml:space="preserve">Un nombre croissant de systèmes de codage personnalisables intégrant codage, manutention des produits et inspection sont également disponibles. On peut citer, par exemple, </w:t>
      </w:r>
      <w:hyperlink r:id="rId9" w:history="1">
        <w:r w:rsidRPr="00253722">
          <w:rPr>
            <w:rStyle w:val="Hyperlink"/>
            <w:rFonts w:ascii="Noto Sans" w:hAnsi="Noto Sans" w:cs="Noto Sans"/>
            <w:sz w:val="22"/>
            <w:szCs w:val="22"/>
            <w:lang w:val="fr"/>
          </w:rPr>
          <w:t>les stations de codage dédiées aux produits extrudés</w:t>
        </w:r>
      </w:hyperlink>
      <w:r>
        <w:rPr>
          <w:rFonts w:ascii="Noto Sans" w:hAnsi="Noto Sans" w:cs="Noto Sans"/>
          <w:sz w:val="22"/>
          <w:szCs w:val="22"/>
          <w:lang w:val="fr"/>
        </w:rPr>
        <w:t>, ou des solutions multi-têtes capables de coder directement sur des produits empilés. Ces solutions permettent de surmonter les difficultés liées au positionnement irrégulier des produits par rapport à l'imprimante et à la stabilité des lignes de production, autant de facteurs susceptibles d'affecter la qualité finale des codes.</w:t>
      </w:r>
    </w:p>
    <w:p w14:paraId="5E15C12F"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 xml:space="preserve">En outre, de nombreux systèmes de codage modernes sont désormais conçus pour être conviviaux, grâce à des interfaces intuitives, des fonctionnalités de suivi à distance et une assistance en réalité augmentée. Cela signifie que les mises à niveau des lignes ne nécessiteront pas de connaissances complexes en codage, et que les nouveaux systèmes pourront être facilement utilisés par les opérateurs déjà en poste. </w:t>
      </w:r>
    </w:p>
    <w:p w14:paraId="03A115A0"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b/>
          <w:bCs/>
          <w:sz w:val="22"/>
          <w:szCs w:val="22"/>
          <w:lang w:val="fr"/>
        </w:rPr>
        <w:t>Au-delà de la conformité : Le fondement d'une fabrication plus intelligente</w:t>
      </w:r>
    </w:p>
    <w:p w14:paraId="55C73DAA"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Pour beaucoup, la conformité est avant tout vue comme une contrainte financière imposée par l'exercice de leur activité. En réalité, une traçabilité produit plus fine constitue un véritable levier d'efficacité, capable de créer de la valeur tout au long de la chaîne logistique en aval.</w:t>
      </w:r>
    </w:p>
    <w:p w14:paraId="0E65AB2E" w14:textId="77777777" w:rsidR="005C6917" w:rsidRDefault="005C6917" w:rsidP="005C6917">
      <w:pPr>
        <w:spacing w:before="120" w:after="120" w:line="360" w:lineRule="auto"/>
        <w:rPr>
          <w:rFonts w:ascii="Noto Sans" w:hAnsi="Noto Sans" w:cs="Noto Sans"/>
          <w:sz w:val="22"/>
          <w:szCs w:val="22"/>
          <w:lang w:val="fr"/>
        </w:rPr>
      </w:pPr>
    </w:p>
    <w:p w14:paraId="579598D8" w14:textId="66881A4B"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Une fois imprimé avec un code 2D, chaque produit de construction devient un objet connecté, pouvant être scanné à chaque étape du processus de fabrication et de mise en œuvre. Un simple scan permet d'accéder à un profil produit numérique, indiquant la date de fabrication du produit, la ligne dont il est issu, sa composition matérielle et son usage prévu.</w:t>
      </w:r>
    </w:p>
    <w:p w14:paraId="21157A80" w14:textId="77777777"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 xml:space="preserve">Pour les fabricants, cela peut servir à fournir des informations sur la production, à identifier les erreurs et à effectuer une analyse précise des causes profondes. Au-delà de l'usine, ces informations produit ouvrent la voie à une collaboration et </w:t>
      </w:r>
      <w:proofErr w:type="gramStart"/>
      <w:r>
        <w:rPr>
          <w:rFonts w:ascii="Noto Sans" w:hAnsi="Noto Sans" w:cs="Noto Sans"/>
          <w:sz w:val="22"/>
          <w:szCs w:val="22"/>
          <w:lang w:val="fr"/>
        </w:rPr>
        <w:t>une efficacité accrues</w:t>
      </w:r>
      <w:proofErr w:type="gramEnd"/>
      <w:r>
        <w:rPr>
          <w:rFonts w:ascii="Noto Sans" w:hAnsi="Noto Sans" w:cs="Noto Sans"/>
          <w:sz w:val="22"/>
          <w:szCs w:val="22"/>
          <w:lang w:val="fr"/>
        </w:rPr>
        <w:t xml:space="preserve"> tout au long de la chaîne logistique.</w:t>
      </w:r>
    </w:p>
    <w:p w14:paraId="500946C8" w14:textId="701F4588" w:rsidR="00E97677" w:rsidRPr="00AF7ED5" w:rsidRDefault="004859B4" w:rsidP="005C6917">
      <w:pPr>
        <w:spacing w:before="120" w:after="120" w:line="360" w:lineRule="auto"/>
        <w:rPr>
          <w:rFonts w:ascii="Noto Sans" w:hAnsi="Noto Sans" w:cs="Noto Sans"/>
          <w:sz w:val="22"/>
          <w:szCs w:val="22"/>
        </w:rPr>
      </w:pPr>
      <w:r>
        <w:rPr>
          <w:rFonts w:ascii="Noto Sans" w:hAnsi="Noto Sans" w:cs="Noto Sans"/>
          <w:sz w:val="22"/>
          <w:szCs w:val="22"/>
          <w:lang w:val="fr"/>
        </w:rPr>
        <w:t xml:space="preserve">Il est aujourd'hui possible de ne plus percevoir la conformité comme une simple contrainte financière, mais d'y voir une véritable occasion de générer une valeur importante tout au long d'une chaîne logistique connectée et collaborative. Avec une compréhension approfondie du sujet et un partenaire qui sait exploiter tout le potentiel des codes 2D avancés à données variables, les fabricants de matériaux de construction peuvent </w:t>
      </w:r>
      <w:hyperlink r:id="rId10" w:history="1">
        <w:r w:rsidRPr="00253722">
          <w:rPr>
            <w:rStyle w:val="Hyperlink"/>
            <w:rFonts w:ascii="Noto Sans" w:hAnsi="Noto Sans" w:cs="Noto Sans"/>
            <w:sz w:val="22"/>
            <w:szCs w:val="22"/>
            <w:lang w:val="fr"/>
          </w:rPr>
          <w:t>faire de la conformité réglementaire un véritable levier de différenciation dans un secteur extrêmement concurrentiel</w:t>
        </w:r>
      </w:hyperlink>
      <w:r>
        <w:rPr>
          <w:rFonts w:ascii="Noto Sans" w:hAnsi="Noto Sans" w:cs="Noto Sans"/>
          <w:sz w:val="22"/>
          <w:szCs w:val="22"/>
          <w:lang w:val="fr"/>
        </w:rPr>
        <w:t xml:space="preserve">. </w:t>
      </w:r>
    </w:p>
    <w:p w14:paraId="0EED4F09" w14:textId="77777777" w:rsidR="00E97677" w:rsidRPr="00AF7ED5" w:rsidRDefault="00E97677" w:rsidP="005C6917">
      <w:pPr>
        <w:spacing w:before="120" w:after="120" w:line="360" w:lineRule="auto"/>
        <w:rPr>
          <w:rFonts w:ascii="Noto Sans" w:hAnsi="Noto Sans" w:cs="Noto Sans"/>
          <w:sz w:val="22"/>
          <w:szCs w:val="22"/>
        </w:rPr>
      </w:pPr>
    </w:p>
    <w:p w14:paraId="23C57B4D" w14:textId="6A180506" w:rsidR="005C6917" w:rsidRDefault="005C6917" w:rsidP="005C6917">
      <w:pPr>
        <w:spacing w:before="120" w:after="120" w:line="360" w:lineRule="auto"/>
        <w:rPr>
          <w:rFonts w:ascii="Noto Sans" w:eastAsia="Calibri" w:hAnsi="Noto Sans" w:cs="Noto Sans"/>
          <w:b/>
          <w:bCs/>
          <w:sz w:val="22"/>
          <w:szCs w:val="22"/>
          <w:lang w:val="pt-PT"/>
        </w:rPr>
      </w:pPr>
      <w:r>
        <w:rPr>
          <w:rFonts w:ascii="Noto Sans" w:eastAsia="Calibri" w:hAnsi="Noto Sans" w:cs="Noto Sans"/>
          <w:b/>
          <w:bCs/>
          <w:sz w:val="22"/>
          <w:szCs w:val="22"/>
          <w:lang w:val="pt-PT"/>
        </w:rPr>
        <w:t>&lt;</w:t>
      </w:r>
      <w:r w:rsidR="004859B4" w:rsidRPr="005C6917">
        <w:rPr>
          <w:rFonts w:ascii="Noto Sans" w:eastAsia="Calibri" w:hAnsi="Noto Sans" w:cs="Noto Sans"/>
          <w:b/>
          <w:bCs/>
          <w:sz w:val="22"/>
          <w:szCs w:val="22"/>
          <w:lang w:val="pt-PT"/>
        </w:rPr>
        <w:t>FIN</w:t>
      </w:r>
      <w:r>
        <w:rPr>
          <w:rFonts w:ascii="Noto Sans" w:eastAsia="Calibri" w:hAnsi="Noto Sans" w:cs="Noto Sans"/>
          <w:b/>
          <w:bCs/>
          <w:sz w:val="22"/>
          <w:szCs w:val="22"/>
          <w:lang w:val="pt-PT"/>
        </w:rPr>
        <w:t>&gt;</w:t>
      </w:r>
    </w:p>
    <w:p w14:paraId="14C7650E" w14:textId="77777777" w:rsidR="005C6917" w:rsidRDefault="005C6917" w:rsidP="005C6917">
      <w:pPr>
        <w:rPr>
          <w:rFonts w:ascii="Noto Sans" w:eastAsia="Gill Sans" w:hAnsi="Noto Sans" w:cs="Noto Sans"/>
          <w:b/>
          <w:bCs/>
          <w:sz w:val="20"/>
          <w:szCs w:val="20"/>
          <w:lang w:val="fr-FR"/>
        </w:rPr>
      </w:pPr>
      <w:bookmarkStart w:id="0" w:name="_Hlk46133219"/>
      <w:r w:rsidRPr="00E06028">
        <w:rPr>
          <w:rFonts w:ascii="Noto Sans" w:eastAsia="Gill Sans" w:hAnsi="Noto Sans" w:cs="Noto Sans"/>
          <w:b/>
          <w:bCs/>
          <w:sz w:val="20"/>
          <w:szCs w:val="20"/>
          <w:lang w:val="fr-FR"/>
        </w:rPr>
        <w:t>Avis de non-responsabilité</w:t>
      </w:r>
      <w:r w:rsidRPr="00E06028">
        <w:rPr>
          <w:rFonts w:ascii="Noto Sans" w:eastAsia="Gill Sans" w:hAnsi="Noto Sans" w:cs="Noto Sans"/>
          <w:b/>
          <w:sz w:val="20"/>
          <w:szCs w:val="20"/>
          <w:lang w:val="es-ES"/>
        </w:rPr>
        <w:br/>
      </w:r>
      <w:r w:rsidRPr="001D71EE">
        <w:rPr>
          <w:rFonts w:ascii="Noto Sans" w:hAnsi="Noto Sans" w:cs="Noto Sans"/>
          <w:sz w:val="20"/>
          <w:szCs w:val="20"/>
          <w:lang w:val="fr-FR"/>
        </w:rPr>
        <w:t xml:space="preserve">Les informations contenues dans ce communiqué de presse sont considérées comme vraies et exactes à la date de publication par Domino. Des changements de circonstances après la date de publication peuvent avoir un impact sur l'exactitude des informations. </w:t>
      </w:r>
      <w:r w:rsidRPr="00E06028">
        <w:rPr>
          <w:rFonts w:ascii="Noto Sans" w:hAnsi="Noto Sans" w:cs="Noto Sans"/>
          <w:sz w:val="20"/>
          <w:szCs w:val="20"/>
          <w:lang w:val="fr-FR"/>
        </w:rPr>
        <w:t>Tous les chiffres et déclarations en matière de résultats indiqués dans les présentes ont été obtenus dans des conditions particulières et ne peuvent être reproduits que dans des circonstances similaires. Pour toutes informations sur un produit particulier, contactez votre Représentant Domino local.  Ce document n’est pas intégré aux conditions générales de vente entre vous-même et Domino.</w:t>
      </w:r>
      <w:r>
        <w:rPr>
          <w:rFonts w:ascii="Noto Sans" w:hAnsi="Noto Sans" w:cs="Noto Sans"/>
          <w:sz w:val="20"/>
          <w:szCs w:val="20"/>
          <w:lang w:val="fr-FR"/>
        </w:rPr>
        <w:t xml:space="preserve"> </w:t>
      </w:r>
      <w:r w:rsidRPr="00E06028">
        <w:rPr>
          <w:rFonts w:ascii="Noto Sans" w:hAnsi="Noto Sans" w:cs="Noto Sans"/>
          <w:sz w:val="20"/>
          <w:szCs w:val="20"/>
          <w:lang w:val="fr-FR"/>
        </w:rPr>
        <w:t xml:space="preserve">Les images peuvent inclure des éléments supplémentaires ou des mises à niveaux. La qualité d'impression peut varier en fonction des consommables, de l'imprimante, des substrats et d'autres facteurs. Les images et photographies ne font pas partie des conditions générales de vente entre vous-même et Domino. </w:t>
      </w:r>
      <w:r w:rsidRPr="00E06028">
        <w:rPr>
          <w:rFonts w:ascii="Noto Sans" w:hAnsi="Noto Sans" w:cs="Noto Sans"/>
          <w:sz w:val="20"/>
          <w:szCs w:val="20"/>
          <w:lang w:val="fr-FR"/>
        </w:rPr>
        <w:br/>
      </w:r>
      <w:r w:rsidRPr="00E06028">
        <w:rPr>
          <w:rFonts w:ascii="Noto Sans" w:eastAsia="Gill Sans" w:hAnsi="Noto Sans" w:cs="Noto Sans"/>
          <w:sz w:val="20"/>
          <w:szCs w:val="20"/>
          <w:lang w:val="es-ES"/>
        </w:rPr>
        <w:br/>
      </w:r>
      <w:bookmarkStart w:id="1" w:name="_Hlk61949672"/>
      <w:r w:rsidRPr="00E06028">
        <w:rPr>
          <w:rFonts w:ascii="Noto Sans" w:eastAsia="Gill Sans" w:hAnsi="Noto Sans" w:cs="Noto Sans"/>
          <w:b/>
          <w:sz w:val="20"/>
          <w:szCs w:val="20"/>
          <w:lang w:val="es-ES"/>
        </w:rPr>
        <w:lastRenderedPageBreak/>
        <w:br/>
      </w:r>
    </w:p>
    <w:p w14:paraId="15749F5D" w14:textId="6D12FE39" w:rsidR="005C6917" w:rsidRPr="00E06028" w:rsidRDefault="005C6917" w:rsidP="005C6917">
      <w:pPr>
        <w:rPr>
          <w:rFonts w:ascii="Noto Sans" w:hAnsi="Noto Sans" w:cs="Noto Sans"/>
          <w:sz w:val="20"/>
          <w:szCs w:val="20"/>
          <w:lang w:val="fr-FR"/>
        </w:rPr>
      </w:pPr>
      <w:r w:rsidRPr="00E06028">
        <w:rPr>
          <w:rFonts w:ascii="Noto Sans" w:eastAsia="Gill Sans" w:hAnsi="Noto Sans" w:cs="Noto Sans"/>
          <w:b/>
          <w:bCs/>
          <w:sz w:val="20"/>
          <w:szCs w:val="20"/>
          <w:lang w:val="fr-FR"/>
        </w:rPr>
        <w:t>Notes à l'attention des rédacteurs :</w:t>
      </w:r>
      <w:r w:rsidRPr="00E06028">
        <w:rPr>
          <w:rFonts w:ascii="Noto Sans" w:eastAsia="Gill Sans" w:hAnsi="Noto Sans" w:cs="Noto Sans"/>
          <w:b/>
          <w:sz w:val="20"/>
          <w:szCs w:val="20"/>
          <w:lang w:val="es-ES"/>
        </w:rPr>
        <w:br/>
      </w:r>
      <w:r w:rsidRPr="00E06028">
        <w:rPr>
          <w:rFonts w:ascii="Noto Sans" w:eastAsia="Gill Sans" w:hAnsi="Noto Sans" w:cs="Noto Sans"/>
          <w:sz w:val="20"/>
          <w:szCs w:val="20"/>
          <w:lang w:val="es-ES"/>
        </w:rPr>
        <w:br/>
      </w:r>
      <w:r w:rsidRPr="00E06028">
        <w:rPr>
          <w:rFonts w:ascii="Noto Sans" w:eastAsia="Gill Sans" w:hAnsi="Noto Sans" w:cs="Noto Sans"/>
          <w:b/>
          <w:bCs/>
          <w:sz w:val="20"/>
          <w:szCs w:val="20"/>
          <w:lang w:val="fr-FR"/>
        </w:rPr>
        <w:t>À propos de Domino</w:t>
      </w:r>
      <w:r w:rsidRPr="00E06028">
        <w:rPr>
          <w:rFonts w:ascii="Noto Sans" w:eastAsia="Gill Sans" w:hAnsi="Noto Sans" w:cs="Noto Sans"/>
          <w:sz w:val="20"/>
          <w:szCs w:val="20"/>
          <w:lang w:val="es-ES"/>
        </w:rPr>
        <w:br/>
      </w:r>
      <w:r w:rsidRPr="00E06028">
        <w:rPr>
          <w:rFonts w:ascii="Noto Sans" w:eastAsia="Gill Sans" w:hAnsi="Noto Sans" w:cs="Noto Sans"/>
          <w:sz w:val="20"/>
          <w:szCs w:val="20"/>
          <w:lang w:val="fr-FR"/>
        </w:rPr>
        <w:t xml:space="preserve">Fondée en 1978, Domino Printing Sciences (Domino) a acquis une réputation mondiale pour le développement et la fabrication de technologies de codage, de marquage et d'impression numérique, ainsi que pour la qualité de son service après-vente à l'international. Aujourd'hui, Domino propose l'un des portefeuilles les plus complets de solutions intégrales de codage afin de répondre aux exigences de conformité et de productivité des fabricants à travers de nombreux secteurs, notamment l'agroalimentaire, les boissons, et les produits pharmaceutiques et industriels. Les technologies de base de l'entreprise incluent des systèmes innovants comme le jet d'encre, le laser, l’impression-pose d’étiquettes et le codage transfert thermique conçus pour l'application de données variables, de codes à barres et de codes de traçabilité uniques sur les produits et les emballages.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Domino emploie plus de 3 000 personnes à travers le monde et ses produits sont vendus dans plus de 120 pays grâce à un réseau mondial de 29 filiales et de plus de 200 distributeurs. Domino possède des sites de production en Allemagne, en Chine, aux États-Unis, en Inde, au Royaume-Uni, en Suède et en Suisse.</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Depuis le 11 juin 2015, Domino est une division autonome de Brother Industries Ltd.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t xml:space="preserve">Pour plus d'informations sur Domino, veuillez consulter </w:t>
      </w:r>
      <w:hyperlink r:id="rId11" w:history="1">
        <w:r w:rsidRPr="00E06028">
          <w:rPr>
            <w:rStyle w:val="Hyperlink"/>
            <w:rFonts w:ascii="Noto Sans" w:eastAsia="Gill Sans" w:hAnsi="Noto Sans" w:cs="Noto Sans"/>
            <w:sz w:val="20"/>
            <w:szCs w:val="20"/>
            <w:lang w:val="fr-FR"/>
          </w:rPr>
          <w:t>www.domino-printing.com</w:t>
        </w:r>
      </w:hyperlink>
      <w:r w:rsidRPr="00E06028">
        <w:rPr>
          <w:rFonts w:ascii="Noto Sans" w:eastAsia="Gill Sans" w:hAnsi="Noto Sans" w:cs="Noto Sans"/>
          <w:sz w:val="20"/>
          <w:szCs w:val="20"/>
          <w:lang w:val="fr-FR"/>
        </w:rPr>
        <w:t xml:space="preserve"> </w:t>
      </w:r>
      <w:r w:rsidRPr="00E06028">
        <w:rPr>
          <w:rFonts w:ascii="Noto Sans" w:eastAsia="Gill Sans" w:hAnsi="Noto Sans" w:cs="Noto Sans"/>
          <w:sz w:val="20"/>
          <w:szCs w:val="20"/>
          <w:lang w:val="fr-FR"/>
        </w:rPr>
        <w:br/>
      </w:r>
      <w:r w:rsidRPr="00E06028">
        <w:rPr>
          <w:rFonts w:ascii="Noto Sans" w:eastAsia="Gill Sans" w:hAnsi="Noto Sans" w:cs="Noto Sans"/>
          <w:sz w:val="20"/>
          <w:szCs w:val="20"/>
          <w:lang w:val="fr-FR"/>
        </w:rPr>
        <w:br/>
      </w:r>
      <w:r w:rsidRPr="00E06028">
        <w:rPr>
          <w:rFonts w:ascii="Noto Sans" w:eastAsia="Gill Sans" w:hAnsi="Noto Sans" w:cs="Noto Sans"/>
          <w:b/>
          <w:bCs/>
          <w:sz w:val="20"/>
          <w:szCs w:val="20"/>
          <w:lang w:val="fr-FR"/>
        </w:rPr>
        <w:t>Pour de plus amples renseignements, veuillez contacter :</w:t>
      </w:r>
      <w:r w:rsidRPr="00E06028">
        <w:rPr>
          <w:rFonts w:ascii="Noto Sans" w:eastAsia="Gill Sans" w:hAnsi="Noto Sans" w:cs="Noto Sans"/>
          <w:b/>
          <w:sz w:val="20"/>
          <w:szCs w:val="20"/>
          <w:lang w:val="fr-FR"/>
        </w:rPr>
        <w:br/>
      </w:r>
      <w:r w:rsidRPr="00E06028">
        <w:rPr>
          <w:rFonts w:ascii="Noto Sans" w:eastAsia="Gill Sans" w:hAnsi="Noto Sans" w:cs="Noto Sans"/>
          <w:b/>
          <w:sz w:val="20"/>
          <w:szCs w:val="20"/>
          <w:lang w:val="fr-FR"/>
        </w:rPr>
        <w:br/>
      </w:r>
      <w:r w:rsidRPr="00F4774E">
        <w:rPr>
          <w:rFonts w:ascii="Noto Sans" w:hAnsi="Noto Sans" w:cs="Noto Sans"/>
          <w:sz w:val="20"/>
          <w:szCs w:val="20"/>
          <w:lang w:val="nl"/>
        </w:rPr>
        <w:t>Jade Taylor-Salazar</w:t>
      </w:r>
      <w:r w:rsidRPr="00E06028">
        <w:rPr>
          <w:rFonts w:ascii="Noto Sans" w:hAnsi="Noto Sans" w:cs="Noto Sans"/>
          <w:sz w:val="20"/>
          <w:szCs w:val="20"/>
          <w:lang w:val="fr-FR"/>
        </w:rPr>
        <w:br/>
        <w:t xml:space="preserve">Spécialiste en contenu rédactionnel </w:t>
      </w:r>
      <w:r w:rsidRPr="00E06028">
        <w:rPr>
          <w:rFonts w:ascii="Noto Sans" w:hAnsi="Noto Sans" w:cs="Noto Sans"/>
          <w:sz w:val="20"/>
          <w:szCs w:val="20"/>
          <w:lang w:val="fr-FR"/>
        </w:rPr>
        <w:br/>
        <w:t xml:space="preserve">Domino Printing Sciences </w:t>
      </w:r>
      <w:r w:rsidRPr="00E06028">
        <w:rPr>
          <w:rFonts w:ascii="Noto Sans" w:hAnsi="Noto Sans" w:cs="Noto Sans"/>
          <w:sz w:val="20"/>
          <w:szCs w:val="20"/>
          <w:lang w:val="fr-FR"/>
        </w:rPr>
        <w:br/>
        <w:t>Tél. : +44 (0) 1954 778780</w:t>
      </w:r>
      <w:r w:rsidRPr="00E06028">
        <w:rPr>
          <w:rFonts w:ascii="Noto Sans" w:hAnsi="Noto Sans" w:cs="Noto Sans"/>
          <w:sz w:val="20"/>
          <w:szCs w:val="20"/>
          <w:lang w:val="fr-FR"/>
        </w:rPr>
        <w:br/>
      </w:r>
      <w:hyperlink r:id="rId12" w:history="1">
        <w:r w:rsidRPr="00F623A5">
          <w:rPr>
            <w:rStyle w:val="Hyperlink"/>
            <w:rFonts w:ascii="Noto Sans" w:hAnsi="Noto Sans" w:cs="Noto Sans"/>
            <w:sz w:val="20"/>
            <w:szCs w:val="20"/>
            <w:lang w:val="fr-FR"/>
          </w:rPr>
          <w:t>Jade.Taylor-Salazar@domino-uk.com</w:t>
        </w:r>
      </w:hyperlink>
      <w:r w:rsidRPr="00E06028">
        <w:rPr>
          <w:rFonts w:ascii="Noto Sans" w:eastAsia="Verdana" w:hAnsi="Noto Sans" w:cs="Noto Sans"/>
          <w:sz w:val="20"/>
          <w:szCs w:val="20"/>
          <w:lang w:val="fr-FR"/>
        </w:rPr>
        <w:br/>
      </w:r>
      <w:r w:rsidRPr="00E06028">
        <w:rPr>
          <w:rFonts w:ascii="Noto Sans" w:eastAsia="Verdana" w:hAnsi="Noto Sans" w:cs="Noto Sans"/>
          <w:sz w:val="20"/>
          <w:szCs w:val="20"/>
          <w:lang w:val="fr-FR"/>
        </w:rPr>
        <w:br/>
      </w:r>
      <w:bookmarkEnd w:id="0"/>
      <w:bookmarkEnd w:id="1"/>
      <w:r w:rsidRPr="00E06028">
        <w:rPr>
          <w:rFonts w:ascii="Noto Sans" w:hAnsi="Noto Sans" w:cs="Noto Sans"/>
          <w:sz w:val="20"/>
          <w:szCs w:val="20"/>
          <w:lang w:val="fr-FR"/>
        </w:rPr>
        <w:t>Delphine Baudesson</w:t>
      </w:r>
      <w:r w:rsidRPr="00E06028">
        <w:rPr>
          <w:rFonts w:ascii="Noto Sans" w:hAnsi="Noto Sans" w:cs="Noto Sans"/>
          <w:sz w:val="20"/>
          <w:szCs w:val="20"/>
          <w:lang w:val="fr-FR"/>
        </w:rPr>
        <w:br/>
        <w:t xml:space="preserve">Responsable du marketing </w:t>
      </w:r>
      <w:r w:rsidRPr="00E06028">
        <w:rPr>
          <w:rFonts w:ascii="Noto Sans" w:hAnsi="Noto Sans" w:cs="Noto Sans"/>
          <w:sz w:val="20"/>
          <w:szCs w:val="20"/>
          <w:lang w:val="fr-FR"/>
        </w:rPr>
        <w:br/>
        <w:t>Domino Printing Sciences France</w:t>
      </w:r>
      <w:r w:rsidRPr="00E06028">
        <w:rPr>
          <w:rFonts w:ascii="Noto Sans" w:hAnsi="Noto Sans" w:cs="Noto Sans"/>
          <w:sz w:val="20"/>
          <w:szCs w:val="20"/>
          <w:lang w:val="fr-FR"/>
        </w:rPr>
        <w:br/>
        <w:t>Tél. : +33 6 78 58 81 59</w:t>
      </w:r>
      <w:r w:rsidRPr="00E06028">
        <w:rPr>
          <w:rFonts w:ascii="Noto Sans" w:hAnsi="Noto Sans" w:cs="Noto Sans"/>
          <w:sz w:val="20"/>
          <w:szCs w:val="20"/>
          <w:lang w:val="fr-FR"/>
        </w:rPr>
        <w:br/>
      </w:r>
      <w:hyperlink r:id="rId13" w:history="1">
        <w:r w:rsidRPr="00E06028">
          <w:rPr>
            <w:rStyle w:val="Hyperlink"/>
            <w:rFonts w:ascii="Noto Sans" w:hAnsi="Noto Sans" w:cs="Noto Sans"/>
            <w:sz w:val="20"/>
            <w:szCs w:val="20"/>
            <w:lang w:val="fr-FR"/>
          </w:rPr>
          <w:t>delphine.baudesson@domino-marquage.com</w:t>
        </w:r>
      </w:hyperlink>
      <w:r w:rsidRPr="00E06028">
        <w:rPr>
          <w:rStyle w:val="Hyperlink"/>
          <w:rFonts w:ascii="Noto Sans" w:hAnsi="Noto Sans" w:cs="Noto Sans"/>
          <w:sz w:val="20"/>
          <w:szCs w:val="20"/>
          <w:lang w:val="fr-FR"/>
        </w:rPr>
        <w:br/>
      </w:r>
      <w:r w:rsidRPr="00E06028">
        <w:rPr>
          <w:rFonts w:ascii="Noto Sans" w:hAnsi="Noto Sans" w:cs="Noto Sans"/>
          <w:sz w:val="20"/>
          <w:szCs w:val="20"/>
          <w:lang w:val="fr-FR"/>
        </w:rPr>
        <w:br/>
      </w:r>
    </w:p>
    <w:p w14:paraId="36127A58" w14:textId="77777777" w:rsidR="005C6917" w:rsidRPr="008E7573" w:rsidRDefault="005C6917" w:rsidP="005C6917"/>
    <w:p w14:paraId="70BB98A7" w14:textId="77777777" w:rsidR="005C6917" w:rsidRPr="005C6917" w:rsidRDefault="005C6917" w:rsidP="005C6917">
      <w:pPr>
        <w:spacing w:before="120" w:after="120" w:line="360" w:lineRule="auto"/>
        <w:rPr>
          <w:rFonts w:ascii="Noto Sans" w:eastAsia="Calibri" w:hAnsi="Noto Sans" w:cs="Noto Sans"/>
          <w:b/>
          <w:bCs/>
          <w:sz w:val="22"/>
          <w:szCs w:val="22"/>
          <w:lang w:val="pt-PT"/>
        </w:rPr>
      </w:pPr>
    </w:p>
    <w:sectPr w:rsidR="005C6917" w:rsidRPr="005C6917">
      <w:headerReference w:type="default" r:id="rId14"/>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7302D5" w14:textId="77777777" w:rsidR="007E56B1" w:rsidRDefault="007E56B1" w:rsidP="005C6917">
      <w:r>
        <w:separator/>
      </w:r>
    </w:p>
  </w:endnote>
  <w:endnote w:type="continuationSeparator" w:id="0">
    <w:p w14:paraId="22A3867C" w14:textId="77777777" w:rsidR="007E56B1" w:rsidRDefault="007E56B1" w:rsidP="005C6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205F" w:usb2="08000029" w:usb3="00000000" w:csb0="0000019F" w:csb1="00000000"/>
  </w:font>
  <w:font w:name="Calibri">
    <w:panose1 w:val="020F0502020204030204"/>
    <w:charset w:val="00"/>
    <w:family w:val="swiss"/>
    <w:pitch w:val="variable"/>
    <w:sig w:usb0="E4002EFF" w:usb1="C200247B" w:usb2="00000009" w:usb3="00000000" w:csb0="000001FF" w:csb1="00000000"/>
  </w:font>
  <w:font w:name="Gill Sans">
    <w:altName w:val="Arial"/>
    <w:panose1 w:val="00000000000000000000"/>
    <w:charset w:val="00"/>
    <w:family w:val="swiss"/>
    <w:notTrueType/>
    <w:pitch w:val="variable"/>
    <w:sig w:usb0="A00000AF" w:usb1="5000205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E6746" w14:textId="56BFAD53" w:rsidR="005C6917" w:rsidRDefault="005C6917">
    <w:pPr>
      <w:pStyle w:val="Footer"/>
    </w:pPr>
    <w:r>
      <w:rPr>
        <w:noProof/>
      </w:rPr>
      <w:drawing>
        <wp:anchor distT="0" distB="0" distL="114300" distR="114300" simplePos="0" relativeHeight="251661312" behindDoc="1" locked="0" layoutInCell="1" allowOverlap="1" wp14:anchorId="54124006" wp14:editId="7745F7F1">
          <wp:simplePos x="0" y="0"/>
          <wp:positionH relativeFrom="margin">
            <wp:posOffset>4371975</wp:posOffset>
          </wp:positionH>
          <wp:positionV relativeFrom="page">
            <wp:posOffset>9027795</wp:posOffset>
          </wp:positionV>
          <wp:extent cx="5026155" cy="850119"/>
          <wp:effectExtent l="0" t="0" r="3175"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026155" cy="85011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4FD45B34" wp14:editId="6E33DBFF">
          <wp:simplePos x="0" y="0"/>
          <wp:positionH relativeFrom="column">
            <wp:posOffset>4514850</wp:posOffset>
          </wp:positionH>
          <wp:positionV relativeFrom="paragraph">
            <wp:posOffset>323850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38DDC" w14:textId="77777777" w:rsidR="007E56B1" w:rsidRDefault="007E56B1" w:rsidP="005C6917">
      <w:r>
        <w:separator/>
      </w:r>
    </w:p>
  </w:footnote>
  <w:footnote w:type="continuationSeparator" w:id="0">
    <w:p w14:paraId="53DC43BC" w14:textId="77777777" w:rsidR="007E56B1" w:rsidRDefault="007E56B1" w:rsidP="005C69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7C7F8" w14:textId="574ECE36" w:rsidR="005C6917" w:rsidRDefault="005C6917">
    <w:pPr>
      <w:pStyle w:val="Header"/>
    </w:pPr>
    <w:r>
      <w:rPr>
        <w:noProof/>
      </w:rPr>
      <w:drawing>
        <wp:anchor distT="0" distB="0" distL="114300" distR="114300" simplePos="0" relativeHeight="251659264" behindDoc="0" locked="0" layoutInCell="1" allowOverlap="1" wp14:anchorId="0549DA1E" wp14:editId="45D3B7ED">
          <wp:simplePos x="0" y="0"/>
          <wp:positionH relativeFrom="page">
            <wp:align>left</wp:align>
          </wp:positionH>
          <wp:positionV relativeFrom="paragraph">
            <wp:posOffset>-457200</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7677"/>
    <w:rsid w:val="00176EFC"/>
    <w:rsid w:val="00253722"/>
    <w:rsid w:val="004859B4"/>
    <w:rsid w:val="005C6917"/>
    <w:rsid w:val="007E56B1"/>
    <w:rsid w:val="009C0E15"/>
    <w:rsid w:val="00AF7ED5"/>
    <w:rsid w:val="00C634AE"/>
    <w:rsid w:val="00E97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EA26D"/>
  <w15:docId w15:val="{6949FB3E-1ADD-4561-878E-60034404F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semiHidden/>
    <w:unhideWhenUsed/>
    <w:rsid w:val="00C634AE"/>
    <w:rPr>
      <w:sz w:val="16"/>
      <w:szCs w:val="16"/>
    </w:rPr>
  </w:style>
  <w:style w:type="paragraph" w:styleId="CommentText">
    <w:name w:val="annotation text"/>
    <w:basedOn w:val="Normal"/>
    <w:link w:val="CommentTextChar"/>
    <w:uiPriority w:val="99"/>
    <w:unhideWhenUsed/>
    <w:rsid w:val="00C634AE"/>
    <w:rPr>
      <w:sz w:val="20"/>
      <w:szCs w:val="20"/>
    </w:rPr>
  </w:style>
  <w:style w:type="character" w:customStyle="1" w:styleId="CommentTextChar">
    <w:name w:val="Comment Text Char"/>
    <w:basedOn w:val="DefaultParagraphFont"/>
    <w:link w:val="CommentText"/>
    <w:uiPriority w:val="99"/>
    <w:rsid w:val="00C634AE"/>
  </w:style>
  <w:style w:type="paragraph" w:styleId="CommentSubject">
    <w:name w:val="annotation subject"/>
    <w:basedOn w:val="CommentText"/>
    <w:next w:val="CommentText"/>
    <w:link w:val="CommentSubjectChar"/>
    <w:uiPriority w:val="99"/>
    <w:semiHidden/>
    <w:unhideWhenUsed/>
    <w:rsid w:val="00C634AE"/>
    <w:rPr>
      <w:b/>
      <w:bCs/>
    </w:rPr>
  </w:style>
  <w:style w:type="character" w:customStyle="1" w:styleId="CommentSubjectChar">
    <w:name w:val="Comment Subject Char"/>
    <w:basedOn w:val="CommentTextChar"/>
    <w:link w:val="CommentSubject"/>
    <w:uiPriority w:val="99"/>
    <w:semiHidden/>
    <w:rsid w:val="00C634AE"/>
    <w:rPr>
      <w:b/>
      <w:bCs/>
    </w:rPr>
  </w:style>
  <w:style w:type="character" w:styleId="Hyperlink">
    <w:name w:val="Hyperlink"/>
    <w:basedOn w:val="DefaultParagraphFont"/>
    <w:uiPriority w:val="99"/>
    <w:unhideWhenUsed/>
    <w:rsid w:val="00C634AE"/>
    <w:rPr>
      <w:color w:val="0000FF" w:themeColor="hyperlink"/>
      <w:u w:val="single"/>
    </w:rPr>
  </w:style>
  <w:style w:type="character" w:styleId="UnresolvedMention">
    <w:name w:val="Unresolved Mention"/>
    <w:basedOn w:val="DefaultParagraphFont"/>
    <w:uiPriority w:val="99"/>
    <w:semiHidden/>
    <w:unhideWhenUsed/>
    <w:rsid w:val="00C634AE"/>
    <w:rPr>
      <w:color w:val="605E5C"/>
      <w:shd w:val="clear" w:color="auto" w:fill="E1DFDD"/>
    </w:rPr>
  </w:style>
  <w:style w:type="paragraph" w:styleId="Header">
    <w:name w:val="header"/>
    <w:basedOn w:val="Normal"/>
    <w:link w:val="HeaderChar"/>
    <w:uiPriority w:val="99"/>
    <w:unhideWhenUsed/>
    <w:rsid w:val="005C6917"/>
    <w:pPr>
      <w:tabs>
        <w:tab w:val="center" w:pos="4513"/>
        <w:tab w:val="right" w:pos="9026"/>
      </w:tabs>
    </w:pPr>
  </w:style>
  <w:style w:type="character" w:customStyle="1" w:styleId="HeaderChar">
    <w:name w:val="Header Char"/>
    <w:basedOn w:val="DefaultParagraphFont"/>
    <w:link w:val="Header"/>
    <w:uiPriority w:val="99"/>
    <w:rsid w:val="005C6917"/>
    <w:rPr>
      <w:sz w:val="24"/>
      <w:szCs w:val="24"/>
    </w:rPr>
  </w:style>
  <w:style w:type="paragraph" w:styleId="Footer">
    <w:name w:val="footer"/>
    <w:basedOn w:val="Normal"/>
    <w:link w:val="FooterChar"/>
    <w:uiPriority w:val="99"/>
    <w:unhideWhenUsed/>
    <w:rsid w:val="005C6917"/>
    <w:pPr>
      <w:tabs>
        <w:tab w:val="center" w:pos="4513"/>
        <w:tab w:val="right" w:pos="9026"/>
      </w:tabs>
    </w:pPr>
  </w:style>
  <w:style w:type="character" w:customStyle="1" w:styleId="FooterChar">
    <w:name w:val="Footer Char"/>
    <w:basedOn w:val="DefaultParagraphFont"/>
    <w:link w:val="Footer"/>
    <w:uiPriority w:val="99"/>
    <w:rsid w:val="005C69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omino-printing.com/fr-fr/products/cx-series" TargetMode="External"/><Relationship Id="rId13" Type="http://schemas.openxmlformats.org/officeDocument/2006/relationships/hyperlink" Target="mailto:delphine.baudesson@domino-marquage.com" TargetMode="External"/><Relationship Id="rId3" Type="http://schemas.openxmlformats.org/officeDocument/2006/relationships/webSettings" Target="webSettings.xml"/><Relationship Id="rId7" Type="http://schemas.openxmlformats.org/officeDocument/2006/relationships/hyperlink" Target="https://www.domino-printing.com/fr-fr/blog/quelle-est-la-difference-entre-un-code-dm-et-un-qr-code?utm_medium=press_release&amp;utm_source=onlinepublication&amp;utm_content=q1-b&amp;c-efficiency-sb-fr&amp;utm_campaign=2026-int-fr-2026-int-fr-global-pr-cm-fy26-q1" TargetMode="External"/><Relationship Id="rId12" Type="http://schemas.openxmlformats.org/officeDocument/2006/relationships/hyperlink" Target="mailto:Jade.Taylor-Salazar@domino-uk.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domino-printing.com/fr-fr/blog/en-quoi-consiste-gs1-digital-link?utm_medium=press_release&amp;utm_source=onlinepublication&amp;utm_content=q1-b&amp;c-efficiency-sb-fr&amp;utm_campaign=2026-int-fr-2026-int-fr-global-pr-cm-fy26-q1" TargetMode="External"/><Relationship Id="rId11" Type="http://schemas.openxmlformats.org/officeDocument/2006/relationships/hyperlink" Target="https://www.domino-printing.com/fr-fr/home.aspx?utm_medium=press_release&amp;utm_source=onlinepublication&amp;utm_content=q1-b&amp;c-efficiency-sb-fr&amp;utm_campaign=2026-int-fr-2026-int-fr-global-pr-cm-fy26-q1"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www.domino-printing.com/fr-fr/blog/codes-2d-gs1-dans-la-fabrication-de-materiaux-de-construction-la-conformite-sans-compromis?utm_medium=press_release&amp;utm_source=onlinepublication&amp;utm_content=q1-b&amp;c-efficiency-sb-fr&amp;utm_campaign=2026-int-fr-2026-int-fr-global-pr-cm-fy26-q1" TargetMode="External"/><Relationship Id="rId4" Type="http://schemas.openxmlformats.org/officeDocument/2006/relationships/footnotes" Target="footnotes.xml"/><Relationship Id="rId9" Type="http://schemas.openxmlformats.org/officeDocument/2006/relationships/hyperlink" Target="https://www.domino-printing.com/fr-fr/products/specialised-solution/domino-station-codage-jet-d-encre?utm_medium=press_release&amp;utm_source=onlinepublication&amp;utm_content=q1-b&amp;c-efficiency-sb-fr&amp;utm_campaign=2026-int-fr-2026-int-fr-global-pr-cm-fy26-q1"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1731</Words>
  <Characters>9869</Characters>
  <Application>Microsoft Office Word</Application>
  <DocSecurity>0</DocSecurity>
  <Lines>82</Lines>
  <Paragraphs>23</Paragraphs>
  <ScaleCrop>false</ScaleCrop>
  <Company/>
  <LinksUpToDate>false</LinksUpToDate>
  <CharactersWithSpaces>11577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230726_DominoBC efficiencySB_final draft_clean</dc:title>
  <dc:creator>Alex Byard</dc:creator>
  <cp:lastModifiedBy>Alex Byard</cp:lastModifiedBy>
  <cp:revision>2</cp:revision>
  <dcterms:created xsi:type="dcterms:W3CDTF">2026-10-15T11:01:00Z</dcterms:created>
  <dcterms:modified xsi:type="dcterms:W3CDTF">2026-10-15T11:01:00Z</dcterms:modified>
</cp:coreProperties>
</file>