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D4C2A" w14:textId="77777777" w:rsidR="002A0BE9" w:rsidRPr="002A0BE9" w:rsidRDefault="002A0BE9" w:rsidP="002A0BE9">
      <w:pPr>
        <w:spacing w:before="120" w:after="120" w:line="240" w:lineRule="auto"/>
        <w:rPr>
          <w:rFonts w:ascii="Noto Sans" w:eastAsia="Times New Roman" w:hAnsi="Noto Sans" w:cs="Noto Sans"/>
          <w:b/>
          <w:bCs/>
          <w:sz w:val="28"/>
          <w:szCs w:val="28"/>
          <w:lang w:val="es-ES"/>
        </w:rPr>
      </w:pPr>
      <w:r w:rsidRPr="002A0BE9">
        <w:rPr>
          <w:rFonts w:ascii="Noto Sans" w:eastAsia="Times New Roman" w:hAnsi="Noto Sans" w:cs="Noto Sans"/>
          <w:b/>
          <w:bCs/>
          <w:sz w:val="28"/>
          <w:szCs w:val="28"/>
          <w:lang w:val="es-ES"/>
        </w:rPr>
        <w:t>EPR de Packaging: de proveedor a socio estratégico de la marca</w:t>
      </w:r>
    </w:p>
    <w:p w14:paraId="04CFB470" w14:textId="77777777" w:rsidR="002A0BE9" w:rsidRPr="002A0BE9" w:rsidRDefault="002A0BE9" w:rsidP="002A0BE9">
      <w:pPr>
        <w:spacing w:before="120" w:after="120" w:line="240" w:lineRule="auto"/>
        <w:rPr>
          <w:rFonts w:ascii="Noto Sans" w:eastAsia="Times New Roman" w:hAnsi="Noto Sans" w:cs="Noto Sans"/>
          <w:i/>
          <w:iCs/>
          <w:sz w:val="22"/>
          <w:lang w:val="es-ES"/>
        </w:rPr>
      </w:pPr>
      <w:r w:rsidRPr="002A0BE9">
        <w:rPr>
          <w:rFonts w:ascii="Noto Sans" w:eastAsia="Times New Roman" w:hAnsi="Noto Sans" w:cs="Noto Sans"/>
          <w:i/>
          <w:iCs/>
          <w:sz w:val="22"/>
          <w:lang w:val="es-ES"/>
        </w:rPr>
        <w:t xml:space="preserve">Las normativas globales de sostenibilidad están transformando las estrategias del packaging de las marcas. </w:t>
      </w:r>
      <w:hyperlink r:id="rId6" w:history="1">
        <w:r w:rsidRPr="002A0BE9">
          <w:rPr>
            <w:rFonts w:ascii="Noto Sans" w:eastAsia="Times New Roman" w:hAnsi="Noto Sans" w:cs="Noto Sans"/>
            <w:i/>
            <w:iCs/>
            <w:color w:val="0000EE"/>
            <w:sz w:val="22"/>
            <w:u w:val="single"/>
            <w:lang w:val="es-ES"/>
          </w:rPr>
          <w:t>Los envases han evolucionado</w:t>
        </w:r>
      </w:hyperlink>
      <w:r w:rsidRPr="002A0BE9">
        <w:rPr>
          <w:rFonts w:ascii="Noto Sans" w:eastAsia="Times New Roman" w:hAnsi="Noto Sans" w:cs="Noto Sans"/>
          <w:i/>
          <w:iCs/>
          <w:sz w:val="22"/>
          <w:lang w:val="es-ES"/>
        </w:rPr>
        <w:t xml:space="preserve"> de meros protectores del producto a activos polifacéticos que, además de ofrecer protección y cumplimiento normativo, ofrecen también comunicación de marca y conexión con el cliente.</w:t>
      </w:r>
    </w:p>
    <w:p w14:paraId="2F49E39C" w14:textId="77777777" w:rsidR="002A0BE9" w:rsidRPr="002A0BE9" w:rsidRDefault="002A0BE9" w:rsidP="002A0BE9">
      <w:pPr>
        <w:spacing w:before="120" w:after="120" w:line="240" w:lineRule="auto"/>
        <w:rPr>
          <w:rFonts w:ascii="Noto Sans" w:eastAsia="Times New Roman" w:hAnsi="Noto Sans" w:cs="Noto Sans"/>
          <w:i/>
          <w:iCs/>
          <w:sz w:val="22"/>
          <w:lang w:val="es-ES"/>
        </w:rPr>
      </w:pPr>
      <w:r w:rsidRPr="002A0BE9">
        <w:rPr>
          <w:rFonts w:ascii="Noto Sans" w:eastAsia="Times New Roman" w:hAnsi="Noto Sans" w:cs="Noto Sans"/>
          <w:i/>
          <w:iCs/>
          <w:sz w:val="22"/>
          <w:lang w:val="es-ES"/>
        </w:rPr>
        <w:t>Con la introducción del Reglamento de Envases y Residuos de Envases (PPWR) de la UE y los sistemas locales de Responsabilidad Extendida del Productor (EPR), la reutilización y la reciclabilidad de los envases se han convertido en una cuestión clave para los propietarios de marcas.</w:t>
      </w:r>
    </w:p>
    <w:p w14:paraId="40ADB6FB" w14:textId="77777777" w:rsidR="002A0BE9" w:rsidRPr="002A0BE9" w:rsidRDefault="002A0BE9" w:rsidP="002A0BE9">
      <w:pPr>
        <w:spacing w:before="120" w:after="120" w:line="240" w:lineRule="auto"/>
        <w:rPr>
          <w:rFonts w:ascii="Noto Sans" w:eastAsia="Times New Roman" w:hAnsi="Noto Sans" w:cs="Noto Sans"/>
          <w:i/>
          <w:iCs/>
          <w:sz w:val="22"/>
          <w:lang w:val="es-ES"/>
        </w:rPr>
      </w:pPr>
      <w:r w:rsidRPr="002A0BE9">
        <w:rPr>
          <w:rFonts w:ascii="Noto Sans" w:eastAsia="Times New Roman" w:hAnsi="Noto Sans" w:cs="Noto Sans"/>
          <w:i/>
          <w:iCs/>
          <w:sz w:val="22"/>
          <w:lang w:val="es-ES"/>
        </w:rPr>
        <w:t xml:space="preserve">Mike Barry, </w:t>
      </w:r>
      <w:proofErr w:type="spellStart"/>
      <w:r w:rsidRPr="002A0BE9">
        <w:rPr>
          <w:rFonts w:ascii="Noto Sans" w:eastAsia="Times New Roman" w:hAnsi="Noto Sans" w:cs="Noto Sans"/>
          <w:i/>
          <w:iCs/>
          <w:sz w:val="22"/>
          <w:lang w:val="es-ES"/>
        </w:rPr>
        <w:t>Commercial</w:t>
      </w:r>
      <w:proofErr w:type="spellEnd"/>
      <w:r w:rsidRPr="002A0BE9">
        <w:rPr>
          <w:rFonts w:ascii="Noto Sans" w:eastAsia="Times New Roman" w:hAnsi="Noto Sans" w:cs="Noto Sans"/>
          <w:i/>
          <w:iCs/>
          <w:sz w:val="22"/>
          <w:lang w:val="es-ES"/>
        </w:rPr>
        <w:t xml:space="preserve"> </w:t>
      </w:r>
      <w:proofErr w:type="gramStart"/>
      <w:r w:rsidRPr="002A0BE9">
        <w:rPr>
          <w:rFonts w:ascii="Noto Sans" w:eastAsia="Times New Roman" w:hAnsi="Noto Sans" w:cs="Noto Sans"/>
          <w:i/>
          <w:iCs/>
          <w:sz w:val="22"/>
          <w:lang w:val="es-ES"/>
        </w:rPr>
        <w:t>Director</w:t>
      </w:r>
      <w:proofErr w:type="gramEnd"/>
      <w:r w:rsidRPr="002A0BE9">
        <w:rPr>
          <w:rFonts w:ascii="Noto Sans" w:eastAsia="Times New Roman" w:hAnsi="Noto Sans" w:cs="Noto Sans"/>
          <w:i/>
          <w:iCs/>
          <w:sz w:val="22"/>
          <w:lang w:val="es-ES"/>
        </w:rPr>
        <w:t>, Digital Printing, Domino, explica cómo los convertidores de etiquetas y envases pueden apoyar las iniciativas de "diseño para la reciclabilidad" de las marcas y el cumplimiento de la EPR.</w:t>
      </w:r>
    </w:p>
    <w:p w14:paraId="635196D2"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b/>
          <w:bCs/>
          <w:sz w:val="22"/>
          <w:lang w:val="es-ES"/>
        </w:rPr>
        <w:t>Prioridad de reciclaje</w:t>
      </w:r>
      <w:r w:rsidRPr="002A0BE9">
        <w:rPr>
          <w:rFonts w:ascii="Noto Sans" w:eastAsia="Times New Roman" w:hAnsi="Noto Sans" w:cs="Noto Sans"/>
          <w:sz w:val="22"/>
          <w:lang w:val="es-ES"/>
        </w:rPr>
        <w:t xml:space="preserve"> </w:t>
      </w:r>
    </w:p>
    <w:p w14:paraId="4C13D5BF"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 xml:space="preserve">Más de </w:t>
      </w:r>
      <w:hyperlink r:id="rId7" w:history="1">
        <w:r w:rsidRPr="002A0BE9">
          <w:rPr>
            <w:rFonts w:ascii="Noto Sans" w:eastAsia="Times New Roman" w:hAnsi="Noto Sans" w:cs="Noto Sans"/>
            <w:color w:val="0000EE"/>
            <w:sz w:val="22"/>
            <w:u w:val="single"/>
            <w:lang w:val="es-ES"/>
          </w:rPr>
          <w:t>70 países de todo el mundo</w:t>
        </w:r>
      </w:hyperlink>
      <w:r w:rsidRPr="002A0BE9">
        <w:rPr>
          <w:rFonts w:ascii="Noto Sans" w:eastAsia="Times New Roman" w:hAnsi="Noto Sans" w:cs="Noto Sans"/>
          <w:sz w:val="22"/>
          <w:lang w:val="es-ES"/>
        </w:rPr>
        <w:t xml:space="preserve"> aplican ahora sistemas de Responsabilidad Extendida del Productor (EPR) para los envases. Aunque el alcance de los marcos de EPR puede variar según la región, por lo general, el sistema exige que las marcas se registren como productores, notifiquen los volúmenes de envases y abonen las tasas de EPR. </w:t>
      </w:r>
    </w:p>
    <w:p w14:paraId="2FFBE9F6"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 xml:space="preserve">Algunos marcos de EPR incluyen el mandato de reducir los envases y mejorar la reciclabilidad. Otros requieren etiquetas de reciclaje más claras y estandarizadas para ayudar a los consumidores a desechar correctamente los envases, con el objetivo de eliminar la contaminación en los flujos de reciclaje y garantizar que todo el material reciclado sea apto para su reutilización en la economía circular. </w:t>
      </w:r>
    </w:p>
    <w:p w14:paraId="6E4B5995"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Eso es aplicable a todos los componentes del envase, incluidas las etiquetas, los sustratos y las tintas de impresión.</w:t>
      </w:r>
    </w:p>
    <w:p w14:paraId="5BB89373" w14:textId="77777777" w:rsidR="002A0BE9" w:rsidRPr="002A0BE9" w:rsidRDefault="002A0BE9" w:rsidP="002A0BE9">
      <w:pPr>
        <w:spacing w:before="120" w:after="120" w:line="240" w:lineRule="auto"/>
        <w:rPr>
          <w:rFonts w:ascii="Noto Sans" w:eastAsia="Times New Roman" w:hAnsi="Noto Sans" w:cs="Noto Sans"/>
          <w:b/>
          <w:bCs/>
          <w:sz w:val="22"/>
          <w:lang w:val="es-ES"/>
        </w:rPr>
      </w:pPr>
      <w:r w:rsidRPr="002A0BE9">
        <w:rPr>
          <w:rFonts w:ascii="Noto Sans" w:eastAsia="Times New Roman" w:hAnsi="Noto Sans" w:cs="Noto Sans"/>
          <w:b/>
          <w:bCs/>
          <w:sz w:val="22"/>
          <w:lang w:val="es-ES"/>
        </w:rPr>
        <w:t>Aumento de costes</w:t>
      </w:r>
    </w:p>
    <w:p w14:paraId="52FD9963"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 xml:space="preserve">Las estructuras de tarifas de la EPR suelen basarse en el peso de los envases o en el número de unidades, con métodos de cálculo que varían según la región. Algunos países han establecido estructuras </w:t>
      </w:r>
      <w:proofErr w:type="spellStart"/>
      <w:r w:rsidRPr="002A0BE9">
        <w:rPr>
          <w:rFonts w:ascii="Noto Sans" w:eastAsia="Times New Roman" w:hAnsi="Noto Sans" w:cs="Noto Sans"/>
          <w:sz w:val="22"/>
          <w:lang w:val="es-ES"/>
        </w:rPr>
        <w:t>ecomoduladas</w:t>
      </w:r>
      <w:proofErr w:type="spellEnd"/>
      <w:r w:rsidRPr="002A0BE9">
        <w:rPr>
          <w:rFonts w:ascii="Noto Sans" w:eastAsia="Times New Roman" w:hAnsi="Noto Sans" w:cs="Noto Sans"/>
          <w:sz w:val="22"/>
          <w:lang w:val="es-ES"/>
        </w:rPr>
        <w:t xml:space="preserve"> para premiar el diseño de envases y la elección de materiales más sostenibles, y para desincentivar la reducción de peso mediante el uso de materiales menos respetuosos con el medioambiente. </w:t>
      </w:r>
    </w:p>
    <w:p w14:paraId="65F25968"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 xml:space="preserve">En el Reino Unido, la </w:t>
      </w:r>
      <w:proofErr w:type="spellStart"/>
      <w:r w:rsidRPr="002A0BE9">
        <w:rPr>
          <w:rFonts w:ascii="Noto Sans" w:eastAsia="Times New Roman" w:hAnsi="Noto Sans" w:cs="Noto Sans"/>
          <w:sz w:val="22"/>
          <w:lang w:val="es-ES"/>
        </w:rPr>
        <w:t>ecomodulación</w:t>
      </w:r>
      <w:proofErr w:type="spellEnd"/>
      <w:r w:rsidRPr="002A0BE9">
        <w:rPr>
          <w:rFonts w:ascii="Noto Sans" w:eastAsia="Times New Roman" w:hAnsi="Noto Sans" w:cs="Noto Sans"/>
          <w:sz w:val="22"/>
          <w:lang w:val="es-ES"/>
        </w:rPr>
        <w:t xml:space="preserve"> clasifica los residuos de envases dentro de un sistema de semáforo basado en la </w:t>
      </w:r>
      <w:hyperlink r:id="rId8" w:history="1">
        <w:r w:rsidRPr="002A0BE9">
          <w:rPr>
            <w:rFonts w:ascii="Noto Sans" w:eastAsia="Times New Roman" w:hAnsi="Noto Sans" w:cs="Noto Sans"/>
            <w:color w:val="0000EE"/>
            <w:sz w:val="22"/>
            <w:u w:val="single"/>
            <w:lang w:val="es-ES"/>
          </w:rPr>
          <w:t>Metodología de evaluación de la reciclabilidad (RAM)</w:t>
        </w:r>
      </w:hyperlink>
      <w:r w:rsidRPr="002A0BE9">
        <w:rPr>
          <w:rFonts w:ascii="Noto Sans" w:eastAsia="Times New Roman" w:hAnsi="Noto Sans" w:cs="Noto Sans"/>
          <w:sz w:val="22"/>
          <w:lang w:val="es-ES"/>
        </w:rPr>
        <w:t xml:space="preserve">. Los materiales que se reciclan ampliamente se benefician de tarifas más bajas, mientras que aquellos que son más difíciles de reciclar conllevan costes más altos. Una mala elección de tinta o materiales puede degradar unos envases que, de otro modo, serían reciclables, lo que se traduce en tarifas más altas para las marcas. </w:t>
      </w:r>
    </w:p>
    <w:p w14:paraId="1D5CE0F2"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lastRenderedPageBreak/>
        <w:t xml:space="preserve">Al vincular el diseño de los envases y la elección de materiales directamente con los costes, el rendimiento en reciclabilidad y la competitividad en el mercado, está claro que la EPR es mucho más que un mero trámite para las marcas. </w:t>
      </w:r>
    </w:p>
    <w:p w14:paraId="0F2E688D"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b/>
          <w:bCs/>
          <w:sz w:val="22"/>
          <w:lang w:val="es-ES"/>
        </w:rPr>
        <w:t>Impulsar la reciclabilidad de los envases y reducir las tarifas</w:t>
      </w:r>
    </w:p>
    <w:p w14:paraId="026DAB63"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 xml:space="preserve">Los convertidores desempeñan un papel fundamental en el apoyo a la respuesta de los propietarios de marcas a medida que evolucionan las exigencias normativas, y también aportan soluciones de envases circulares y más sostenibles. </w:t>
      </w:r>
    </w:p>
    <w:p w14:paraId="4454B75A"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 xml:space="preserve">Más allá de los informes, la EPR y el reglamento PPWR sobre envases están impulsando a muchas marcas a rediseñar sus envases según los principios de </w:t>
      </w:r>
      <w:hyperlink r:id="rId9" w:history="1">
        <w:r w:rsidRPr="002A0BE9">
          <w:rPr>
            <w:rFonts w:ascii="Noto Sans" w:eastAsia="Times New Roman" w:hAnsi="Noto Sans" w:cs="Noto Sans"/>
            <w:color w:val="0563C1" w:themeColor="hyperlink"/>
            <w:sz w:val="22"/>
            <w:u w:val="single"/>
            <w:lang w:val="es-ES"/>
          </w:rPr>
          <w:t>diseño para la reciclabilidad</w:t>
        </w:r>
      </w:hyperlink>
      <w:r w:rsidRPr="002A0BE9">
        <w:rPr>
          <w:rFonts w:ascii="Noto Sans" w:eastAsia="Times New Roman" w:hAnsi="Noto Sans" w:cs="Noto Sans"/>
          <w:sz w:val="22"/>
          <w:lang w:val="es-ES"/>
        </w:rPr>
        <w:t xml:space="preserve">. Esto incluye el uso de materiales de envasado ampliamente reciclables y etiquetas más pequeñas y fáciles de retirar; así como tener en cuenta el </w:t>
      </w:r>
      <w:hyperlink r:id="rId10" w:anchor="head-optimizar-el-reciclaje-de-los-envases?utm_medium=non-paid&amp;utm_source=onlinepublication&amp;utm_content=pr-dp-EPR&amp;utm_campaign=2026-int-es-Global-PR-DP-FY26-Q2" w:history="1">
        <w:r w:rsidRPr="002A0BE9">
          <w:rPr>
            <w:rFonts w:ascii="Noto Sans" w:eastAsia="Times New Roman" w:hAnsi="Noto Sans" w:cs="Noto Sans"/>
            <w:color w:val="0563C1" w:themeColor="hyperlink"/>
            <w:sz w:val="22"/>
            <w:u w:val="single"/>
            <w:lang w:val="es-ES"/>
          </w:rPr>
          <w:t>impacto de las tintas en los procesos de reciclaje</w:t>
        </w:r>
      </w:hyperlink>
      <w:r w:rsidRPr="002A0BE9">
        <w:rPr>
          <w:rFonts w:ascii="Noto Sans" w:eastAsia="Times New Roman" w:hAnsi="Noto Sans" w:cs="Noto Sans"/>
          <w:sz w:val="22"/>
          <w:lang w:val="es-ES"/>
        </w:rPr>
        <w:t xml:space="preserve">. </w:t>
      </w:r>
    </w:p>
    <w:p w14:paraId="010ACEFE"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Los convertidores tienen una gran oportunidad de aportar valor a los clientes trabajando estrechamente con las marcas, los diseñadores de envases y los proveedores de materiales durante todo el proceso. Un buen conocimiento de las estructuras de tarifas de EPR para los envases locales y de las exigencias del PPWR, combinado con la experiencia en tecnología de impresión, tintas y sustratos, es una oportunidad de diferenciarse de otros. Los convertidores pueden ayudar a las marcas a crear envases y etiquetas rentables y conformes con las normativas, sin dejar de cumplir sus objetivos de marketing con colores fieles a la marca y una excelente calidad de impresión.</w:t>
      </w:r>
    </w:p>
    <w:p w14:paraId="16B3A1D8"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 xml:space="preserve">En un mundo donde los envases se someten ahora al mismo nivel de escrutinio que los propios productos, el acceso a información de alta calidad sobre la composición de los materiales se está convirtiendo en un factor diferenciador clave para las marcas a la hora de elegir un proveedor de envases. </w:t>
      </w:r>
    </w:p>
    <w:p w14:paraId="04549E76"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 xml:space="preserve">Un acceso sin complicaciones a la información (incluyendo las declaraciones sobre composición y peso de los materiales, así como la documentación de cumplimiento para tintas y adhesivos) puede transformar los informes de EPR de las marcas. Esta información puede servir como evidencia para las autoridades de vigilancia del mercado y para las auditorías internas de sostenibilidad; y, en la UE, puede ayudar a la creación de declaraciones de conformidad conforme al PPWR. </w:t>
      </w:r>
    </w:p>
    <w:p w14:paraId="3D4FBC51" w14:textId="77777777" w:rsidR="002A0BE9" w:rsidRPr="002A0BE9" w:rsidRDefault="002A0BE9" w:rsidP="002A0BE9">
      <w:pPr>
        <w:spacing w:before="120" w:after="120" w:line="240" w:lineRule="auto"/>
        <w:rPr>
          <w:rFonts w:ascii="Noto Sans" w:eastAsia="Times New Roman" w:hAnsi="Noto Sans" w:cs="Noto Sans"/>
          <w:b/>
          <w:bCs/>
          <w:sz w:val="22"/>
          <w:lang w:val="es-ES"/>
        </w:rPr>
      </w:pPr>
      <w:r w:rsidRPr="002A0BE9">
        <w:rPr>
          <w:rFonts w:ascii="Noto Sans" w:eastAsia="Times New Roman" w:hAnsi="Noto Sans" w:cs="Noto Sans"/>
          <w:b/>
          <w:bCs/>
          <w:sz w:val="22"/>
          <w:lang w:val="es-ES"/>
        </w:rPr>
        <w:t>La impresión digital como elemento fundamental</w:t>
      </w:r>
    </w:p>
    <w:p w14:paraId="36F84E66"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 xml:space="preserve">El enfoque en la reciclabilidad seguirá evolucionando, lo que exigirá nuevos niveles de flexibilidad y agilidad tanto a las marcas como a los convertidores. Dados los cambios constantes de las normativas de PPWR y EPR para envases y las nuevas iniciativas, como los </w:t>
      </w:r>
      <w:hyperlink r:id="rId11" w:history="1">
        <w:r w:rsidRPr="002A0BE9">
          <w:rPr>
            <w:rFonts w:ascii="Noto Sans" w:eastAsia="Times New Roman" w:hAnsi="Noto Sans" w:cs="Noto Sans"/>
            <w:color w:val="0000EE"/>
            <w:sz w:val="22"/>
            <w:u w:val="single"/>
            <w:lang w:val="es-ES"/>
          </w:rPr>
          <w:t>pasaportes digitales de produ</w:t>
        </w:r>
        <w:r w:rsidRPr="002A0BE9">
          <w:rPr>
            <w:rFonts w:ascii="Noto Sans" w:eastAsia="Times New Roman" w:hAnsi="Noto Sans" w:cs="Noto Sans"/>
            <w:color w:val="0000EE"/>
            <w:sz w:val="22"/>
            <w:u w:val="single"/>
            <w:lang w:val="es-ES"/>
          </w:rPr>
          <w:t>ctos</w:t>
        </w:r>
      </w:hyperlink>
      <w:r w:rsidRPr="002A0BE9">
        <w:rPr>
          <w:rFonts w:ascii="Noto Sans" w:eastAsia="Times New Roman" w:hAnsi="Noto Sans" w:cs="Noto Sans"/>
          <w:sz w:val="22"/>
          <w:lang w:val="es-ES"/>
        </w:rPr>
        <w:t xml:space="preserve">, previstas para los próximos años, las marcas deben ser capaces de adaptar rápidamente sus diseños de envases. </w:t>
      </w:r>
    </w:p>
    <w:p w14:paraId="6EE46E7A"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lastRenderedPageBreak/>
        <w:t xml:space="preserve">La tecnología de impresión digital es esencial para actualizar rápidamente los envases conforme a las nuevas normativas. Los convertidores que tienen acceso a impresoras digitales también pueden producir de forma eficiente tiradas de impresión más cortas de variantes de envases (por ejemplo, las que requieran símbolos de reciclaje regionales). </w:t>
      </w:r>
    </w:p>
    <w:p w14:paraId="4C6F2CD7"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La impresión digital también permite añadir elementos de datos variables, un requisito clave para los pasaportes digitales de productos. Las marcas utilizarán códigos QR impulsados por GS1, a menudo serializados, para compartir datos sobre materiales, reciclabilidad y el cumplimiento de los productos y los envases a través de una página web o una aplicación.</w:t>
      </w:r>
    </w:p>
    <w:p w14:paraId="60180AF2"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b/>
          <w:bCs/>
          <w:sz w:val="22"/>
          <w:lang w:val="es-ES"/>
        </w:rPr>
        <w:t xml:space="preserve">Prepararse para el futuro </w:t>
      </w:r>
    </w:p>
    <w:p w14:paraId="1568D3C3"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 xml:space="preserve">Aunque no hay planes para estandarizar la EPR a nivel de toda la UE, los gobiernos locales están trabajando para alinear sus sistemas con los criterios de reciclabilidad del PPWR, el cumplimiento de EuPIA y los límites de sustancias peligrosas. El sector (marcas, fabricantes y organismos de normalización como GS1) también está impulsando una mayor coherencia en los datos, los informes y el diseño de los envases. </w:t>
      </w:r>
    </w:p>
    <w:p w14:paraId="71909E41" w14:textId="77777777" w:rsidR="002A0BE9" w:rsidRPr="002A0BE9" w:rsidRDefault="002A0BE9" w:rsidP="002A0BE9">
      <w:pPr>
        <w:spacing w:before="120" w:after="120" w:line="240" w:lineRule="auto"/>
        <w:rPr>
          <w:rFonts w:ascii="Noto Sans" w:eastAsia="Times New Roman" w:hAnsi="Noto Sans" w:cs="Noto Sans"/>
          <w:sz w:val="22"/>
          <w:lang w:val="es-ES"/>
        </w:rPr>
      </w:pPr>
      <w:r w:rsidRPr="002A0BE9">
        <w:rPr>
          <w:rFonts w:ascii="Noto Sans" w:eastAsia="Times New Roman" w:hAnsi="Noto Sans" w:cs="Noto Sans"/>
          <w:sz w:val="22"/>
          <w:lang w:val="es-ES"/>
        </w:rPr>
        <w:t xml:space="preserve">Los envases se están convirtiendo en un activo regulado, un portador de datos y un factor de coste para las marcas. Ahora que las marcas están invirtiendo en envases para el futuro, los convertidores que conozcan bien las normativas locales de la EPR para envases y los avances en materiales reciclables, y que sean capaces de ofrecer documentación detallada, tendrán una ventaja competitiva. </w:t>
      </w:r>
    </w:p>
    <w:p w14:paraId="54140937" w14:textId="77777777" w:rsidR="002A0BE9" w:rsidRPr="002A0BE9" w:rsidRDefault="002A0BE9" w:rsidP="002A0BE9">
      <w:pPr>
        <w:spacing w:before="120" w:after="120" w:line="240" w:lineRule="auto"/>
        <w:rPr>
          <w:rFonts w:ascii="Noto Sans" w:eastAsia="Times New Roman" w:hAnsi="Noto Sans" w:cs="Noto Sans"/>
          <w:sz w:val="22"/>
        </w:rPr>
      </w:pPr>
      <w:r w:rsidRPr="002A0BE9">
        <w:rPr>
          <w:rFonts w:ascii="Noto Sans" w:eastAsia="Times New Roman" w:hAnsi="Noto Sans" w:cs="Noto Sans"/>
          <w:sz w:val="22"/>
          <w:lang w:val="es-ES"/>
        </w:rPr>
        <w:t>FIN</w:t>
      </w:r>
    </w:p>
    <w:p w14:paraId="17D5B465" w14:textId="04D6C445" w:rsidR="003A1909" w:rsidRPr="00613257" w:rsidRDefault="00D66051" w:rsidP="00613257">
      <w:pPr>
        <w:spacing w:line="240" w:lineRule="auto"/>
        <w:rPr>
          <w:rFonts w:ascii="Noto Sans" w:hAnsi="Noto Sans" w:cs="Noto Sans"/>
          <w:lang w:val="es-ES"/>
        </w:rPr>
      </w:pPr>
      <w:r w:rsidRPr="00613257">
        <w:rPr>
          <w:rFonts w:ascii="Noto Sans" w:eastAsia="Gill Sans" w:hAnsi="Noto Sans" w:cs="Noto Sans"/>
          <w:szCs w:val="18"/>
          <w:lang w:val="es-ES"/>
        </w:rPr>
        <w:br/>
      </w:r>
      <w:bookmarkStart w:id="0" w:name="_Hlk531088985"/>
      <w:r w:rsidR="00613257" w:rsidRPr="005708CC">
        <w:rPr>
          <w:rFonts w:ascii="Noto Sans" w:hAnsi="Noto Sans" w:cs="Noto Sans"/>
          <w:b/>
          <w:bCs/>
          <w:szCs w:val="18"/>
          <w:lang w:val="es"/>
        </w:rPr>
        <w:t>Política de responsabilidad</w:t>
      </w:r>
      <w:r w:rsidR="00613257">
        <w:rPr>
          <w:rFonts w:ascii="Noto Sans" w:hAnsi="Noto Sans" w:cs="Noto Sans"/>
          <w:b/>
          <w:szCs w:val="18"/>
          <w:lang w:val="es-ES"/>
        </w:rPr>
        <w:br/>
      </w:r>
      <w:r w:rsidR="0075177C">
        <w:rPr>
          <w:rFonts w:ascii="Noto Sans" w:hAnsi="Noto Sans" w:cs="Noto Sans"/>
          <w:b/>
          <w:bCs/>
          <w:szCs w:val="18"/>
          <w:lang w:val="es-ES"/>
        </w:rPr>
        <w:br/>
      </w:r>
      <w:r w:rsidR="00613257" w:rsidRPr="00160027">
        <w:rPr>
          <w:rFonts w:ascii="Noto Sans" w:hAnsi="Noto Sans" w:cs="Noto Sans"/>
          <w:b/>
          <w:bCs/>
          <w:szCs w:val="18"/>
          <w:lang w:val="es-ES"/>
        </w:rPr>
        <w:t>Tintas</w:t>
      </w:r>
      <w:r w:rsidR="0075177C">
        <w:rPr>
          <w:rFonts w:ascii="Noto Sans" w:hAnsi="Noto Sans" w:cs="Noto Sans"/>
          <w:b/>
          <w:bCs/>
          <w:szCs w:val="18"/>
          <w:lang w:val="es-ES"/>
        </w:rPr>
        <w:br/>
      </w:r>
      <w:r w:rsidR="00613257" w:rsidRPr="00160027">
        <w:rPr>
          <w:rFonts w:ascii="Noto Sans" w:hAnsi="Noto Sans" w:cs="Noto Sans"/>
          <w:szCs w:val="18"/>
          <w:lang w:val="es-ES"/>
        </w:rPr>
        <w:t xml:space="preserve">La información contenida en este documento no pretende sustituir a la realización de pruebas adecuadas a su uso y sus circunstancias particulares. Domino UK </w:t>
      </w:r>
      <w:proofErr w:type="spellStart"/>
      <w:r w:rsidR="00613257" w:rsidRPr="00160027">
        <w:rPr>
          <w:rFonts w:ascii="Noto Sans" w:hAnsi="Noto Sans" w:cs="Noto Sans"/>
          <w:szCs w:val="18"/>
          <w:lang w:val="es-ES"/>
        </w:rPr>
        <w:t>Limited</w:t>
      </w:r>
      <w:proofErr w:type="spellEnd"/>
      <w:r w:rsidR="00613257" w:rsidRPr="00160027">
        <w:rPr>
          <w:rFonts w:ascii="Noto Sans" w:hAnsi="Noto Sans" w:cs="Noto Sans"/>
          <w:szCs w:val="18"/>
          <w:lang w:val="es-ES"/>
        </w:rPr>
        <w:t xml:space="preserve">, así como las empresas del Grupo Domino, no se hacen responsables en ningún caso de la idoneidad de cualquier tinta utilizada en este documento para su aplicación particular. Este documento no forma parte de ningún tipo de contrato de términos y condiciones entre Domino y sus clientes; los avisos legales de limitación de responsabilidad v.1.0 de febrero de 2018 y los términos y condiciones generales de venta de Domino, y en concreto las garantías y responsabilidades que en ellos se recogen, se aplicarán a cualquier compra de producto por parte de los clientes. </w:t>
      </w:r>
      <w:r w:rsidR="0075177C">
        <w:rPr>
          <w:rFonts w:ascii="Noto Sans" w:hAnsi="Noto Sans" w:cs="Noto Sans"/>
          <w:b/>
          <w:bCs/>
          <w:szCs w:val="18"/>
          <w:lang w:val="es-ES"/>
        </w:rPr>
        <w:br/>
      </w:r>
      <w:r w:rsidR="0075177C">
        <w:rPr>
          <w:rFonts w:ascii="Noto Sans" w:hAnsi="Noto Sans" w:cs="Noto Sans"/>
          <w:b/>
          <w:bCs/>
          <w:szCs w:val="18"/>
          <w:lang w:val="es-ES"/>
        </w:rPr>
        <w:br/>
      </w:r>
      <w:r w:rsidR="00613257" w:rsidRPr="00160027">
        <w:rPr>
          <w:rFonts w:ascii="Noto Sans" w:hAnsi="Noto Sans" w:cs="Noto Sans"/>
          <w:b/>
          <w:bCs/>
          <w:szCs w:val="18"/>
          <w:lang w:val="es-ES"/>
        </w:rPr>
        <w:t>Información general</w:t>
      </w:r>
      <w:r w:rsidR="0075177C">
        <w:rPr>
          <w:rFonts w:ascii="Noto Sans" w:hAnsi="Noto Sans" w:cs="Noto Sans"/>
          <w:b/>
          <w:bCs/>
          <w:szCs w:val="18"/>
          <w:lang w:val="es-ES"/>
        </w:rPr>
        <w:br/>
      </w:r>
      <w:r w:rsidR="00B9208C" w:rsidRPr="00160027">
        <w:rPr>
          <w:rFonts w:ascii="Noto Sans" w:hAnsi="Noto Sans" w:cs="Noto Sans"/>
          <w:szCs w:val="18"/>
          <w:lang w:val="es-ES"/>
        </w:rPr>
        <w:t xml:space="preserve">La información contenida en este comunicado de prensa se considera verdadera y correcta en la fecha de publicación de Domino; los cambios en las circunstancias tras el momento de publicación pueden afectar a la precisión de </w:t>
      </w:r>
      <w:proofErr w:type="gramStart"/>
      <w:r w:rsidR="00B9208C" w:rsidRPr="00160027">
        <w:rPr>
          <w:rFonts w:ascii="Noto Sans" w:hAnsi="Noto Sans" w:cs="Noto Sans"/>
          <w:szCs w:val="18"/>
          <w:lang w:val="es-ES"/>
        </w:rPr>
        <w:t>la misma</w:t>
      </w:r>
      <w:proofErr w:type="gramEnd"/>
      <w:r w:rsidR="00B9208C" w:rsidRPr="00160027">
        <w:rPr>
          <w:rFonts w:ascii="Noto Sans" w:hAnsi="Noto Sans" w:cs="Noto Sans"/>
          <w:szCs w:val="18"/>
          <w:lang w:val="es-ES"/>
        </w:rPr>
        <w:t xml:space="preserve">. </w:t>
      </w:r>
      <w:r w:rsidR="00613257" w:rsidRPr="00160027">
        <w:rPr>
          <w:rFonts w:ascii="Noto Sans" w:hAnsi="Noto Sans" w:cs="Noto Sans"/>
          <w:szCs w:val="18"/>
          <w:lang w:val="es-ES"/>
        </w:rPr>
        <w:t xml:space="preserve">Todas las cifras y declaraciones de rendimiento que constan en este documento han sido obtenidas en condiciones específicas y solo pueden ser reproducidas en circunstancias similares. Deberá ponerse en contacto con su comercial de Domino para más información sobre productos </w:t>
      </w:r>
      <w:r w:rsidR="00613257" w:rsidRPr="00160027">
        <w:rPr>
          <w:rFonts w:ascii="Noto Sans" w:hAnsi="Noto Sans" w:cs="Noto Sans"/>
          <w:szCs w:val="18"/>
          <w:lang w:val="es-ES"/>
        </w:rPr>
        <w:lastRenderedPageBreak/>
        <w:t xml:space="preserve">concretos. Este documento no forma parte de ningún contrato de términos y condiciones entre usted y Domino. </w:t>
      </w:r>
      <w:r w:rsidR="0075177C">
        <w:rPr>
          <w:rFonts w:ascii="Noto Sans" w:hAnsi="Noto Sans" w:cs="Noto Sans"/>
          <w:b/>
          <w:bCs/>
          <w:szCs w:val="18"/>
          <w:lang w:val="es-ES"/>
        </w:rPr>
        <w:br/>
      </w:r>
      <w:r w:rsidR="0075177C">
        <w:rPr>
          <w:rFonts w:ascii="Noto Sans" w:hAnsi="Noto Sans" w:cs="Noto Sans"/>
          <w:b/>
          <w:bCs/>
          <w:szCs w:val="18"/>
          <w:lang w:val="es-ES"/>
        </w:rPr>
        <w:br/>
      </w:r>
      <w:r w:rsidR="00613257" w:rsidRPr="00160027">
        <w:rPr>
          <w:rFonts w:ascii="Noto Sans" w:hAnsi="Noto Sans" w:cs="Noto Sans"/>
          <w:b/>
          <w:bCs/>
          <w:szCs w:val="18"/>
          <w:lang w:val="es-ES"/>
        </w:rPr>
        <w:t>Imágenes</w:t>
      </w:r>
      <w:r w:rsidR="0075177C">
        <w:rPr>
          <w:rFonts w:ascii="Noto Sans" w:hAnsi="Noto Sans" w:cs="Noto Sans"/>
          <w:b/>
          <w:bCs/>
          <w:szCs w:val="18"/>
          <w:lang w:val="es-ES"/>
        </w:rPr>
        <w:br/>
      </w:r>
      <w:r w:rsidR="00613257" w:rsidRPr="00160027">
        <w:rPr>
          <w:rFonts w:ascii="Noto Sans" w:hAnsi="Noto Sans" w:cs="Noto Sans"/>
          <w:szCs w:val="18"/>
          <w:lang w:val="es-ES"/>
        </w:rPr>
        <w:t xml:space="preserve">Las imágenes pueden incluir extras opcionales o actualizaciones. La calidad de impresión puede variar en función de los consumibles, la impresora, los sustratos y otros factores. Las imágenes y las fotografías no forman parte de ningún contrato de términos y condiciones entre usted y Domino. </w:t>
      </w:r>
      <w:r w:rsidR="0075177C">
        <w:rPr>
          <w:rFonts w:ascii="Noto Sans" w:hAnsi="Noto Sans" w:cs="Noto Sans"/>
          <w:b/>
          <w:bCs/>
          <w:szCs w:val="18"/>
          <w:lang w:val="es-ES"/>
        </w:rPr>
        <w:br/>
      </w:r>
      <w:r w:rsidR="0075177C">
        <w:rPr>
          <w:rFonts w:ascii="Noto Sans" w:hAnsi="Noto Sans" w:cs="Noto Sans"/>
          <w:b/>
          <w:bCs/>
          <w:szCs w:val="18"/>
          <w:lang w:val="es-ES"/>
        </w:rPr>
        <w:br/>
      </w:r>
      <w:r w:rsidR="00613257" w:rsidRPr="00160027">
        <w:rPr>
          <w:rFonts w:ascii="Noto Sans" w:hAnsi="Noto Sans" w:cs="Noto Sans"/>
          <w:b/>
          <w:bCs/>
          <w:szCs w:val="18"/>
          <w:lang w:val="es-ES"/>
        </w:rPr>
        <w:t>Vídeos</w:t>
      </w:r>
      <w:r w:rsidR="0075177C">
        <w:rPr>
          <w:rFonts w:ascii="Noto Sans" w:hAnsi="Noto Sans" w:cs="Noto Sans"/>
          <w:b/>
          <w:bCs/>
          <w:szCs w:val="18"/>
          <w:lang w:val="es-ES"/>
        </w:rPr>
        <w:br/>
      </w:r>
      <w:r w:rsidR="00613257" w:rsidRPr="00160027">
        <w:rPr>
          <w:rFonts w:ascii="Noto Sans" w:hAnsi="Noto Sans" w:cs="Noto Sans"/>
          <w:szCs w:val="18"/>
          <w:lang w:val="es-ES"/>
        </w:rPr>
        <w:t>Este vídeo se facilita únicamente con fines ilustrativos y puede incluir extras opcionales. Las cifras de rendimiento se han obtenido en condiciones específicas; el rendimiento sobre el terreno puede variar. Algunos errores y tiempo de inactividad en las líneas de producción pueden ser inevitables. No hay nada en este vídeo que forme parte de ningún contrato entre usted y Domino.</w:t>
      </w:r>
      <w:r w:rsidR="0075177C" w:rsidRPr="0075177C">
        <w:rPr>
          <w:rFonts w:ascii="Noto Sans" w:hAnsi="Noto Sans" w:cs="Noto Sans"/>
          <w:b/>
          <w:bCs/>
          <w:szCs w:val="18"/>
          <w:lang w:val="es-ES"/>
        </w:rPr>
        <w:t xml:space="preserve"> </w:t>
      </w:r>
      <w:r w:rsidR="0075177C">
        <w:rPr>
          <w:rFonts w:ascii="Noto Sans" w:hAnsi="Noto Sans" w:cs="Noto Sans"/>
          <w:b/>
          <w:bCs/>
          <w:szCs w:val="18"/>
          <w:lang w:val="es-ES"/>
        </w:rPr>
        <w:br/>
      </w:r>
      <w:r w:rsidR="00613257">
        <w:rPr>
          <w:rFonts w:ascii="Noto Sans" w:hAnsi="Noto Sans" w:cs="Noto Sans"/>
          <w:b/>
          <w:bCs/>
          <w:szCs w:val="18"/>
          <w:lang w:val="es-ES"/>
        </w:rPr>
        <w:br/>
      </w:r>
      <w:bookmarkEnd w:id="0"/>
      <w:r w:rsidR="00613257" w:rsidRPr="005708CC">
        <w:rPr>
          <w:rFonts w:ascii="Noto Sans" w:eastAsia="Gill Sans" w:hAnsi="Noto Sans" w:cs="Noto Sans"/>
          <w:b/>
          <w:bCs/>
          <w:szCs w:val="18"/>
          <w:lang w:val="es"/>
        </w:rPr>
        <w:t>Notas para los editores:</w:t>
      </w:r>
      <w:r w:rsidR="00613257">
        <w:rPr>
          <w:rFonts w:ascii="Noto Sans" w:eastAsia="Gill Sans" w:hAnsi="Noto Sans" w:cs="Noto Sans"/>
          <w:b/>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b/>
          <w:bCs/>
          <w:szCs w:val="18"/>
          <w:lang w:val="es"/>
        </w:rPr>
        <w:t>Acerca de Domino</w:t>
      </w:r>
      <w:r w:rsidR="00613257">
        <w:rPr>
          <w:rFonts w:ascii="Noto Sans" w:eastAsia="Gill Sans" w:hAnsi="Noto Sans" w:cs="Noto Sans"/>
          <w:b/>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szCs w:val="18"/>
          <w:lang w:val="es-ES"/>
        </w:rPr>
        <w:t xml:space="preserve">Digital Printing </w:t>
      </w:r>
      <w:proofErr w:type="spellStart"/>
      <w:r w:rsidR="00613257" w:rsidRPr="005708CC">
        <w:rPr>
          <w:rFonts w:ascii="Noto Sans" w:eastAsia="Gill Sans" w:hAnsi="Noto Sans" w:cs="Noto Sans"/>
          <w:szCs w:val="18"/>
          <w:lang w:val="es-ES"/>
        </w:rPr>
        <w:t>Solutions</w:t>
      </w:r>
      <w:proofErr w:type="spellEnd"/>
      <w:r w:rsidR="00613257" w:rsidRPr="005708CC">
        <w:rPr>
          <w:rFonts w:ascii="Noto Sans" w:eastAsia="Gill Sans" w:hAnsi="Noto Sans" w:cs="Noto Sans"/>
          <w:szCs w:val="18"/>
          <w:lang w:val="es-ES"/>
        </w:rPr>
        <w:t xml:space="preserve"> es una división de Domino Printing </w:t>
      </w:r>
      <w:proofErr w:type="spellStart"/>
      <w:r w:rsidR="00613257" w:rsidRPr="005708CC">
        <w:rPr>
          <w:rFonts w:ascii="Noto Sans" w:eastAsia="Gill Sans" w:hAnsi="Noto Sans" w:cs="Noto Sans"/>
          <w:szCs w:val="18"/>
          <w:lang w:val="es-ES"/>
        </w:rPr>
        <w:t>Sciences</w:t>
      </w:r>
      <w:proofErr w:type="spellEnd"/>
      <w:r w:rsidR="00613257" w:rsidRPr="005708CC">
        <w:rPr>
          <w:rFonts w:ascii="Noto Sans" w:eastAsia="Gill Sans" w:hAnsi="Noto Sans" w:cs="Noto Sans"/>
          <w:szCs w:val="18"/>
          <w:lang w:val="es-ES"/>
        </w:rPr>
        <w:t>. La empresa, fundada en 1978, goza de una excelente reputación a nivel mundial por el desarrollo y la fabricación de tecnologías de impresión digital de inyección de tinta, así como por sus servicios postventa y de atención al cliente a nivel internacional.  Entre sus servicios destinados al sector de la impresión comercial se incluyen las impresoras digitales de inyección de tinta y los sistemas de control diseñados para ofrecer soluciones en una amplia gama de aplicaciones de etiquetado e impresión de datos variables.</w:t>
      </w:r>
      <w:r w:rsidR="00613257">
        <w:rPr>
          <w:rFonts w:ascii="Noto Sans" w:eastAsia="Gill Sans" w:hAnsi="Noto Sans" w:cs="Noto Sans"/>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szCs w:val="18"/>
          <w:lang w:val="es-ES"/>
        </w:rPr>
        <w:t>Todas las impresoras de Domino se han diseñado para satisfacer las exigencias de gran velocidad y alta calidad de los entornos de impresión comercial, y aportar nuevas capacidades a numerosos sectores entre los que figuran los del etiquetado, publicaciones e impresión de seguridad, transacciones, conversión de embalajes, tarjetas de plástico, tickets, juegos de cartas y formularios, así como las industrias del correo directo y postal.</w:t>
      </w:r>
      <w:r w:rsidR="00613257">
        <w:rPr>
          <w:rFonts w:ascii="Noto Sans" w:eastAsia="Gill Sans" w:hAnsi="Noto Sans" w:cs="Noto Sans"/>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szCs w:val="18"/>
          <w:lang w:val="es"/>
        </w:rPr>
        <w:t xml:space="preserve">Domino cuenta con más de 3000 colaboradores en todo el mundo y vende a más de 120 países a través de una red global de 29 filiales y más de 200 distribuidores. Domino cuenta con fábricas en Alemania, China, </w:t>
      </w:r>
      <w:proofErr w:type="gramStart"/>
      <w:r w:rsidR="00613257" w:rsidRPr="005708CC">
        <w:rPr>
          <w:rFonts w:ascii="Noto Sans" w:eastAsia="Gill Sans" w:hAnsi="Noto Sans" w:cs="Noto Sans"/>
          <w:szCs w:val="18"/>
          <w:lang w:val="es"/>
        </w:rPr>
        <w:t>EE.UU.</w:t>
      </w:r>
      <w:proofErr w:type="gramEnd"/>
      <w:r w:rsidR="00613257" w:rsidRPr="005708CC">
        <w:rPr>
          <w:rFonts w:ascii="Noto Sans" w:eastAsia="Gill Sans" w:hAnsi="Noto Sans" w:cs="Noto Sans"/>
          <w:szCs w:val="18"/>
          <w:lang w:val="es"/>
        </w:rPr>
        <w:t>, India, Reino Unido, Suecia y Suiza.</w:t>
      </w:r>
      <w:r w:rsidR="00613257">
        <w:rPr>
          <w:rFonts w:ascii="Noto Sans" w:eastAsia="Gill Sans" w:hAnsi="Noto Sans" w:cs="Noto Sans"/>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szCs w:val="18"/>
          <w:lang w:val="es"/>
        </w:rPr>
        <w:t xml:space="preserve">Domino pasó a ser una división autónoma de Brother Industries Ltd. el 11 de junio de 2015. </w:t>
      </w:r>
      <w:r w:rsidR="00613257">
        <w:rPr>
          <w:rFonts w:ascii="Noto Sans" w:eastAsia="Gill Sans" w:hAnsi="Noto Sans" w:cs="Noto Sans"/>
          <w:szCs w:val="18"/>
          <w:lang w:val="es-ES"/>
        </w:rPr>
        <w:br/>
      </w:r>
      <w:r w:rsidR="00613257">
        <w:rPr>
          <w:rFonts w:ascii="Noto Sans" w:eastAsia="Gill Sans" w:hAnsi="Noto Sans" w:cs="Noto Sans"/>
          <w:szCs w:val="18"/>
          <w:lang w:val="es-ES"/>
        </w:rPr>
        <w:br/>
      </w:r>
      <w:r w:rsidR="00613257" w:rsidRPr="005708CC">
        <w:rPr>
          <w:rFonts w:ascii="Noto Sans" w:eastAsia="Gill Sans" w:hAnsi="Noto Sans" w:cs="Noto Sans"/>
          <w:szCs w:val="18"/>
          <w:lang w:val="es"/>
        </w:rPr>
        <w:t xml:space="preserve">Para más información sobre Domino, visite </w:t>
      </w:r>
      <w:hyperlink r:id="rId12">
        <w:r w:rsidR="00613257" w:rsidRPr="005708CC">
          <w:rPr>
            <w:rFonts w:ascii="Noto Sans" w:eastAsia="Gill Sans" w:hAnsi="Noto Sans" w:cs="Noto Sans"/>
            <w:szCs w:val="18"/>
            <w:u w:val="single"/>
            <w:lang w:val="es"/>
          </w:rPr>
          <w:t>www.domino-spain.com</w:t>
        </w:r>
      </w:hyperlink>
      <w:r w:rsidR="00613257" w:rsidRPr="005708CC">
        <w:rPr>
          <w:rFonts w:ascii="Noto Sans" w:eastAsia="Gill Sans" w:hAnsi="Noto Sans" w:cs="Noto Sans"/>
          <w:szCs w:val="18"/>
          <w:lang w:val="es"/>
        </w:rPr>
        <w:t xml:space="preserve">. </w:t>
      </w:r>
      <w:r w:rsidR="00613257">
        <w:rPr>
          <w:rFonts w:ascii="Noto Sans" w:eastAsia="Gill Sans" w:hAnsi="Noto Sans" w:cs="Noto Sans"/>
          <w:szCs w:val="18"/>
          <w:lang w:val="es-ES"/>
        </w:rPr>
        <w:br/>
      </w:r>
      <w:r w:rsidR="00613257" w:rsidRPr="00CC4435">
        <w:rPr>
          <w:rFonts w:ascii="Noto Sans" w:eastAsia="Gill Sans" w:hAnsi="Noto Sans" w:cs="Noto Sans"/>
          <w:szCs w:val="18"/>
          <w:lang w:val="es-ES"/>
        </w:rPr>
        <w:br/>
      </w:r>
      <w:r w:rsidR="00613257" w:rsidRPr="00CC4435">
        <w:rPr>
          <w:rFonts w:ascii="Noto Sans" w:hAnsi="Noto Sans" w:cs="Noto Sans"/>
          <w:szCs w:val="18"/>
          <w:lang w:val="es-ES"/>
        </w:rPr>
        <w:br/>
      </w:r>
      <w:r w:rsidR="00613257" w:rsidRPr="00CC4435">
        <w:rPr>
          <w:rFonts w:ascii="Noto Sans" w:eastAsia="Gill Sans" w:hAnsi="Noto Sans" w:cs="Noto Sans"/>
          <w:b/>
          <w:bCs/>
          <w:szCs w:val="18"/>
          <w:lang w:val="es"/>
        </w:rPr>
        <w:t xml:space="preserve">Para </w:t>
      </w:r>
      <w:r w:rsidR="00295109" w:rsidRPr="00CC4435">
        <w:rPr>
          <w:rFonts w:ascii="Noto Sans" w:eastAsia="Gill Sans" w:hAnsi="Noto Sans" w:cs="Noto Sans"/>
          <w:b/>
          <w:bCs/>
          <w:szCs w:val="18"/>
          <w:lang w:val="es"/>
        </w:rPr>
        <w:t>más</w:t>
      </w:r>
      <w:r w:rsidR="00613257" w:rsidRPr="00CC4435">
        <w:rPr>
          <w:rFonts w:ascii="Noto Sans" w:eastAsia="Gill Sans" w:hAnsi="Noto Sans" w:cs="Noto Sans"/>
          <w:b/>
          <w:bCs/>
          <w:szCs w:val="18"/>
          <w:lang w:val="es"/>
        </w:rPr>
        <w:t xml:space="preserve"> </w:t>
      </w:r>
      <w:r w:rsidR="00295109" w:rsidRPr="00CC4435">
        <w:rPr>
          <w:rFonts w:ascii="Noto Sans" w:eastAsia="Gill Sans" w:hAnsi="Noto Sans" w:cs="Noto Sans"/>
          <w:b/>
          <w:bCs/>
          <w:szCs w:val="18"/>
          <w:lang w:val="es"/>
        </w:rPr>
        <w:t>información</w:t>
      </w:r>
      <w:r w:rsidR="00613257" w:rsidRPr="00CC4435">
        <w:rPr>
          <w:rFonts w:ascii="Noto Sans" w:eastAsia="Gill Sans" w:hAnsi="Noto Sans" w:cs="Noto Sans"/>
          <w:b/>
          <w:bCs/>
          <w:szCs w:val="18"/>
          <w:lang w:val="es"/>
        </w:rPr>
        <w:t xml:space="preserve"> contacte:</w:t>
      </w:r>
      <w:r w:rsidR="00613257" w:rsidRPr="00CC4435">
        <w:rPr>
          <w:rFonts w:ascii="Noto Sans" w:eastAsia="Gill Sans" w:hAnsi="Noto Sans" w:cs="Noto Sans"/>
          <w:szCs w:val="18"/>
          <w:lang w:val="es-ES"/>
        </w:rPr>
        <w:br/>
      </w:r>
      <w:r w:rsidR="00613257" w:rsidRPr="00295109">
        <w:rPr>
          <w:rFonts w:ascii="Noto Sans" w:hAnsi="Noto Sans" w:cs="Noto Sans"/>
          <w:szCs w:val="18"/>
          <w:lang w:val="es-ES"/>
        </w:rPr>
        <w:br/>
      </w:r>
      <w:r w:rsidR="00613257" w:rsidRPr="00CC4435">
        <w:rPr>
          <w:rFonts w:ascii="Noto Sans" w:hAnsi="Noto Sans" w:cs="Noto Sans"/>
          <w:szCs w:val="18"/>
          <w:lang w:val="es-ES"/>
        </w:rPr>
        <w:t>Kathrin Farr</w:t>
      </w:r>
      <w:r w:rsidR="00613257" w:rsidRPr="00CC4435">
        <w:rPr>
          <w:rFonts w:ascii="Noto Sans" w:hAnsi="Noto Sans" w:cs="Noto Sans"/>
          <w:szCs w:val="18"/>
          <w:lang w:val="es-ES"/>
        </w:rPr>
        <w:br/>
      </w:r>
      <w:r w:rsidR="00613257" w:rsidRPr="00CC4435">
        <w:rPr>
          <w:rFonts w:ascii="Noto Sans" w:hAnsi="Noto Sans" w:cs="Noto Sans"/>
          <w:szCs w:val="18"/>
          <w:lang w:val="es"/>
        </w:rPr>
        <w:t xml:space="preserve">Ejecutiva de contenido y Redactora  </w:t>
      </w:r>
      <w:r w:rsidR="00613257" w:rsidRPr="00CC4435">
        <w:rPr>
          <w:rFonts w:ascii="Noto Sans" w:hAnsi="Noto Sans" w:cs="Noto Sans"/>
          <w:szCs w:val="18"/>
          <w:lang w:val="es-ES"/>
        </w:rPr>
        <w:br/>
      </w:r>
      <w:r w:rsidR="00613257" w:rsidRPr="00CC4435">
        <w:rPr>
          <w:rFonts w:ascii="Noto Sans" w:hAnsi="Noto Sans" w:cs="Noto Sans"/>
          <w:szCs w:val="18"/>
          <w:lang w:val="es"/>
        </w:rPr>
        <w:t xml:space="preserve">Domino Printing </w:t>
      </w:r>
      <w:proofErr w:type="spellStart"/>
      <w:r w:rsidR="00613257" w:rsidRPr="00CC4435">
        <w:rPr>
          <w:rFonts w:ascii="Noto Sans" w:hAnsi="Noto Sans" w:cs="Noto Sans"/>
          <w:szCs w:val="18"/>
          <w:lang w:val="es"/>
        </w:rPr>
        <w:t>Sciences</w:t>
      </w:r>
      <w:proofErr w:type="spellEnd"/>
      <w:r w:rsidR="00613257" w:rsidRPr="00CC4435">
        <w:rPr>
          <w:rFonts w:ascii="Noto Sans" w:hAnsi="Noto Sans" w:cs="Noto Sans"/>
          <w:szCs w:val="18"/>
          <w:lang w:val="es-ES"/>
        </w:rPr>
        <w:br/>
        <w:t>Tel.: +44 (0) 1954 782551</w:t>
      </w:r>
      <w:r w:rsidR="00613257" w:rsidRPr="00CC4435">
        <w:rPr>
          <w:rFonts w:ascii="Noto Sans" w:hAnsi="Noto Sans" w:cs="Noto Sans"/>
          <w:szCs w:val="18"/>
          <w:lang w:val="es-ES"/>
        </w:rPr>
        <w:br/>
      </w:r>
      <w:hyperlink r:id="rId13" w:history="1">
        <w:r w:rsidR="00613257" w:rsidRPr="00CC4435">
          <w:rPr>
            <w:rStyle w:val="Hyperlink"/>
            <w:rFonts w:ascii="Noto Sans" w:hAnsi="Noto Sans" w:cs="Noto Sans"/>
            <w:szCs w:val="18"/>
            <w:lang w:val="es-ES"/>
          </w:rPr>
          <w:t>Kathrin.Farr@domino-uk.com</w:t>
        </w:r>
      </w:hyperlink>
      <w:r w:rsidR="00613257" w:rsidRPr="00CC4435">
        <w:rPr>
          <w:rFonts w:ascii="Noto Sans" w:hAnsi="Noto Sans" w:cs="Noto Sans"/>
          <w:szCs w:val="18"/>
          <w:lang w:val="es-ES"/>
        </w:rPr>
        <w:t xml:space="preserve"> </w:t>
      </w:r>
      <w:r w:rsidR="00613257" w:rsidRPr="00CC4435">
        <w:rPr>
          <w:rFonts w:ascii="Noto Sans" w:hAnsi="Noto Sans" w:cs="Noto Sans"/>
          <w:szCs w:val="18"/>
          <w:lang w:val="es-ES"/>
        </w:rPr>
        <w:br/>
      </w:r>
      <w:r w:rsidR="00613257" w:rsidRPr="00CC4435">
        <w:rPr>
          <w:rFonts w:ascii="Noto Sans" w:hAnsi="Noto Sans" w:cs="Noto Sans"/>
          <w:szCs w:val="18"/>
          <w:lang w:val="es-ES"/>
        </w:rPr>
        <w:br/>
      </w:r>
      <w:r w:rsidR="006A35FF" w:rsidRPr="006A35FF">
        <w:rPr>
          <w:rFonts w:ascii="Noto Sans" w:hAnsi="Noto Sans" w:cs="Noto Sans"/>
          <w:szCs w:val="18"/>
          <w:lang w:val="es-ES"/>
        </w:rPr>
        <w:t xml:space="preserve">Jade Taylor-Salazar </w:t>
      </w:r>
      <w:r w:rsidR="00901C32" w:rsidRPr="00901C32">
        <w:rPr>
          <w:rFonts w:ascii="Noto Sans" w:hAnsi="Noto Sans" w:cs="Noto Sans"/>
          <w:szCs w:val="18"/>
          <w:lang w:val="es-ES"/>
        </w:rPr>
        <w:br/>
      </w:r>
      <w:r w:rsidR="00901C32" w:rsidRPr="00CC4435">
        <w:rPr>
          <w:rFonts w:ascii="Noto Sans" w:hAnsi="Noto Sans" w:cs="Noto Sans"/>
          <w:szCs w:val="18"/>
          <w:lang w:val="es"/>
        </w:rPr>
        <w:t xml:space="preserve">RR. PP. y </w:t>
      </w:r>
      <w:proofErr w:type="gramStart"/>
      <w:r w:rsidR="00901C32" w:rsidRPr="00CC4435">
        <w:rPr>
          <w:rFonts w:ascii="Noto Sans" w:hAnsi="Noto Sans" w:cs="Noto Sans"/>
          <w:szCs w:val="18"/>
          <w:lang w:val="es"/>
        </w:rPr>
        <w:t>Directora</w:t>
      </w:r>
      <w:proofErr w:type="gramEnd"/>
      <w:r w:rsidR="00901C32" w:rsidRPr="00CC4435">
        <w:rPr>
          <w:rFonts w:ascii="Noto Sans" w:hAnsi="Noto Sans" w:cs="Noto Sans"/>
          <w:szCs w:val="18"/>
          <w:lang w:val="es"/>
        </w:rPr>
        <w:t xml:space="preserve"> de contenido</w:t>
      </w:r>
      <w:r w:rsidR="00901C32" w:rsidRPr="00901C32">
        <w:rPr>
          <w:rFonts w:ascii="Noto Sans" w:hAnsi="Noto Sans" w:cs="Noto Sans"/>
          <w:szCs w:val="18"/>
          <w:lang w:val="es-ES"/>
        </w:rPr>
        <w:br/>
      </w:r>
      <w:r w:rsidR="006A35FF" w:rsidRPr="006A35FF">
        <w:rPr>
          <w:rFonts w:ascii="Noto Sans" w:hAnsi="Noto Sans" w:cs="Noto Sans"/>
          <w:szCs w:val="18"/>
          <w:lang w:val="es-ES"/>
        </w:rPr>
        <w:lastRenderedPageBreak/>
        <w:t xml:space="preserve">Domino Printing </w:t>
      </w:r>
      <w:proofErr w:type="spellStart"/>
      <w:r w:rsidR="006A35FF" w:rsidRPr="006A35FF">
        <w:rPr>
          <w:rFonts w:ascii="Noto Sans" w:hAnsi="Noto Sans" w:cs="Noto Sans"/>
          <w:szCs w:val="18"/>
          <w:lang w:val="es-ES"/>
        </w:rPr>
        <w:t>Sciences</w:t>
      </w:r>
      <w:proofErr w:type="spellEnd"/>
      <w:r w:rsidR="006A35FF" w:rsidRPr="006A35FF">
        <w:rPr>
          <w:rFonts w:ascii="Noto Sans" w:hAnsi="Noto Sans" w:cs="Noto Sans"/>
          <w:szCs w:val="18"/>
          <w:lang w:val="es-ES"/>
        </w:rPr>
        <w:t xml:space="preserve"> </w:t>
      </w:r>
      <w:r w:rsidR="006A35FF" w:rsidRPr="006A35FF">
        <w:rPr>
          <w:rFonts w:ascii="Noto Sans" w:hAnsi="Noto Sans" w:cs="Noto Sans"/>
          <w:szCs w:val="18"/>
          <w:lang w:val="es-ES"/>
        </w:rPr>
        <w:br/>
        <w:t>Tel: +44 (0) 1954 778780</w:t>
      </w:r>
      <w:r w:rsidR="006A35FF" w:rsidRPr="006A35FF">
        <w:rPr>
          <w:rFonts w:ascii="Noto Sans" w:hAnsi="Noto Sans" w:cs="Noto Sans"/>
          <w:szCs w:val="18"/>
          <w:lang w:val="es-ES"/>
        </w:rPr>
        <w:br/>
      </w:r>
      <w:hyperlink r:id="rId14" w:history="1">
        <w:r w:rsidR="006A35FF" w:rsidRPr="006A35FF">
          <w:rPr>
            <w:rStyle w:val="Hyperlink"/>
            <w:rFonts w:ascii="Noto Sans" w:hAnsi="Noto Sans" w:cs="Noto Sans"/>
            <w:szCs w:val="18"/>
            <w:lang w:val="es-ES"/>
          </w:rPr>
          <w:t>Jade.Taylor-Salazar@domino-uk.com</w:t>
        </w:r>
      </w:hyperlink>
    </w:p>
    <w:sectPr w:rsidR="003A1909" w:rsidRPr="00613257" w:rsidSect="000F6D0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A698E" w14:textId="77777777" w:rsidR="002C4639" w:rsidRDefault="002C4639" w:rsidP="00785717">
      <w:pPr>
        <w:spacing w:line="240" w:lineRule="auto"/>
      </w:pPr>
      <w:r>
        <w:separator/>
      </w:r>
    </w:p>
  </w:endnote>
  <w:endnote w:type="continuationSeparator" w:id="0">
    <w:p w14:paraId="1AC4233D" w14:textId="77777777" w:rsidR="002C4639" w:rsidRDefault="002C4639"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78FF" w:usb2="08000029" w:usb3="00000000" w:csb0="0000019F" w:csb1="00000000"/>
  </w:font>
  <w:font w:name="Gill Sans">
    <w:panose1 w:val="00000000000000000000"/>
    <w:charset w:val="00"/>
    <w:family w:val="swiss"/>
    <w:notTrueType/>
    <w:pitch w:val="variable"/>
    <w:sig w:usb0="A00000AF" w:usb1="5000205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8E67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0AAA" w14:textId="77777777" w:rsidR="00785717" w:rsidRDefault="000F6D00" w:rsidP="00785717">
    <w:pPr>
      <w:pStyle w:val="Footer"/>
    </w:pPr>
    <w:r>
      <w:rPr>
        <w:noProof/>
      </w:rPr>
      <w:drawing>
        <wp:anchor distT="0" distB="0" distL="114300" distR="114300" simplePos="0" relativeHeight="251659264" behindDoc="0" locked="0" layoutInCell="1" allowOverlap="1" wp14:anchorId="1775B516" wp14:editId="19B0C3FE">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2D5BA730" wp14:editId="3029B3F4">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044F"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26EA1" w14:textId="77777777" w:rsidR="002C4639" w:rsidRDefault="002C4639" w:rsidP="00785717">
      <w:pPr>
        <w:spacing w:line="240" w:lineRule="auto"/>
      </w:pPr>
      <w:r>
        <w:separator/>
      </w:r>
    </w:p>
  </w:footnote>
  <w:footnote w:type="continuationSeparator" w:id="0">
    <w:p w14:paraId="40B8AEF3" w14:textId="77777777" w:rsidR="002C4639" w:rsidRDefault="002C4639"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10A4"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7C67F" w14:textId="77777777" w:rsidR="000F6D00" w:rsidRDefault="002766D9">
    <w:pPr>
      <w:pStyle w:val="Header"/>
    </w:pPr>
    <w:r>
      <w:rPr>
        <w:noProof/>
      </w:rPr>
      <w:drawing>
        <wp:anchor distT="0" distB="0" distL="114300" distR="114300" simplePos="0" relativeHeight="251661312" behindDoc="0" locked="0" layoutInCell="1" allowOverlap="1" wp14:anchorId="1D2C7C59" wp14:editId="4EAB29F7">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F1EA2"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32"/>
    <w:rsid w:val="0002201E"/>
    <w:rsid w:val="00036EF0"/>
    <w:rsid w:val="000F6D00"/>
    <w:rsid w:val="001D743C"/>
    <w:rsid w:val="002202E3"/>
    <w:rsid w:val="00240801"/>
    <w:rsid w:val="002766D9"/>
    <w:rsid w:val="00295109"/>
    <w:rsid w:val="002A0BE9"/>
    <w:rsid w:val="002B6890"/>
    <w:rsid w:val="002C4639"/>
    <w:rsid w:val="00323DC5"/>
    <w:rsid w:val="00372E92"/>
    <w:rsid w:val="003A1909"/>
    <w:rsid w:val="005272B1"/>
    <w:rsid w:val="005524DB"/>
    <w:rsid w:val="005741C7"/>
    <w:rsid w:val="005E6C45"/>
    <w:rsid w:val="00613257"/>
    <w:rsid w:val="00647055"/>
    <w:rsid w:val="00660F46"/>
    <w:rsid w:val="00680977"/>
    <w:rsid w:val="006A1A38"/>
    <w:rsid w:val="006A35FF"/>
    <w:rsid w:val="0075177C"/>
    <w:rsid w:val="00785717"/>
    <w:rsid w:val="00791A4F"/>
    <w:rsid w:val="008220B7"/>
    <w:rsid w:val="00823B77"/>
    <w:rsid w:val="008916A8"/>
    <w:rsid w:val="008B6461"/>
    <w:rsid w:val="008E5E0C"/>
    <w:rsid w:val="008F3E38"/>
    <w:rsid w:val="00901C32"/>
    <w:rsid w:val="00931996"/>
    <w:rsid w:val="0095171A"/>
    <w:rsid w:val="009A1716"/>
    <w:rsid w:val="009A1DEC"/>
    <w:rsid w:val="009D6280"/>
    <w:rsid w:val="00A34918"/>
    <w:rsid w:val="00AB11DA"/>
    <w:rsid w:val="00AF1A46"/>
    <w:rsid w:val="00B23C3C"/>
    <w:rsid w:val="00B51122"/>
    <w:rsid w:val="00B546C5"/>
    <w:rsid w:val="00B7088D"/>
    <w:rsid w:val="00B85689"/>
    <w:rsid w:val="00B9208C"/>
    <w:rsid w:val="00BC7C15"/>
    <w:rsid w:val="00C063FE"/>
    <w:rsid w:val="00C44603"/>
    <w:rsid w:val="00C541FE"/>
    <w:rsid w:val="00CF1AD5"/>
    <w:rsid w:val="00D51068"/>
    <w:rsid w:val="00D66051"/>
    <w:rsid w:val="00D71CD4"/>
    <w:rsid w:val="00E03029"/>
    <w:rsid w:val="00EC1C5A"/>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94302"/>
  <w15:chartTrackingRefBased/>
  <w15:docId w15:val="{E65AFBF1-7F19-476B-88FC-5A390F2B2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pf.co.uk/members/ram.aspx" TargetMode="External"/><Relationship Id="rId13" Type="http://schemas.openxmlformats.org/officeDocument/2006/relationships/hyperlink" Target="mailto:Kathrin.Farr@domino-uk.com"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bsigroup.com/en-US/insights-and-media/insights/blogs/extended-producer-responsibility-epr-around-the-world/" TargetMode="External"/><Relationship Id="rId12" Type="http://schemas.openxmlformats.org/officeDocument/2006/relationships/hyperlink" Target="https://dominops-my.sharepoint.com/personal/kathrin_farr_domino-uk_com/Documents/Desktop/www.domino-spain.com"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domino-printing.com/en/blog/2024/connected-packaging-and-consumer-engagement?utm_medium=non-paid&amp;utm_source=onlinepublication&amp;utm_content=pr-dp-EPR&amp;utm_campaign=2026-int-en-Global-PR-DP-FY26-Q2" TargetMode="External"/><Relationship Id="rId11" Type="http://schemas.openxmlformats.org/officeDocument/2006/relationships/hyperlink" Target="https://www.domino-printing.com/en-gb/blog/the-future-of-traceability-get-ready-for-the-digital-product-passport?utm_medium=non-paid&amp;utm_source=onlinepublication&amp;utm_content=pr-dp-EPR&amp;utm_campaign=2026-int-es-Global-PR-DP-FY26-Q2"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domino-printing.com/es/blog/ppwr-and-printing-inks"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www.plasticcollective.co/design-for-recyclability-2026-new-material-label-additive-restrictions/" TargetMode="External"/><Relationship Id="rId14" Type="http://schemas.openxmlformats.org/officeDocument/2006/relationships/hyperlink" Target="mailto:Jade.Taylor-Salazar@domino-uk.com"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Disclaimer ES Template - AC</Template>
  <TotalTime>1</TotalTime>
  <Pages>5</Pages>
  <Words>1820</Words>
  <Characters>10376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 Farr</dc:creator>
  <cp:keywords/>
  <dc:description/>
  <cp:lastModifiedBy>Kathrin Farr</cp:lastModifiedBy>
  <cp:revision>2</cp:revision>
  <dcterms:created xsi:type="dcterms:W3CDTF">2026-10-13T13:13:00Z</dcterms:created>
  <dcterms:modified xsi:type="dcterms:W3CDTF">2026-10-13T13:13:00Z</dcterms:modified>
</cp:coreProperties>
</file>