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6D9C5" w14:textId="77777777" w:rsidR="00336EC1" w:rsidRDefault="00336EC1" w:rsidP="00336EC1">
      <w:pPr>
        <w:rPr>
          <w:rFonts w:ascii="Calibri" w:hAnsi="Calibri" w:cs="Calibri"/>
        </w:rPr>
      </w:pPr>
    </w:p>
    <w:p w14:paraId="2B84AFB4" w14:textId="77777777" w:rsidR="00336EC1" w:rsidRPr="00336EC1" w:rsidRDefault="00336EC1" w:rsidP="00336EC1">
      <w:pPr>
        <w:rPr>
          <w:rFonts w:ascii="Calibri" w:hAnsi="Calibri" w:cs="Calibri"/>
          <w:sz w:val="10"/>
          <w:szCs w:val="10"/>
        </w:rPr>
      </w:pPr>
    </w:p>
    <w:p w14:paraId="50F13771" w14:textId="4B834715" w:rsidR="002E24DC" w:rsidRDefault="007D6F29" w:rsidP="00281ED2">
      <w:pPr>
        <w:spacing w:line="240" w:lineRule="auto"/>
        <w:jc w:val="center"/>
        <w:rPr>
          <w:rFonts w:ascii="Calibri" w:hAnsi="Calibri" w:cs="Calibri"/>
          <w:b/>
          <w:bCs/>
        </w:rPr>
      </w:pPr>
      <w:r w:rsidRPr="00237C2A">
        <w:rPr>
          <w:rFonts w:ascii="Calibri" w:hAnsi="Calibri" w:cs="Calibri"/>
          <w:b/>
          <w:bCs/>
        </w:rPr>
        <w:t>COMUNICADO DE IMPRENSA</w:t>
      </w:r>
    </w:p>
    <w:p w14:paraId="008DB504" w14:textId="77777777" w:rsidR="00281ED2" w:rsidRPr="00281ED2" w:rsidRDefault="00281ED2" w:rsidP="00281ED2">
      <w:pPr>
        <w:spacing w:line="240" w:lineRule="auto"/>
        <w:jc w:val="center"/>
        <w:rPr>
          <w:rFonts w:ascii="Calibri" w:hAnsi="Calibri" w:cs="Calibri"/>
          <w:b/>
          <w:bCs/>
        </w:rPr>
      </w:pPr>
    </w:p>
    <w:p w14:paraId="152EA0FD" w14:textId="7C5BDE5D" w:rsidR="002759B7" w:rsidRDefault="002E24DC" w:rsidP="00320D6D">
      <w:pPr>
        <w:pStyle w:val="PargrafodaLista"/>
        <w:spacing w:line="240" w:lineRule="auto"/>
        <w:ind w:left="-142" w:right="-143"/>
        <w:jc w:val="center"/>
        <w:rPr>
          <w:rFonts w:ascii="Calibri" w:eastAsia="Times New Roman" w:hAnsi="Calibri" w:cs="Calibri"/>
          <w:b/>
          <w:bCs/>
          <w:sz w:val="40"/>
          <w:szCs w:val="40"/>
          <w:lang w:eastAsia="pt-PT"/>
        </w:rPr>
      </w:pPr>
      <w:r w:rsidRPr="00281ED2">
        <w:rPr>
          <w:rFonts w:ascii="Calibri" w:eastAsia="Times New Roman" w:hAnsi="Calibri" w:cs="Calibri"/>
          <w:b/>
          <w:bCs/>
          <w:sz w:val="40"/>
          <w:szCs w:val="40"/>
          <w:lang w:eastAsia="pt-PT"/>
        </w:rPr>
        <w:t xml:space="preserve">Experiência e </w:t>
      </w:r>
      <w:r w:rsidR="00FC664F" w:rsidRPr="00281ED2">
        <w:rPr>
          <w:rFonts w:ascii="Calibri" w:eastAsia="Times New Roman" w:hAnsi="Calibri" w:cs="Calibri"/>
          <w:b/>
          <w:bCs/>
          <w:sz w:val="40"/>
          <w:szCs w:val="40"/>
          <w:lang w:eastAsia="pt-PT"/>
        </w:rPr>
        <w:t>reputação</w:t>
      </w:r>
      <w:r w:rsidRPr="00281ED2">
        <w:rPr>
          <w:rFonts w:ascii="Calibri" w:eastAsia="Times New Roman" w:hAnsi="Calibri" w:cs="Calibri"/>
          <w:b/>
          <w:bCs/>
          <w:sz w:val="40"/>
          <w:szCs w:val="40"/>
          <w:lang w:eastAsia="pt-PT"/>
        </w:rPr>
        <w:t xml:space="preserve"> </w:t>
      </w:r>
      <w:r w:rsidR="00CB4889" w:rsidRPr="00281ED2">
        <w:rPr>
          <w:rFonts w:ascii="Calibri" w:eastAsia="Times New Roman" w:hAnsi="Calibri" w:cs="Calibri"/>
          <w:b/>
          <w:bCs/>
          <w:sz w:val="40"/>
          <w:szCs w:val="40"/>
          <w:lang w:eastAsia="pt-PT"/>
        </w:rPr>
        <w:t xml:space="preserve">de consultoras </w:t>
      </w:r>
      <w:r w:rsidRPr="00281ED2">
        <w:rPr>
          <w:rFonts w:ascii="Calibri" w:eastAsia="Times New Roman" w:hAnsi="Calibri" w:cs="Calibri"/>
          <w:b/>
          <w:bCs/>
          <w:sz w:val="40"/>
          <w:szCs w:val="40"/>
          <w:lang w:eastAsia="pt-PT"/>
        </w:rPr>
        <w:t>pesam mais do que o preço entre as grandes empresas</w:t>
      </w:r>
    </w:p>
    <w:p w14:paraId="08FC61E7" w14:textId="77777777" w:rsidR="000D2501" w:rsidRPr="000D2501" w:rsidRDefault="000D2501" w:rsidP="000D2501">
      <w:pPr>
        <w:rPr>
          <w:rFonts w:ascii="Calibri" w:hAnsi="Calibri" w:cs="Calibri"/>
          <w:i/>
          <w:iCs/>
        </w:rPr>
      </w:pPr>
    </w:p>
    <w:p w14:paraId="405E46CC" w14:textId="31BD18FF" w:rsidR="00F87A89" w:rsidRPr="00C26784" w:rsidRDefault="00F87A89" w:rsidP="00F87A89">
      <w:pPr>
        <w:pStyle w:val="PargrafodaLista"/>
        <w:numPr>
          <w:ilvl w:val="0"/>
          <w:numId w:val="9"/>
        </w:numPr>
        <w:ind w:right="-1"/>
        <w:jc w:val="center"/>
        <w:rPr>
          <w:rFonts w:ascii="Calibri" w:hAnsi="Calibri" w:cs="Calibri"/>
          <w:b/>
          <w:bCs/>
          <w:i/>
          <w:iCs/>
        </w:rPr>
      </w:pPr>
      <w:r w:rsidRPr="00C26784">
        <w:rPr>
          <w:rFonts w:ascii="Calibri" w:hAnsi="Calibri" w:cs="Calibri"/>
          <w:b/>
          <w:bCs/>
          <w:i/>
          <w:iCs/>
        </w:rPr>
        <w:t xml:space="preserve">Apenas 12,5% das grandes empresas </w:t>
      </w:r>
      <w:r w:rsidR="00C26784" w:rsidRPr="00C26784">
        <w:rPr>
          <w:rFonts w:ascii="Calibri" w:hAnsi="Calibri" w:cs="Calibri"/>
          <w:b/>
          <w:bCs/>
          <w:i/>
          <w:iCs/>
        </w:rPr>
        <w:t>indicam</w:t>
      </w:r>
      <w:r w:rsidRPr="00C26784">
        <w:rPr>
          <w:rFonts w:ascii="Calibri" w:hAnsi="Calibri" w:cs="Calibri"/>
          <w:b/>
          <w:bCs/>
          <w:i/>
          <w:iCs/>
        </w:rPr>
        <w:t xml:space="preserve"> o preço como fator de escolha de uma consultora, face a 44,8% das microempresas.</w:t>
      </w:r>
    </w:p>
    <w:p w14:paraId="557EC693" w14:textId="7438A256" w:rsidR="002D2B2B" w:rsidRPr="00C26784" w:rsidRDefault="00F87A89" w:rsidP="00F87A89">
      <w:pPr>
        <w:pStyle w:val="PargrafodaLista"/>
        <w:numPr>
          <w:ilvl w:val="0"/>
          <w:numId w:val="9"/>
        </w:numPr>
        <w:ind w:right="-1"/>
        <w:jc w:val="center"/>
        <w:rPr>
          <w:rFonts w:ascii="Calibri" w:hAnsi="Calibri" w:cs="Calibri"/>
          <w:b/>
          <w:bCs/>
          <w:i/>
          <w:iCs/>
        </w:rPr>
      </w:pPr>
      <w:r w:rsidRPr="00C26784">
        <w:rPr>
          <w:rFonts w:ascii="Calibri" w:hAnsi="Calibri" w:cs="Calibri"/>
          <w:b/>
          <w:bCs/>
          <w:i/>
          <w:iCs/>
        </w:rPr>
        <w:t xml:space="preserve">Experiência no setor, domínio técnico e reputação da consultora são </w:t>
      </w:r>
      <w:r w:rsidR="00C26784" w:rsidRPr="00C26784">
        <w:rPr>
          <w:rFonts w:ascii="Calibri" w:hAnsi="Calibri" w:cs="Calibri"/>
          <w:b/>
          <w:bCs/>
          <w:i/>
          <w:iCs/>
        </w:rPr>
        <w:t xml:space="preserve">os mais </w:t>
      </w:r>
      <w:r w:rsidRPr="00C26784">
        <w:rPr>
          <w:rFonts w:ascii="Calibri" w:hAnsi="Calibri" w:cs="Calibri"/>
          <w:b/>
          <w:bCs/>
          <w:i/>
          <w:iCs/>
        </w:rPr>
        <w:t>valorizados por 62,5% dos decisores das grandes empresas.</w:t>
      </w:r>
    </w:p>
    <w:p w14:paraId="2F932288" w14:textId="77777777" w:rsidR="00C26784" w:rsidRPr="00C26784" w:rsidRDefault="00C26784" w:rsidP="00C26784">
      <w:pPr>
        <w:pStyle w:val="PargrafodaLista"/>
        <w:numPr>
          <w:ilvl w:val="0"/>
          <w:numId w:val="9"/>
        </w:numPr>
        <w:spacing w:line="240" w:lineRule="auto"/>
        <w:ind w:right="-1"/>
        <w:rPr>
          <w:rFonts w:ascii="Calibri" w:eastAsia="Calibri" w:hAnsi="Calibri" w:cs="Calibri"/>
          <w:b/>
          <w:bCs/>
          <w:i/>
          <w:iCs/>
        </w:rPr>
      </w:pPr>
      <w:r w:rsidRPr="00C26784">
        <w:rPr>
          <w:rFonts w:ascii="Calibri" w:eastAsia="Calibri" w:hAnsi="Calibri" w:cs="Calibri"/>
          <w:b/>
          <w:bCs/>
          <w:i/>
          <w:iCs/>
        </w:rPr>
        <w:t>Setor enfrenta desafio crítico de diferenciação: 75% dos decisores consideram que as consultoras presentes no mercado oferecem serviços semelhantes no essencial.</w:t>
      </w:r>
    </w:p>
    <w:p w14:paraId="161EB7DD" w14:textId="77777777" w:rsidR="002D2B2B" w:rsidRPr="002D2B2B" w:rsidRDefault="002D2B2B" w:rsidP="002D2B2B">
      <w:pPr>
        <w:pStyle w:val="PargrafodaLista"/>
        <w:ind w:right="-1"/>
        <w:rPr>
          <w:rFonts w:ascii="Calibri" w:hAnsi="Calibri" w:cs="Calibri"/>
          <w:i/>
          <w:iCs/>
        </w:rPr>
      </w:pPr>
    </w:p>
    <w:p w14:paraId="4430DEDD" w14:textId="652B0D47" w:rsidR="00596ACA" w:rsidRDefault="00776EFB" w:rsidP="00AA0A3C">
      <w:pPr>
        <w:spacing w:line="240" w:lineRule="auto"/>
        <w:jc w:val="both"/>
        <w:rPr>
          <w:rFonts w:ascii="Calibri" w:hAnsi="Calibri" w:cs="Calibri"/>
        </w:rPr>
      </w:pPr>
      <w:r w:rsidRPr="52CB78D8">
        <w:rPr>
          <w:rFonts w:ascii="Calibri" w:eastAsia="Times New Roman" w:hAnsi="Calibri" w:cs="Calibri"/>
          <w:b/>
          <w:bCs/>
          <w:lang w:eastAsia="pt-PT"/>
        </w:rPr>
        <w:t xml:space="preserve">Lisboa, </w:t>
      </w:r>
      <w:r w:rsidR="00396C02">
        <w:rPr>
          <w:rFonts w:ascii="Calibri" w:eastAsia="Times New Roman" w:hAnsi="Calibri" w:cs="Calibri"/>
          <w:b/>
          <w:bCs/>
          <w:lang w:eastAsia="pt-PT"/>
        </w:rPr>
        <w:t>14 de outubro</w:t>
      </w:r>
      <w:r w:rsidR="2C385968" w:rsidRPr="52CB78D8">
        <w:rPr>
          <w:rFonts w:ascii="Calibri" w:eastAsia="Times New Roman" w:hAnsi="Calibri" w:cs="Calibri"/>
          <w:b/>
          <w:bCs/>
          <w:lang w:eastAsia="pt-PT"/>
        </w:rPr>
        <w:t xml:space="preserve"> </w:t>
      </w:r>
      <w:r w:rsidRPr="52CB78D8">
        <w:rPr>
          <w:rFonts w:ascii="Calibri" w:eastAsia="Times New Roman" w:hAnsi="Calibri" w:cs="Calibri"/>
          <w:b/>
          <w:bCs/>
          <w:lang w:eastAsia="pt-PT"/>
        </w:rPr>
        <w:t>de 202</w:t>
      </w:r>
      <w:r w:rsidR="00877247" w:rsidRPr="52CB78D8">
        <w:rPr>
          <w:rFonts w:ascii="Calibri" w:eastAsia="Times New Roman" w:hAnsi="Calibri" w:cs="Calibri"/>
          <w:b/>
          <w:bCs/>
          <w:lang w:eastAsia="pt-PT"/>
        </w:rPr>
        <w:t>6</w:t>
      </w:r>
      <w:r w:rsidRPr="52CB78D8">
        <w:rPr>
          <w:rFonts w:ascii="Calibri" w:eastAsia="Times New Roman" w:hAnsi="Calibri" w:cs="Calibri"/>
          <w:lang w:eastAsia="pt-PT"/>
        </w:rPr>
        <w:t xml:space="preserve"> –</w:t>
      </w:r>
      <w:r w:rsidR="002E5F01" w:rsidRPr="52CB78D8">
        <w:rPr>
          <w:rFonts w:ascii="Calibri" w:eastAsia="Times New Roman" w:hAnsi="Calibri" w:cs="Calibri"/>
          <w:lang w:eastAsia="pt-PT"/>
        </w:rPr>
        <w:t xml:space="preserve"> </w:t>
      </w:r>
      <w:r w:rsidR="00AA0A3C" w:rsidRPr="00AA0A3C">
        <w:rPr>
          <w:rFonts w:ascii="Calibri" w:hAnsi="Calibri" w:cs="Calibri"/>
        </w:rPr>
        <w:t xml:space="preserve">As empresas de maior dimensão tendem a privilegiar a experiência, o </w:t>
      </w:r>
      <w:r w:rsidR="003474E4">
        <w:rPr>
          <w:rFonts w:ascii="Calibri" w:hAnsi="Calibri" w:cs="Calibri"/>
        </w:rPr>
        <w:t>domínio</w:t>
      </w:r>
      <w:r w:rsidR="00AA0A3C" w:rsidRPr="00AA0A3C">
        <w:rPr>
          <w:rFonts w:ascii="Calibri" w:hAnsi="Calibri" w:cs="Calibri"/>
        </w:rPr>
        <w:t xml:space="preserve"> técnico e </w:t>
      </w:r>
      <w:r w:rsidR="008C695D">
        <w:rPr>
          <w:rFonts w:ascii="Calibri" w:hAnsi="Calibri" w:cs="Calibri"/>
        </w:rPr>
        <w:t>a</w:t>
      </w:r>
      <w:r w:rsidR="00860092">
        <w:rPr>
          <w:rFonts w:ascii="Calibri" w:hAnsi="Calibri" w:cs="Calibri"/>
        </w:rPr>
        <w:t xml:space="preserve"> reputa</w:t>
      </w:r>
      <w:r w:rsidR="00811D2F">
        <w:rPr>
          <w:rFonts w:ascii="Calibri" w:hAnsi="Calibri" w:cs="Calibri"/>
        </w:rPr>
        <w:t xml:space="preserve">ção empresarial </w:t>
      </w:r>
      <w:r w:rsidR="00AA0A3C" w:rsidRPr="00AA0A3C">
        <w:rPr>
          <w:rFonts w:ascii="Calibri" w:hAnsi="Calibri" w:cs="Calibri"/>
        </w:rPr>
        <w:t>na escolha de uma consultora, atribuindo ao preço uma importância significativamente menor do que as micro</w:t>
      </w:r>
      <w:r w:rsidR="00811D2F">
        <w:rPr>
          <w:rFonts w:ascii="Calibri" w:hAnsi="Calibri" w:cs="Calibri"/>
        </w:rPr>
        <w:t xml:space="preserve"> e pequenas </w:t>
      </w:r>
      <w:r w:rsidR="00AA0A3C" w:rsidRPr="00AA0A3C">
        <w:rPr>
          <w:rFonts w:ascii="Calibri" w:hAnsi="Calibri" w:cs="Calibri"/>
        </w:rPr>
        <w:t xml:space="preserve">empresas. Esta é uma das principais conclusões do estudo “Mercado da Consultoria”, desenvolvido pela </w:t>
      </w:r>
      <w:proofErr w:type="spellStart"/>
      <w:r w:rsidR="00AA0A3C" w:rsidRPr="00AA0A3C">
        <w:rPr>
          <w:rFonts w:ascii="Calibri" w:hAnsi="Calibri" w:cs="Calibri"/>
        </w:rPr>
        <w:t>Multidados</w:t>
      </w:r>
      <w:proofErr w:type="spellEnd"/>
      <w:r w:rsidR="00AA0A3C" w:rsidRPr="00AA0A3C">
        <w:rPr>
          <w:rFonts w:ascii="Calibri" w:hAnsi="Calibri" w:cs="Calibri"/>
        </w:rPr>
        <w:t xml:space="preserve"> para a </w:t>
      </w:r>
      <w:proofErr w:type="spellStart"/>
      <w:r w:rsidR="00AA0A3C" w:rsidRPr="00AA0A3C">
        <w:rPr>
          <w:rFonts w:ascii="Calibri" w:hAnsi="Calibri" w:cs="Calibri"/>
        </w:rPr>
        <w:t>Yunit</w:t>
      </w:r>
      <w:proofErr w:type="spellEnd"/>
      <w:r w:rsidR="00AA0A3C" w:rsidRPr="00AA0A3C">
        <w:rPr>
          <w:rFonts w:ascii="Calibri" w:hAnsi="Calibri" w:cs="Calibri"/>
        </w:rPr>
        <w:t xml:space="preserve"> </w:t>
      </w:r>
      <w:proofErr w:type="spellStart"/>
      <w:r w:rsidR="00AA0A3C" w:rsidRPr="00AA0A3C">
        <w:rPr>
          <w:rFonts w:ascii="Calibri" w:hAnsi="Calibri" w:cs="Calibri"/>
        </w:rPr>
        <w:t>Consulting</w:t>
      </w:r>
      <w:proofErr w:type="spellEnd"/>
      <w:r w:rsidR="008E115D">
        <w:rPr>
          <w:rFonts w:ascii="Calibri" w:hAnsi="Calibri" w:cs="Calibri"/>
        </w:rPr>
        <w:t>,</w:t>
      </w:r>
      <w:r w:rsidR="00AA0A3C" w:rsidRPr="00AA0A3C">
        <w:rPr>
          <w:rFonts w:ascii="Calibri" w:hAnsi="Calibri" w:cs="Calibri"/>
        </w:rPr>
        <w:t xml:space="preserve"> </w:t>
      </w:r>
      <w:r w:rsidR="008E115D" w:rsidRPr="52CB78D8">
        <w:rPr>
          <w:rFonts w:ascii="Calibri" w:hAnsi="Calibri" w:cs="Calibri"/>
        </w:rPr>
        <w:t xml:space="preserve">que </w:t>
      </w:r>
      <w:r w:rsidR="001A2A81">
        <w:rPr>
          <w:rFonts w:ascii="Calibri" w:hAnsi="Calibri" w:cs="Calibri"/>
        </w:rPr>
        <w:t>inquiriu</w:t>
      </w:r>
      <w:r w:rsidR="00AA0A3C" w:rsidRPr="00AA0A3C">
        <w:rPr>
          <w:rFonts w:ascii="Calibri" w:hAnsi="Calibri" w:cs="Calibri"/>
        </w:rPr>
        <w:t xml:space="preserve"> 300 indivíduos com cargos de decisão</w:t>
      </w:r>
      <w:r w:rsidR="00B35C4D">
        <w:rPr>
          <w:rFonts w:ascii="Calibri" w:hAnsi="Calibri" w:cs="Calibri"/>
        </w:rPr>
        <w:t xml:space="preserve"> </w:t>
      </w:r>
      <w:r w:rsidR="00AA0A3C" w:rsidRPr="00AA0A3C">
        <w:rPr>
          <w:rFonts w:ascii="Calibri" w:hAnsi="Calibri" w:cs="Calibri"/>
        </w:rPr>
        <w:t>relativamente ao tema da consultoria nas empresas que representam.</w:t>
      </w:r>
      <w:r w:rsidR="008E115D">
        <w:rPr>
          <w:rFonts w:ascii="Calibri" w:hAnsi="Calibri" w:cs="Calibri"/>
        </w:rPr>
        <w:t xml:space="preserve"> </w:t>
      </w:r>
    </w:p>
    <w:p w14:paraId="413002BD" w14:textId="77777777" w:rsidR="00AA0A3C" w:rsidRPr="00AA0A3C" w:rsidRDefault="00AA0A3C" w:rsidP="00AA0A3C">
      <w:pPr>
        <w:spacing w:line="240" w:lineRule="auto"/>
        <w:jc w:val="both"/>
        <w:rPr>
          <w:rFonts w:ascii="Calibri" w:hAnsi="Calibri" w:cs="Calibri"/>
        </w:rPr>
      </w:pPr>
    </w:p>
    <w:p w14:paraId="1CE8DD1E" w14:textId="1CB78534" w:rsidR="000379AA" w:rsidRDefault="003C2AF2" w:rsidP="00AA0A3C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Segund</w:t>
      </w:r>
      <w:r w:rsidR="00915FAE">
        <w:rPr>
          <w:rFonts w:ascii="Calibri" w:hAnsi="Calibri" w:cs="Calibri"/>
        </w:rPr>
        <w:t>o os resultados do estudo,</w:t>
      </w:r>
      <w:r w:rsidR="00C26784">
        <w:rPr>
          <w:rFonts w:ascii="Calibri" w:hAnsi="Calibri" w:cs="Calibri"/>
        </w:rPr>
        <w:t xml:space="preserve"> o preço não dita tudo, pelo menos se olharmos para </w:t>
      </w:r>
      <w:r w:rsidR="00C26784" w:rsidRPr="00CD2E13">
        <w:rPr>
          <w:rFonts w:ascii="Calibri" w:hAnsi="Calibri" w:cs="Calibri"/>
        </w:rPr>
        <w:t>as grandes empresas.</w:t>
      </w:r>
      <w:r w:rsidR="00C26784">
        <w:rPr>
          <w:rFonts w:ascii="Calibri" w:hAnsi="Calibri" w:cs="Calibri"/>
        </w:rPr>
        <w:t xml:space="preserve"> A</w:t>
      </w:r>
      <w:r w:rsidR="00AA0A3C" w:rsidRPr="00AA0A3C">
        <w:rPr>
          <w:rFonts w:ascii="Calibri" w:hAnsi="Calibri" w:cs="Calibri"/>
        </w:rPr>
        <w:t xml:space="preserve"> confiança na equipa é o fator mais valorizado na escolha de uma consultora, referido por 61,1% dos decisores, seguindo-se os resultados comprovados, com 57,4%, e a experiência no setor, com 51,9%. O preço surge apenas na sétima posição, mencionado por 33,3%</w:t>
      </w:r>
      <w:r w:rsidR="00C26784">
        <w:rPr>
          <w:rFonts w:ascii="Calibri" w:hAnsi="Calibri" w:cs="Calibri"/>
        </w:rPr>
        <w:t xml:space="preserve">. No entanto, </w:t>
      </w:r>
      <w:r w:rsidR="00AA0A3C" w:rsidRPr="00AA0A3C">
        <w:rPr>
          <w:rFonts w:ascii="Calibri" w:hAnsi="Calibri" w:cs="Calibri"/>
        </w:rPr>
        <w:t>a sua relevância varia substancialmente consoante a dimensão das empresas</w:t>
      </w:r>
      <w:r w:rsidR="006F51C6">
        <w:rPr>
          <w:rFonts w:ascii="Calibri" w:hAnsi="Calibri" w:cs="Calibri"/>
        </w:rPr>
        <w:t xml:space="preserve">, sendo </w:t>
      </w:r>
      <w:r w:rsidR="00C508AB">
        <w:rPr>
          <w:rFonts w:ascii="Calibri" w:hAnsi="Calibri" w:cs="Calibri"/>
        </w:rPr>
        <w:t xml:space="preserve">um fator de relevância para </w:t>
      </w:r>
      <w:r w:rsidR="00AA0A3C" w:rsidRPr="00AA0A3C">
        <w:rPr>
          <w:rFonts w:ascii="Calibri" w:hAnsi="Calibri" w:cs="Calibri"/>
        </w:rPr>
        <w:t>44,8% das microempresas e p</w:t>
      </w:r>
      <w:r w:rsidR="005C3CCF">
        <w:rPr>
          <w:rFonts w:ascii="Calibri" w:hAnsi="Calibri" w:cs="Calibri"/>
        </w:rPr>
        <w:t>ara</w:t>
      </w:r>
      <w:r w:rsidR="00AA0A3C" w:rsidRPr="00AA0A3C">
        <w:rPr>
          <w:rFonts w:ascii="Calibri" w:hAnsi="Calibri" w:cs="Calibri"/>
        </w:rPr>
        <w:t xml:space="preserve"> apenas 12,5% das grandes organizações</w:t>
      </w:r>
      <w:r w:rsidR="00C508AB">
        <w:rPr>
          <w:rFonts w:ascii="Calibri" w:hAnsi="Calibri" w:cs="Calibri"/>
        </w:rPr>
        <w:t xml:space="preserve"> inquiridas.</w:t>
      </w:r>
      <w:r w:rsidR="005C3CCF">
        <w:rPr>
          <w:rFonts w:ascii="Calibri" w:hAnsi="Calibri" w:cs="Calibri"/>
        </w:rPr>
        <w:t xml:space="preserve"> </w:t>
      </w:r>
    </w:p>
    <w:p w14:paraId="23C82EEF" w14:textId="77777777" w:rsidR="00C26784" w:rsidRPr="00AA0A3C" w:rsidRDefault="00C26784" w:rsidP="00AA0A3C">
      <w:pPr>
        <w:spacing w:line="240" w:lineRule="auto"/>
        <w:jc w:val="both"/>
        <w:rPr>
          <w:rFonts w:ascii="Calibri" w:hAnsi="Calibri" w:cs="Calibri"/>
        </w:rPr>
      </w:pPr>
    </w:p>
    <w:p w14:paraId="10CFB7B8" w14:textId="6CBFBEDF" w:rsidR="000379AA" w:rsidRPr="00AA0A3C" w:rsidRDefault="00AA0A3C" w:rsidP="00AA0A3C">
      <w:pPr>
        <w:spacing w:line="240" w:lineRule="auto"/>
        <w:jc w:val="both"/>
        <w:rPr>
          <w:rFonts w:ascii="Calibri" w:hAnsi="Calibri" w:cs="Calibri"/>
        </w:rPr>
      </w:pPr>
      <w:r w:rsidRPr="00AA0A3C">
        <w:rPr>
          <w:rFonts w:ascii="Calibri" w:hAnsi="Calibri" w:cs="Calibri"/>
          <w:i/>
          <w:iCs/>
        </w:rPr>
        <w:t>“Os dados sugerem que as empresas de maior dimensão tendem a atribuir menos peso ao preço enquanto critério isolado e mais relevância a fatores como a experiência, o conhecimento técnico e os resultados. É uma reflexão importante também para empresas de menor dimensão que pretendem crescer, porque a escolha de parceiros especializados pode ter um impacto relevante na qualidade das decisões e na capacidade de concretizar esse crescimento”,</w:t>
      </w:r>
      <w:r w:rsidRPr="00AA0A3C">
        <w:rPr>
          <w:rFonts w:ascii="Calibri" w:hAnsi="Calibri" w:cs="Calibri"/>
        </w:rPr>
        <w:t xml:space="preserve"> afirma Andreia </w:t>
      </w:r>
      <w:proofErr w:type="spellStart"/>
      <w:r w:rsidRPr="00AA0A3C">
        <w:rPr>
          <w:rFonts w:ascii="Calibri" w:hAnsi="Calibri" w:cs="Calibri"/>
        </w:rPr>
        <w:t>Jotta</w:t>
      </w:r>
      <w:proofErr w:type="spellEnd"/>
      <w:r w:rsidRPr="00AA0A3C">
        <w:rPr>
          <w:rFonts w:ascii="Calibri" w:hAnsi="Calibri" w:cs="Calibri"/>
        </w:rPr>
        <w:t xml:space="preserve">, Diretora de Desenvolvimento de Negócio da </w:t>
      </w:r>
      <w:proofErr w:type="spellStart"/>
      <w:r w:rsidRPr="00AA0A3C">
        <w:rPr>
          <w:rFonts w:ascii="Calibri" w:hAnsi="Calibri" w:cs="Calibri"/>
        </w:rPr>
        <w:t>Yunit</w:t>
      </w:r>
      <w:proofErr w:type="spellEnd"/>
      <w:r w:rsidRPr="00AA0A3C">
        <w:rPr>
          <w:rFonts w:ascii="Calibri" w:hAnsi="Calibri" w:cs="Calibri"/>
        </w:rPr>
        <w:t xml:space="preserve"> </w:t>
      </w:r>
      <w:proofErr w:type="spellStart"/>
      <w:r w:rsidRPr="00AA0A3C">
        <w:rPr>
          <w:rFonts w:ascii="Calibri" w:hAnsi="Calibri" w:cs="Calibri"/>
        </w:rPr>
        <w:t>Consulting</w:t>
      </w:r>
      <w:proofErr w:type="spellEnd"/>
      <w:r w:rsidRPr="00AA0A3C">
        <w:rPr>
          <w:rFonts w:ascii="Calibri" w:hAnsi="Calibri" w:cs="Calibri"/>
        </w:rPr>
        <w:t>.</w:t>
      </w:r>
    </w:p>
    <w:p w14:paraId="5177A809" w14:textId="77777777" w:rsidR="00AA0A3C" w:rsidRPr="00AA0A3C" w:rsidRDefault="00AA0A3C" w:rsidP="00AA0A3C">
      <w:pPr>
        <w:spacing w:line="240" w:lineRule="auto"/>
        <w:jc w:val="both"/>
        <w:rPr>
          <w:rFonts w:ascii="Calibri" w:hAnsi="Calibri" w:cs="Calibri"/>
        </w:rPr>
      </w:pPr>
    </w:p>
    <w:p w14:paraId="76764B84" w14:textId="77777777" w:rsidR="00AA0A3C" w:rsidRPr="00AA0A3C" w:rsidRDefault="00AA0A3C" w:rsidP="00AA0A3C">
      <w:pPr>
        <w:spacing w:line="240" w:lineRule="auto"/>
        <w:jc w:val="both"/>
        <w:rPr>
          <w:rFonts w:ascii="Calibri" w:hAnsi="Calibri" w:cs="Calibri"/>
          <w:b/>
          <w:bCs/>
        </w:rPr>
      </w:pPr>
      <w:r w:rsidRPr="00AA0A3C">
        <w:rPr>
          <w:rFonts w:ascii="Calibri" w:hAnsi="Calibri" w:cs="Calibri"/>
          <w:b/>
          <w:bCs/>
        </w:rPr>
        <w:t>Grandes empresas privilegiam relações de longo prazo</w:t>
      </w:r>
    </w:p>
    <w:p w14:paraId="333BF686" w14:textId="77777777" w:rsidR="00AA0A3C" w:rsidRPr="00AA0A3C" w:rsidRDefault="00AA0A3C" w:rsidP="00AA0A3C">
      <w:pPr>
        <w:spacing w:line="240" w:lineRule="auto"/>
        <w:jc w:val="both"/>
        <w:rPr>
          <w:rFonts w:ascii="Calibri" w:hAnsi="Calibri" w:cs="Calibri"/>
        </w:rPr>
      </w:pPr>
    </w:p>
    <w:p w14:paraId="1E6D37FE" w14:textId="345FFEE7" w:rsidR="00AA0A3C" w:rsidRPr="00AA0A3C" w:rsidRDefault="00AA0A3C" w:rsidP="00AA0A3C">
      <w:pPr>
        <w:spacing w:line="240" w:lineRule="auto"/>
        <w:jc w:val="both"/>
        <w:rPr>
          <w:rFonts w:ascii="Calibri" w:hAnsi="Calibri" w:cs="Calibri"/>
        </w:rPr>
      </w:pPr>
      <w:r w:rsidRPr="00AA0A3C">
        <w:rPr>
          <w:rFonts w:ascii="Calibri" w:hAnsi="Calibri" w:cs="Calibri"/>
        </w:rPr>
        <w:t xml:space="preserve">A diferença entre segmentos é também evidente no tipo de relação </w:t>
      </w:r>
      <w:r w:rsidR="006B1C5B">
        <w:rPr>
          <w:rFonts w:ascii="Calibri" w:hAnsi="Calibri" w:cs="Calibri"/>
        </w:rPr>
        <w:t>desejada</w:t>
      </w:r>
      <w:r w:rsidRPr="00AA0A3C">
        <w:rPr>
          <w:rFonts w:ascii="Calibri" w:hAnsi="Calibri" w:cs="Calibri"/>
        </w:rPr>
        <w:t xml:space="preserve"> com as consultoras. No total, </w:t>
      </w:r>
      <w:r w:rsidR="00B7475A">
        <w:rPr>
          <w:rFonts w:ascii="Calibri" w:hAnsi="Calibri" w:cs="Calibri"/>
        </w:rPr>
        <w:t>mais de metade</w:t>
      </w:r>
      <w:r w:rsidRPr="00AA0A3C">
        <w:rPr>
          <w:rFonts w:ascii="Calibri" w:hAnsi="Calibri" w:cs="Calibri"/>
        </w:rPr>
        <w:t xml:space="preserve"> dos decisores </w:t>
      </w:r>
      <w:r w:rsidR="00B749B1">
        <w:rPr>
          <w:rFonts w:ascii="Calibri" w:hAnsi="Calibri" w:cs="Calibri"/>
        </w:rPr>
        <w:t xml:space="preserve">inquiridos </w:t>
      </w:r>
      <w:r w:rsidRPr="00AA0A3C">
        <w:rPr>
          <w:rFonts w:ascii="Calibri" w:hAnsi="Calibri" w:cs="Calibri"/>
        </w:rPr>
        <w:t xml:space="preserve">preferem uma relação contínua, seja através de um parceiro recorrente de confiança, </w:t>
      </w:r>
      <w:r w:rsidR="0010657D">
        <w:rPr>
          <w:rFonts w:ascii="Calibri" w:hAnsi="Calibri" w:cs="Calibri"/>
        </w:rPr>
        <w:t>referido por</w:t>
      </w:r>
      <w:r w:rsidRPr="00AA0A3C">
        <w:rPr>
          <w:rFonts w:ascii="Calibri" w:hAnsi="Calibri" w:cs="Calibri"/>
        </w:rPr>
        <w:t xml:space="preserve"> 35,2%, seja através de um parceiro estratégico de longo prazo, referido por 20%.</w:t>
      </w:r>
    </w:p>
    <w:p w14:paraId="5F09BF6C" w14:textId="77777777" w:rsidR="00AA0A3C" w:rsidRPr="00AA0A3C" w:rsidRDefault="00AA0A3C" w:rsidP="00AA0A3C">
      <w:pPr>
        <w:spacing w:line="240" w:lineRule="auto"/>
        <w:jc w:val="both"/>
        <w:rPr>
          <w:rFonts w:ascii="Calibri" w:hAnsi="Calibri" w:cs="Calibri"/>
        </w:rPr>
      </w:pPr>
    </w:p>
    <w:p w14:paraId="4B18D263" w14:textId="584E053E" w:rsidR="000379AA" w:rsidRDefault="0010657D" w:rsidP="00AA0A3C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</w:t>
      </w:r>
      <w:r w:rsidRPr="00AA0A3C">
        <w:rPr>
          <w:rFonts w:ascii="Calibri" w:hAnsi="Calibri" w:cs="Calibri"/>
        </w:rPr>
        <w:t xml:space="preserve">sta preferência é transversal </w:t>
      </w:r>
      <w:r>
        <w:rPr>
          <w:rFonts w:ascii="Calibri" w:hAnsi="Calibri" w:cs="Calibri"/>
        </w:rPr>
        <w:t>e</w:t>
      </w:r>
      <w:r w:rsidR="00AA0A3C" w:rsidRPr="00AA0A3C">
        <w:rPr>
          <w:rFonts w:ascii="Calibri" w:hAnsi="Calibri" w:cs="Calibri"/>
        </w:rPr>
        <w:t>ntre as grandes empresas</w:t>
      </w:r>
      <w:r w:rsidR="00AD0D45">
        <w:rPr>
          <w:rFonts w:ascii="Calibri" w:hAnsi="Calibri" w:cs="Calibri"/>
        </w:rPr>
        <w:t>, que</w:t>
      </w:r>
      <w:r w:rsidR="00AA0A3C" w:rsidRPr="00AA0A3C">
        <w:rPr>
          <w:rFonts w:ascii="Calibri" w:hAnsi="Calibri" w:cs="Calibri"/>
        </w:rPr>
        <w:t xml:space="preserve"> </w:t>
      </w:r>
      <w:r w:rsidR="000C3131">
        <w:rPr>
          <w:rFonts w:ascii="Calibri" w:hAnsi="Calibri" w:cs="Calibri"/>
        </w:rPr>
        <w:t>manifestaram</w:t>
      </w:r>
      <w:r w:rsidR="00AD0D45">
        <w:rPr>
          <w:rFonts w:ascii="Calibri" w:hAnsi="Calibri" w:cs="Calibri"/>
        </w:rPr>
        <w:t xml:space="preserve"> </w:t>
      </w:r>
      <w:r w:rsidR="000C3131">
        <w:rPr>
          <w:rFonts w:ascii="Calibri" w:hAnsi="Calibri" w:cs="Calibri"/>
        </w:rPr>
        <w:t>preferência</w:t>
      </w:r>
      <w:r w:rsidR="00AA0A3C" w:rsidRPr="00AA0A3C">
        <w:rPr>
          <w:rFonts w:ascii="Calibri" w:hAnsi="Calibri" w:cs="Calibri"/>
        </w:rPr>
        <w:t xml:space="preserve"> </w:t>
      </w:r>
      <w:r w:rsidR="000C3131">
        <w:rPr>
          <w:rFonts w:ascii="Calibri" w:hAnsi="Calibri" w:cs="Calibri"/>
        </w:rPr>
        <w:t xml:space="preserve">por </w:t>
      </w:r>
      <w:r w:rsidR="00AA0A3C" w:rsidRPr="00AA0A3C">
        <w:rPr>
          <w:rFonts w:ascii="Calibri" w:hAnsi="Calibri" w:cs="Calibri"/>
        </w:rPr>
        <w:t xml:space="preserve">um parceiro recorrente de confiança </w:t>
      </w:r>
      <w:r w:rsidR="00C26784">
        <w:rPr>
          <w:rFonts w:ascii="Calibri" w:hAnsi="Calibri" w:cs="Calibri"/>
        </w:rPr>
        <w:t xml:space="preserve">ou </w:t>
      </w:r>
      <w:r w:rsidR="009E50B5">
        <w:rPr>
          <w:rFonts w:ascii="Calibri" w:hAnsi="Calibri" w:cs="Calibri"/>
        </w:rPr>
        <w:t xml:space="preserve">por </w:t>
      </w:r>
      <w:r w:rsidR="00AA0A3C" w:rsidRPr="00AA0A3C">
        <w:rPr>
          <w:rFonts w:ascii="Calibri" w:hAnsi="Calibri" w:cs="Calibri"/>
        </w:rPr>
        <w:t xml:space="preserve">um parceiro estratégico de longo prazo. Já nas </w:t>
      </w:r>
      <w:r w:rsidR="00AA0A3C" w:rsidRPr="00AA0A3C">
        <w:rPr>
          <w:rFonts w:ascii="Calibri" w:hAnsi="Calibri" w:cs="Calibri"/>
        </w:rPr>
        <w:lastRenderedPageBreak/>
        <w:t>microempresas, o apoio pontual continua a assumir maior expressão, sendo escolhido por 34,5%.</w:t>
      </w:r>
    </w:p>
    <w:p w14:paraId="2A0BC5E6" w14:textId="77777777" w:rsidR="00C26784" w:rsidRDefault="00C26784" w:rsidP="00AA0A3C">
      <w:pPr>
        <w:spacing w:line="240" w:lineRule="auto"/>
        <w:jc w:val="both"/>
        <w:rPr>
          <w:rFonts w:ascii="Calibri" w:hAnsi="Calibri" w:cs="Calibri"/>
        </w:rPr>
      </w:pPr>
    </w:p>
    <w:p w14:paraId="5CF6F1CC" w14:textId="427D695F" w:rsidR="00C26784" w:rsidRPr="003C6E7F" w:rsidRDefault="00C26784" w:rsidP="00C26784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Estes dados revelam que a</w:t>
      </w:r>
      <w:r w:rsidRPr="00564BF8">
        <w:rPr>
          <w:rFonts w:ascii="Calibri" w:hAnsi="Calibri" w:cs="Calibri"/>
        </w:rPr>
        <w:t>s empresas começam a procurar menos fornecedores de projetos isolados e mais parceiros capazes de compreender o negócio ao longo do tempo. Isto obriga as consultoras a antecipar necessidades, ligar diferentes áreas de intervenção e assumir responsabilidade pelo impacto global que ajudam a criar</w:t>
      </w:r>
      <w:r>
        <w:rPr>
          <w:rFonts w:ascii="Calibri" w:hAnsi="Calibri" w:cs="Calibri"/>
        </w:rPr>
        <w:t xml:space="preserve">. </w:t>
      </w:r>
    </w:p>
    <w:p w14:paraId="2FBC1178" w14:textId="77777777" w:rsidR="00C26784" w:rsidRPr="00AA0A3C" w:rsidRDefault="00C26784" w:rsidP="00AA0A3C">
      <w:pPr>
        <w:spacing w:line="240" w:lineRule="auto"/>
        <w:jc w:val="both"/>
        <w:rPr>
          <w:rFonts w:ascii="Calibri" w:hAnsi="Calibri" w:cs="Calibri"/>
        </w:rPr>
      </w:pPr>
    </w:p>
    <w:p w14:paraId="008134AC" w14:textId="7E5094BE" w:rsidR="00471FE6" w:rsidRDefault="00AA0A3C" w:rsidP="00471FE6">
      <w:pPr>
        <w:spacing w:line="240" w:lineRule="auto"/>
        <w:jc w:val="both"/>
        <w:rPr>
          <w:rFonts w:ascii="Calibri" w:hAnsi="Calibri" w:cs="Calibri"/>
        </w:rPr>
      </w:pPr>
      <w:r w:rsidRPr="00D00EDA">
        <w:rPr>
          <w:rFonts w:ascii="Calibri" w:hAnsi="Calibri" w:cs="Calibri"/>
        </w:rPr>
        <w:t xml:space="preserve">A tecnologia permanece igualmente relevante, </w:t>
      </w:r>
      <w:r w:rsidR="009E266A" w:rsidRPr="00D00EDA">
        <w:rPr>
          <w:rFonts w:ascii="Calibri" w:hAnsi="Calibri" w:cs="Calibri"/>
        </w:rPr>
        <w:t xml:space="preserve">na medida em que </w:t>
      </w:r>
      <w:r w:rsidRPr="00D00EDA">
        <w:rPr>
          <w:rFonts w:ascii="Calibri" w:hAnsi="Calibri" w:cs="Calibri"/>
        </w:rPr>
        <w:t xml:space="preserve">oito em cada dez empresas consideram relevante que as consultoras utilizem inteligência artificial </w:t>
      </w:r>
      <w:r w:rsidR="00D00EDA" w:rsidRPr="00D00EDA">
        <w:rPr>
          <w:rFonts w:ascii="Calibri" w:hAnsi="Calibri" w:cs="Calibri"/>
        </w:rPr>
        <w:t>na prestação dos seus serviços</w:t>
      </w:r>
      <w:r w:rsidRPr="00D00EDA">
        <w:rPr>
          <w:rFonts w:ascii="Calibri" w:hAnsi="Calibri" w:cs="Calibri"/>
        </w:rPr>
        <w:t xml:space="preserve">, uma percentagem que aumenta </w:t>
      </w:r>
      <w:r w:rsidR="00471FE6" w:rsidRPr="00D00EDA">
        <w:rPr>
          <w:rFonts w:ascii="Calibri" w:hAnsi="Calibri" w:cs="Calibri"/>
        </w:rPr>
        <w:t>com a dimensão das empresas, sendo particularmente elevada nas grandes organizações</w:t>
      </w:r>
      <w:r w:rsidR="00D91730">
        <w:rPr>
          <w:rFonts w:ascii="Calibri" w:hAnsi="Calibri" w:cs="Calibri"/>
        </w:rPr>
        <w:t xml:space="preserve"> </w:t>
      </w:r>
      <w:r w:rsidR="00471FE6" w:rsidRPr="00D00EDA">
        <w:rPr>
          <w:rFonts w:ascii="Calibri" w:hAnsi="Calibri" w:cs="Calibri"/>
        </w:rPr>
        <w:t>que apresentam maior maturidade digital, chegando aos 93,8% entre as grandes empresas inquiridas.</w:t>
      </w:r>
    </w:p>
    <w:p w14:paraId="6D1C051E" w14:textId="77777777" w:rsidR="00C26784" w:rsidRDefault="00C26784" w:rsidP="00471FE6">
      <w:pPr>
        <w:spacing w:line="240" w:lineRule="auto"/>
        <w:jc w:val="both"/>
        <w:rPr>
          <w:rFonts w:ascii="Calibri" w:hAnsi="Calibri" w:cs="Calibri"/>
        </w:rPr>
      </w:pPr>
    </w:p>
    <w:p w14:paraId="51B66785" w14:textId="5014BAFC" w:rsidR="00C26784" w:rsidRDefault="00C26784" w:rsidP="00C26784">
      <w:pPr>
        <w:spacing w:line="240" w:lineRule="auto"/>
        <w:jc w:val="both"/>
        <w:rPr>
          <w:rFonts w:ascii="Calibri" w:hAnsi="Calibri" w:cs="Calibri"/>
          <w:b/>
          <w:bCs/>
        </w:rPr>
      </w:pPr>
      <w:r w:rsidRPr="00CD2E13">
        <w:rPr>
          <w:rFonts w:ascii="Calibri" w:hAnsi="Calibri" w:cs="Calibri"/>
          <w:i/>
          <w:iCs/>
        </w:rPr>
        <w:t>“A inteligência artificial está a tornar-se uma expectativa de base na relação com as consultoras. As empresas querem análises mais rápidas, decisões mais sustentadas e processos mais eficientes, mas continuam a escolher com base na confiança, na experiência e nos resultados. A tecnologia só cria valor quando reforça estas dimensões”,</w:t>
      </w:r>
      <w:r w:rsidRPr="2625F7EE">
        <w:rPr>
          <w:rFonts w:ascii="Calibri" w:hAnsi="Calibri" w:cs="Calibri"/>
        </w:rPr>
        <w:t xml:space="preserve"> </w:t>
      </w:r>
      <w:r w:rsidR="00CD2E13">
        <w:rPr>
          <w:rFonts w:ascii="Calibri" w:hAnsi="Calibri" w:cs="Calibri"/>
        </w:rPr>
        <w:t>refere</w:t>
      </w:r>
      <w:r w:rsidR="00CD2E13" w:rsidRPr="2625F7EE">
        <w:rPr>
          <w:rFonts w:ascii="Calibri" w:hAnsi="Calibri" w:cs="Calibri"/>
        </w:rPr>
        <w:t xml:space="preserve"> </w:t>
      </w:r>
      <w:r w:rsidRPr="00CD2E13">
        <w:rPr>
          <w:rFonts w:ascii="Calibri" w:hAnsi="Calibri" w:cs="Calibri"/>
        </w:rPr>
        <w:t xml:space="preserve">Andreia </w:t>
      </w:r>
      <w:proofErr w:type="spellStart"/>
      <w:r w:rsidRPr="00CD2E13">
        <w:rPr>
          <w:rFonts w:ascii="Calibri" w:hAnsi="Calibri" w:cs="Calibri"/>
        </w:rPr>
        <w:t>Jotta</w:t>
      </w:r>
      <w:proofErr w:type="spellEnd"/>
      <w:r w:rsidRPr="00CD2E13">
        <w:rPr>
          <w:rFonts w:ascii="Calibri" w:hAnsi="Calibri" w:cs="Calibri"/>
        </w:rPr>
        <w:t xml:space="preserve">, Diretora de Desenvolvimento de Negócio da </w:t>
      </w:r>
      <w:proofErr w:type="spellStart"/>
      <w:r w:rsidRPr="00CD2E13">
        <w:rPr>
          <w:rFonts w:ascii="Calibri" w:hAnsi="Calibri" w:cs="Calibri"/>
        </w:rPr>
        <w:t>Yunit</w:t>
      </w:r>
      <w:proofErr w:type="spellEnd"/>
      <w:r w:rsidRPr="00CD2E13">
        <w:rPr>
          <w:rFonts w:ascii="Calibri" w:hAnsi="Calibri" w:cs="Calibri"/>
        </w:rPr>
        <w:t xml:space="preserve"> </w:t>
      </w:r>
      <w:proofErr w:type="spellStart"/>
      <w:r w:rsidRPr="00CD2E13">
        <w:rPr>
          <w:rFonts w:ascii="Calibri" w:hAnsi="Calibri" w:cs="Calibri"/>
        </w:rPr>
        <w:t>Consulting</w:t>
      </w:r>
      <w:proofErr w:type="spellEnd"/>
      <w:r w:rsidRPr="00CD2E13">
        <w:rPr>
          <w:rFonts w:ascii="Calibri" w:hAnsi="Calibri" w:cs="Calibri"/>
        </w:rPr>
        <w:t>.</w:t>
      </w:r>
    </w:p>
    <w:p w14:paraId="0F97E845" w14:textId="77777777" w:rsidR="00C26784" w:rsidRDefault="00C26784" w:rsidP="00471FE6">
      <w:pPr>
        <w:spacing w:line="240" w:lineRule="auto"/>
        <w:jc w:val="both"/>
        <w:rPr>
          <w:rFonts w:ascii="Calibri" w:hAnsi="Calibri" w:cs="Calibri"/>
        </w:rPr>
      </w:pPr>
    </w:p>
    <w:p w14:paraId="74591AE2" w14:textId="77777777" w:rsidR="00C26784" w:rsidRDefault="00C26784" w:rsidP="00C26784">
      <w:pPr>
        <w:spacing w:line="240" w:lineRule="auto"/>
        <w:jc w:val="both"/>
        <w:rPr>
          <w:rFonts w:ascii="Calibri" w:hAnsi="Calibri" w:cs="Calibri"/>
        </w:rPr>
      </w:pPr>
      <w:r w:rsidRPr="2625F7EE">
        <w:rPr>
          <w:rFonts w:ascii="Calibri" w:hAnsi="Calibri" w:cs="Calibri"/>
        </w:rPr>
        <w:t>Apesar desta abertura à inovação, o estudo revela que as prioridades das empresas continuam marcadas por objetivos de crescimento mais imediatos. Aumentar as vendas no mercado nacional é a principal prioridade para os próximos dois a três anos, referida por 25,2% dos inquiridos, seguindo-se a exportação para novos mercados, com 15,9%, e o investimento em novas tecnologias, digitalização ou automatização, com 15,2%.</w:t>
      </w:r>
    </w:p>
    <w:p w14:paraId="19693BA0" w14:textId="77777777" w:rsidR="00C26784" w:rsidRPr="003C6E7F" w:rsidRDefault="00C26784" w:rsidP="00C26784">
      <w:pPr>
        <w:spacing w:line="240" w:lineRule="auto"/>
        <w:jc w:val="both"/>
      </w:pPr>
    </w:p>
    <w:p w14:paraId="752135C6" w14:textId="24EFFFE6" w:rsidR="00C26784" w:rsidRPr="003C6E7F" w:rsidRDefault="00C26784" w:rsidP="00C26784">
      <w:pPr>
        <w:spacing w:line="240" w:lineRule="auto"/>
        <w:jc w:val="both"/>
      </w:pPr>
      <w:r w:rsidRPr="00835049">
        <w:rPr>
          <w:rFonts w:ascii="Calibri" w:hAnsi="Calibri" w:cs="Calibri"/>
        </w:rPr>
        <w:t>Também neste domínio existem diferenças relevantes entre organizações: enquanto as microempresas estão mais concentradas no crescimento no mercado interno, as grandes empresas demonstram uma orientação mais expressiva para a internacionalização</w:t>
      </w:r>
      <w:r>
        <w:rPr>
          <w:rFonts w:ascii="Calibri" w:hAnsi="Calibri" w:cs="Calibri"/>
        </w:rPr>
        <w:t>,</w:t>
      </w:r>
      <w:r w:rsidRPr="00835049">
        <w:rPr>
          <w:rFonts w:ascii="Calibri" w:hAnsi="Calibri" w:cs="Calibri"/>
        </w:rPr>
        <w:t xml:space="preserve"> com cerca de 37,5% a identificarem o aumento das exportações ou a entrada em novos mercados como principal prioridade.</w:t>
      </w:r>
    </w:p>
    <w:p w14:paraId="69517096" w14:textId="77777777" w:rsidR="00C26784" w:rsidRPr="00D00EDA" w:rsidRDefault="00C26784" w:rsidP="00471FE6">
      <w:pPr>
        <w:spacing w:line="240" w:lineRule="auto"/>
        <w:jc w:val="both"/>
        <w:rPr>
          <w:rFonts w:ascii="Calibri" w:hAnsi="Calibri" w:cs="Calibri"/>
        </w:rPr>
      </w:pPr>
    </w:p>
    <w:p w14:paraId="68DCEFF6" w14:textId="77777777" w:rsidR="00C26784" w:rsidRDefault="00C26784" w:rsidP="00C26784">
      <w:pPr>
        <w:spacing w:line="240" w:lineRule="auto"/>
        <w:jc w:val="both"/>
        <w:rPr>
          <w:rFonts w:ascii="Calibri" w:hAnsi="Calibri" w:cs="Calibri"/>
        </w:rPr>
      </w:pPr>
      <w:r w:rsidRPr="00AA0A3C">
        <w:rPr>
          <w:rFonts w:ascii="Calibri" w:hAnsi="Calibri" w:cs="Calibri"/>
        </w:rPr>
        <w:t>O estudo revela</w:t>
      </w:r>
      <w:r>
        <w:rPr>
          <w:rFonts w:ascii="Calibri" w:hAnsi="Calibri" w:cs="Calibri"/>
        </w:rPr>
        <w:t>,</w:t>
      </w:r>
      <w:r w:rsidRPr="00AA0A3C">
        <w:rPr>
          <w:rFonts w:ascii="Calibri" w:hAnsi="Calibri" w:cs="Calibri"/>
        </w:rPr>
        <w:t xml:space="preserve"> ainda</w:t>
      </w:r>
      <w:r>
        <w:rPr>
          <w:rFonts w:ascii="Calibri" w:hAnsi="Calibri" w:cs="Calibri"/>
        </w:rPr>
        <w:t>,</w:t>
      </w:r>
      <w:r w:rsidRPr="00AA0A3C">
        <w:rPr>
          <w:rFonts w:ascii="Calibri" w:hAnsi="Calibri" w:cs="Calibri"/>
        </w:rPr>
        <w:t xml:space="preserve"> que 75,2% dos decisores consideram as consultoras presentes no mercado semelhantes no essencial ou muito semelhantes entre si, reforçando a importância da confiança, da experiência e da demonstração de resultados enquanto fatores de diferenciação.</w:t>
      </w:r>
    </w:p>
    <w:p w14:paraId="7EEE9A63" w14:textId="77777777" w:rsidR="00C26784" w:rsidRDefault="00C26784" w:rsidP="00C26784">
      <w:pPr>
        <w:spacing w:line="240" w:lineRule="auto"/>
        <w:jc w:val="both"/>
        <w:rPr>
          <w:rFonts w:ascii="Calibri" w:hAnsi="Calibri" w:cs="Calibri"/>
        </w:rPr>
      </w:pPr>
    </w:p>
    <w:p w14:paraId="479E5A32" w14:textId="7CDBF0F3" w:rsidR="001C5727" w:rsidRPr="003C6E7F" w:rsidRDefault="001C5727" w:rsidP="001C5727">
      <w:pPr>
        <w:spacing w:line="240" w:lineRule="auto"/>
        <w:jc w:val="both"/>
      </w:pPr>
      <w:r w:rsidRPr="00506284">
        <w:rPr>
          <w:rFonts w:ascii="Calibri" w:hAnsi="Calibri" w:cs="Calibri"/>
          <w:i/>
          <w:iCs/>
        </w:rPr>
        <w:t>“Quando três em cada quatro decisores consideram que as consultoras são semelhantes no essencial, enumerar serviços já não chega. A diferenciação terá de ser demonstrada através do impacto</w:t>
      </w:r>
      <w:r>
        <w:rPr>
          <w:rFonts w:ascii="Calibri" w:hAnsi="Calibri" w:cs="Calibri"/>
          <w:i/>
          <w:iCs/>
        </w:rPr>
        <w:t xml:space="preserve"> e do valor acrescentado que conseguimos gerar no cliente</w:t>
      </w:r>
      <w:r w:rsidRPr="00506284">
        <w:rPr>
          <w:rFonts w:ascii="Calibri" w:hAnsi="Calibri" w:cs="Calibri"/>
          <w:i/>
          <w:iCs/>
        </w:rPr>
        <w:t xml:space="preserve">: o que mudou na empresa, que risco foi reduzido, que oportunidade foi criada e que resultado foi alcançado. </w:t>
      </w:r>
      <w:r w:rsidRPr="00835049">
        <w:rPr>
          <w:rFonts w:ascii="Calibri" w:hAnsi="Calibri" w:cs="Calibri"/>
          <w:i/>
          <w:iCs/>
        </w:rPr>
        <w:t xml:space="preserve">A tecnologia passou a ser esperada, mas não substitui a confiança e, num mercado percecionado como semelhante, a diferenciação depende da prova de </w:t>
      </w:r>
      <w:r w:rsidR="00CD2E13">
        <w:rPr>
          <w:rFonts w:ascii="Calibri" w:hAnsi="Calibri" w:cs="Calibri"/>
          <w:i/>
          <w:iCs/>
        </w:rPr>
        <w:t>valor</w:t>
      </w:r>
      <w:r w:rsidRPr="00C87DAD">
        <w:rPr>
          <w:rFonts w:ascii="Calibri" w:hAnsi="Calibri" w:cs="Calibri"/>
          <w:i/>
          <w:iCs/>
        </w:rPr>
        <w:t xml:space="preserve">”, </w:t>
      </w:r>
      <w:r w:rsidRPr="00C87DAD">
        <w:rPr>
          <w:rFonts w:ascii="Calibri" w:hAnsi="Calibri" w:cs="Calibri"/>
        </w:rPr>
        <w:t xml:space="preserve">conclui </w:t>
      </w:r>
      <w:r>
        <w:rPr>
          <w:rFonts w:ascii="Calibri" w:hAnsi="Calibri" w:cs="Calibri"/>
        </w:rPr>
        <w:t xml:space="preserve">Andreia </w:t>
      </w:r>
      <w:proofErr w:type="spellStart"/>
      <w:r>
        <w:rPr>
          <w:rFonts w:ascii="Calibri" w:hAnsi="Calibri" w:cs="Calibri"/>
        </w:rPr>
        <w:t>Jotta</w:t>
      </w:r>
      <w:proofErr w:type="spellEnd"/>
      <w:r w:rsidRPr="00C87DAD">
        <w:rPr>
          <w:rFonts w:ascii="Calibri" w:hAnsi="Calibri" w:cs="Calibri"/>
        </w:rPr>
        <w:t>.</w:t>
      </w:r>
    </w:p>
    <w:p w14:paraId="4EB5F539" w14:textId="77777777" w:rsidR="00641C7D" w:rsidRDefault="00641C7D" w:rsidP="0071063E">
      <w:pPr>
        <w:spacing w:line="240" w:lineRule="auto"/>
        <w:jc w:val="both"/>
        <w:rPr>
          <w:rFonts w:ascii="Calibri" w:hAnsi="Calibri" w:cs="Calibri"/>
          <w:b/>
          <w:bCs/>
        </w:rPr>
      </w:pPr>
    </w:p>
    <w:p w14:paraId="44F2C8D4" w14:textId="77777777" w:rsidR="00641C7D" w:rsidRDefault="00641C7D" w:rsidP="0071063E">
      <w:pPr>
        <w:spacing w:line="240" w:lineRule="auto"/>
        <w:jc w:val="both"/>
        <w:rPr>
          <w:rFonts w:ascii="Calibri" w:hAnsi="Calibri" w:cs="Calibri"/>
          <w:b/>
          <w:bCs/>
        </w:rPr>
      </w:pPr>
    </w:p>
    <w:p w14:paraId="32043265" w14:textId="77777777" w:rsidR="00641C7D" w:rsidRDefault="00641C7D" w:rsidP="0071063E">
      <w:pPr>
        <w:spacing w:line="240" w:lineRule="auto"/>
        <w:jc w:val="both"/>
        <w:rPr>
          <w:rFonts w:ascii="Calibri" w:hAnsi="Calibri" w:cs="Calibri"/>
          <w:b/>
          <w:bCs/>
        </w:rPr>
      </w:pPr>
    </w:p>
    <w:p w14:paraId="371E3015" w14:textId="1B636211" w:rsidR="0071063E" w:rsidRDefault="72F59682" w:rsidP="0071063E">
      <w:pPr>
        <w:spacing w:line="240" w:lineRule="auto"/>
        <w:jc w:val="both"/>
        <w:rPr>
          <w:rFonts w:ascii="Calibri" w:hAnsi="Calibri" w:cs="Calibri"/>
          <w:b/>
          <w:bCs/>
          <w:sz w:val="18"/>
          <w:szCs w:val="18"/>
        </w:rPr>
      </w:pPr>
      <w:r w:rsidRPr="0071063E">
        <w:rPr>
          <w:rFonts w:ascii="Calibri" w:hAnsi="Calibri" w:cs="Calibri"/>
          <w:b/>
          <w:bCs/>
          <w:sz w:val="18"/>
          <w:szCs w:val="18"/>
        </w:rPr>
        <w:t>Sobre o estudo</w:t>
      </w:r>
    </w:p>
    <w:p w14:paraId="259DCB68" w14:textId="77777777" w:rsidR="0071063E" w:rsidRPr="0071063E" w:rsidRDefault="0071063E" w:rsidP="0071063E">
      <w:pPr>
        <w:spacing w:line="240" w:lineRule="auto"/>
        <w:jc w:val="both"/>
        <w:rPr>
          <w:rFonts w:ascii="Calibri" w:hAnsi="Calibri" w:cs="Calibri"/>
          <w:b/>
          <w:bCs/>
          <w:sz w:val="10"/>
          <w:szCs w:val="10"/>
        </w:rPr>
      </w:pPr>
    </w:p>
    <w:p w14:paraId="5AFAF8FE" w14:textId="785D8758" w:rsidR="00724E12" w:rsidRPr="0071063E" w:rsidRDefault="72F59682" w:rsidP="0071063E">
      <w:pPr>
        <w:spacing w:line="240" w:lineRule="auto"/>
        <w:jc w:val="both"/>
        <w:rPr>
          <w:rFonts w:ascii="Calibri" w:hAnsi="Calibri" w:cs="Calibri"/>
          <w:b/>
          <w:bCs/>
          <w:sz w:val="18"/>
          <w:szCs w:val="18"/>
        </w:rPr>
      </w:pPr>
      <w:r w:rsidRPr="0071063E">
        <w:rPr>
          <w:rFonts w:ascii="Calibri" w:hAnsi="Calibri" w:cs="Calibri"/>
          <w:sz w:val="18"/>
          <w:szCs w:val="18"/>
        </w:rPr>
        <w:t xml:space="preserve">O estudo “Mercado da Consultoria” foi desenvolvido pela </w:t>
      </w:r>
      <w:proofErr w:type="spellStart"/>
      <w:r w:rsidRPr="0071063E">
        <w:rPr>
          <w:rFonts w:ascii="Calibri" w:hAnsi="Calibri" w:cs="Calibri"/>
          <w:sz w:val="18"/>
          <w:szCs w:val="18"/>
        </w:rPr>
        <w:t>Multidados</w:t>
      </w:r>
      <w:proofErr w:type="spellEnd"/>
      <w:r w:rsidRPr="0071063E">
        <w:rPr>
          <w:rFonts w:ascii="Calibri" w:hAnsi="Calibri" w:cs="Calibri"/>
          <w:sz w:val="18"/>
          <w:szCs w:val="18"/>
        </w:rPr>
        <w:t xml:space="preserve"> para a </w:t>
      </w:r>
      <w:proofErr w:type="spellStart"/>
      <w:r w:rsidRPr="0071063E">
        <w:rPr>
          <w:rFonts w:ascii="Calibri" w:hAnsi="Calibri" w:cs="Calibri"/>
          <w:sz w:val="18"/>
          <w:szCs w:val="18"/>
        </w:rPr>
        <w:t>Yunit</w:t>
      </w:r>
      <w:proofErr w:type="spellEnd"/>
      <w:r w:rsidRPr="0071063E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71063E">
        <w:rPr>
          <w:rFonts w:ascii="Calibri" w:hAnsi="Calibri" w:cs="Calibri"/>
          <w:sz w:val="18"/>
          <w:szCs w:val="18"/>
        </w:rPr>
        <w:t>Consulting</w:t>
      </w:r>
      <w:proofErr w:type="spellEnd"/>
      <w:r w:rsidRPr="0071063E">
        <w:rPr>
          <w:rFonts w:ascii="Calibri" w:hAnsi="Calibri" w:cs="Calibri"/>
          <w:sz w:val="18"/>
          <w:szCs w:val="18"/>
        </w:rPr>
        <w:t xml:space="preserve"> com o objetivo de analisar a perceção sobre a importância, os critérios de escolha e a avaliação das empresas prestadoras de serviços de consultoria. Foram realizados 300 inquéritos a profissionais com responsabilidades de decisão sobre a contratação </w:t>
      </w:r>
      <w:r w:rsidRPr="0071063E">
        <w:rPr>
          <w:rFonts w:ascii="Calibri" w:hAnsi="Calibri" w:cs="Calibri"/>
          <w:sz w:val="18"/>
          <w:szCs w:val="18"/>
        </w:rPr>
        <w:lastRenderedPageBreak/>
        <w:t>destes serviços nas organizações que representam. O trabalho de campo decorreu entre 21 de janeiro e 7 de abril de 2026.</w:t>
      </w:r>
    </w:p>
    <w:p w14:paraId="2FF38116" w14:textId="77777777" w:rsidR="00AF2F70" w:rsidRPr="0071063E" w:rsidRDefault="00AF2F70" w:rsidP="005F6DAB">
      <w:pPr>
        <w:spacing w:line="240" w:lineRule="auto"/>
        <w:jc w:val="both"/>
        <w:rPr>
          <w:rFonts w:ascii="Calibri" w:hAnsi="Calibri" w:cs="Calibri"/>
          <w:sz w:val="18"/>
          <w:szCs w:val="18"/>
        </w:rPr>
      </w:pPr>
    </w:p>
    <w:p w14:paraId="33DA040A" w14:textId="31D2A641" w:rsidR="00BD5CC0" w:rsidRDefault="00423D8E" w:rsidP="00423D8E">
      <w:pPr>
        <w:spacing w:line="240" w:lineRule="auto"/>
        <w:jc w:val="both"/>
        <w:rPr>
          <w:rFonts w:ascii="Calibri" w:hAnsi="Calibri" w:cs="Calibri"/>
          <w:b/>
          <w:bCs/>
          <w:color w:val="000000"/>
          <w:sz w:val="18"/>
          <w:szCs w:val="18"/>
        </w:rPr>
      </w:pPr>
      <w:r w:rsidRPr="0071063E">
        <w:rPr>
          <w:rFonts w:ascii="Calibri" w:hAnsi="Calibri" w:cs="Calibri"/>
          <w:b/>
          <w:bCs/>
          <w:color w:val="000000"/>
          <w:sz w:val="18"/>
          <w:szCs w:val="18"/>
        </w:rPr>
        <w:t>Sobre</w:t>
      </w:r>
      <w:r w:rsidR="00587EDD" w:rsidRPr="0071063E">
        <w:rPr>
          <w:rFonts w:ascii="Calibri" w:hAnsi="Calibri" w:cs="Calibri"/>
          <w:b/>
          <w:bCs/>
          <w:color w:val="000000"/>
          <w:sz w:val="18"/>
          <w:szCs w:val="18"/>
        </w:rPr>
        <w:t xml:space="preserve"> a</w:t>
      </w:r>
      <w:r w:rsidRPr="0071063E">
        <w:rPr>
          <w:rFonts w:ascii="Calibri" w:hAnsi="Calibri" w:cs="Calibri"/>
          <w:b/>
          <w:bCs/>
          <w:color w:val="000000"/>
          <w:sz w:val="18"/>
          <w:szCs w:val="18"/>
        </w:rPr>
        <w:t xml:space="preserve"> </w:t>
      </w:r>
      <w:proofErr w:type="spellStart"/>
      <w:r w:rsidR="000B268B" w:rsidRPr="0071063E">
        <w:rPr>
          <w:rFonts w:ascii="Calibri" w:hAnsi="Calibri" w:cs="Calibri"/>
          <w:b/>
          <w:bCs/>
          <w:color w:val="000000"/>
          <w:sz w:val="18"/>
          <w:szCs w:val="18"/>
        </w:rPr>
        <w:t>Yunit</w:t>
      </w:r>
      <w:proofErr w:type="spellEnd"/>
      <w:r w:rsidR="000B268B" w:rsidRPr="0071063E">
        <w:rPr>
          <w:rFonts w:ascii="Calibri" w:hAnsi="Calibri" w:cs="Calibri"/>
          <w:b/>
          <w:bCs/>
          <w:color w:val="000000"/>
          <w:sz w:val="18"/>
          <w:szCs w:val="18"/>
        </w:rPr>
        <w:t xml:space="preserve"> </w:t>
      </w:r>
      <w:proofErr w:type="spellStart"/>
      <w:r w:rsidR="000B268B" w:rsidRPr="0071063E">
        <w:rPr>
          <w:rFonts w:ascii="Calibri" w:hAnsi="Calibri" w:cs="Calibri"/>
          <w:b/>
          <w:bCs/>
          <w:color w:val="000000"/>
          <w:sz w:val="18"/>
          <w:szCs w:val="18"/>
        </w:rPr>
        <w:t>Consulting</w:t>
      </w:r>
      <w:proofErr w:type="spellEnd"/>
    </w:p>
    <w:p w14:paraId="4D194A71" w14:textId="77777777" w:rsidR="0071063E" w:rsidRPr="0071063E" w:rsidRDefault="0071063E" w:rsidP="00423D8E">
      <w:pPr>
        <w:spacing w:line="240" w:lineRule="auto"/>
        <w:jc w:val="both"/>
        <w:rPr>
          <w:rFonts w:ascii="Calibri" w:hAnsi="Calibri" w:cs="Calibri"/>
          <w:b/>
          <w:bCs/>
          <w:color w:val="000000"/>
          <w:sz w:val="10"/>
          <w:szCs w:val="10"/>
        </w:rPr>
      </w:pPr>
    </w:p>
    <w:p w14:paraId="55F4EB33" w14:textId="2FEFEB9B" w:rsidR="00B06E0B" w:rsidRPr="0071063E" w:rsidRDefault="005566E4" w:rsidP="005566E4">
      <w:pPr>
        <w:spacing w:line="240" w:lineRule="auto"/>
        <w:jc w:val="both"/>
        <w:rPr>
          <w:rFonts w:ascii="Calibri" w:hAnsi="Calibri" w:cs="Calibri"/>
          <w:bCs/>
          <w:color w:val="000000"/>
          <w:sz w:val="18"/>
          <w:szCs w:val="18"/>
        </w:rPr>
      </w:pPr>
      <w:r w:rsidRPr="0071063E">
        <w:rPr>
          <w:rFonts w:ascii="Calibri" w:hAnsi="Calibri" w:cs="Calibri"/>
          <w:bCs/>
          <w:color w:val="000000"/>
          <w:sz w:val="18"/>
          <w:szCs w:val="18"/>
        </w:rPr>
        <w:t xml:space="preserve">A </w:t>
      </w:r>
      <w:proofErr w:type="spellStart"/>
      <w:r w:rsidRPr="0071063E">
        <w:rPr>
          <w:rFonts w:ascii="Calibri" w:hAnsi="Calibri" w:cs="Calibri"/>
          <w:bCs/>
          <w:color w:val="000000"/>
          <w:sz w:val="18"/>
          <w:szCs w:val="18"/>
        </w:rPr>
        <w:t>Yunit</w:t>
      </w:r>
      <w:proofErr w:type="spellEnd"/>
      <w:r w:rsidRPr="0071063E">
        <w:rPr>
          <w:rFonts w:ascii="Calibri" w:hAnsi="Calibri" w:cs="Calibri"/>
          <w:bCs/>
          <w:color w:val="000000"/>
          <w:sz w:val="18"/>
          <w:szCs w:val="18"/>
        </w:rPr>
        <w:t xml:space="preserve"> </w:t>
      </w:r>
      <w:proofErr w:type="spellStart"/>
      <w:r w:rsidRPr="0071063E">
        <w:rPr>
          <w:rFonts w:ascii="Calibri" w:hAnsi="Calibri" w:cs="Calibri"/>
          <w:bCs/>
          <w:color w:val="000000"/>
          <w:sz w:val="18"/>
          <w:szCs w:val="18"/>
        </w:rPr>
        <w:t>Consulting</w:t>
      </w:r>
      <w:proofErr w:type="spellEnd"/>
      <w:r w:rsidRPr="0071063E">
        <w:rPr>
          <w:rFonts w:ascii="Calibri" w:hAnsi="Calibri" w:cs="Calibri"/>
          <w:bCs/>
          <w:color w:val="000000"/>
          <w:sz w:val="18"/>
          <w:szCs w:val="18"/>
        </w:rPr>
        <w:t xml:space="preserve"> é uma consultora de gestão especializada no apoio ao investimento e à capitalização das empresas, através da otimização de incentivos financeiros e fiscais. Com uma abordagem orientada para a criação de valor e crescimento sustentável, a </w:t>
      </w:r>
      <w:proofErr w:type="spellStart"/>
      <w:r w:rsidRPr="0071063E">
        <w:rPr>
          <w:rFonts w:ascii="Calibri" w:hAnsi="Calibri" w:cs="Calibri"/>
          <w:bCs/>
          <w:color w:val="000000"/>
          <w:sz w:val="18"/>
          <w:szCs w:val="18"/>
        </w:rPr>
        <w:t>Yunit</w:t>
      </w:r>
      <w:proofErr w:type="spellEnd"/>
      <w:r w:rsidRPr="0071063E">
        <w:rPr>
          <w:rFonts w:ascii="Calibri" w:hAnsi="Calibri" w:cs="Calibri"/>
          <w:bCs/>
          <w:color w:val="000000"/>
          <w:sz w:val="18"/>
          <w:szCs w:val="18"/>
        </w:rPr>
        <w:t xml:space="preserve"> </w:t>
      </w:r>
      <w:proofErr w:type="spellStart"/>
      <w:r w:rsidR="00B06E0B" w:rsidRPr="0071063E">
        <w:rPr>
          <w:rFonts w:ascii="Calibri" w:hAnsi="Calibri" w:cs="Calibri"/>
          <w:bCs/>
          <w:color w:val="000000"/>
          <w:sz w:val="18"/>
          <w:szCs w:val="18"/>
        </w:rPr>
        <w:t>Consulting</w:t>
      </w:r>
      <w:proofErr w:type="spellEnd"/>
      <w:r w:rsidR="00B06E0B" w:rsidRPr="0071063E">
        <w:rPr>
          <w:rFonts w:ascii="Calibri" w:hAnsi="Calibri" w:cs="Calibri"/>
          <w:bCs/>
          <w:color w:val="000000"/>
          <w:sz w:val="18"/>
          <w:szCs w:val="18"/>
        </w:rPr>
        <w:t xml:space="preserve"> </w:t>
      </w:r>
      <w:r w:rsidRPr="0071063E">
        <w:rPr>
          <w:rFonts w:ascii="Calibri" w:hAnsi="Calibri" w:cs="Calibri"/>
          <w:bCs/>
          <w:color w:val="000000"/>
          <w:sz w:val="18"/>
          <w:szCs w:val="18"/>
        </w:rPr>
        <w:t>ajuda empresas a identificar e implementar soluções estratégicas para fortalecer os seus negócios.</w:t>
      </w:r>
      <w:r w:rsidR="00B06E0B" w:rsidRPr="0071063E">
        <w:rPr>
          <w:rFonts w:ascii="Calibri" w:hAnsi="Calibri" w:cs="Calibri"/>
          <w:bCs/>
          <w:color w:val="000000"/>
          <w:sz w:val="18"/>
          <w:szCs w:val="18"/>
        </w:rPr>
        <w:t xml:space="preserve"> </w:t>
      </w:r>
      <w:r w:rsidRPr="0071063E">
        <w:rPr>
          <w:rFonts w:ascii="Calibri" w:hAnsi="Calibri" w:cs="Calibri"/>
          <w:bCs/>
          <w:color w:val="000000"/>
          <w:sz w:val="18"/>
          <w:szCs w:val="18"/>
        </w:rPr>
        <w:t xml:space="preserve">A consultora destaca-se pelo conhecimento técnico e visão estratégica, assegurando um acompanhamento personalizado que impulsiona a competitividade e inovação no tecido empresarial português. </w:t>
      </w:r>
    </w:p>
    <w:p w14:paraId="2DF16ACA" w14:textId="0E8EF02C" w:rsidR="005566E4" w:rsidRPr="0071063E" w:rsidRDefault="005566E4" w:rsidP="005566E4">
      <w:pPr>
        <w:spacing w:line="240" w:lineRule="auto"/>
        <w:jc w:val="both"/>
        <w:rPr>
          <w:rFonts w:ascii="Calibri" w:hAnsi="Calibri" w:cs="Calibri"/>
          <w:bCs/>
          <w:color w:val="000000"/>
          <w:sz w:val="18"/>
          <w:szCs w:val="18"/>
        </w:rPr>
      </w:pPr>
      <w:r w:rsidRPr="0071063E">
        <w:rPr>
          <w:rFonts w:ascii="Calibri" w:hAnsi="Calibri" w:cs="Calibri"/>
          <w:bCs/>
          <w:color w:val="000000"/>
          <w:sz w:val="18"/>
          <w:szCs w:val="18"/>
        </w:rPr>
        <w:t xml:space="preserve">Para mais informações, visite: </w:t>
      </w:r>
      <w:hyperlink r:id="rId10" w:tgtFrame="_new" w:history="1">
        <w:r w:rsidRPr="0071063E">
          <w:rPr>
            <w:rStyle w:val="Hiperligao"/>
            <w:rFonts w:ascii="Calibri" w:hAnsi="Calibri" w:cs="Calibri"/>
            <w:bCs/>
            <w:sz w:val="18"/>
            <w:szCs w:val="18"/>
          </w:rPr>
          <w:t>www.yunit.pt</w:t>
        </w:r>
      </w:hyperlink>
    </w:p>
    <w:p w14:paraId="1F8A5D8A" w14:textId="77777777" w:rsidR="005566E4" w:rsidRPr="007751F7" w:rsidRDefault="005566E4" w:rsidP="00423D8E">
      <w:pPr>
        <w:spacing w:line="240" w:lineRule="auto"/>
        <w:jc w:val="both"/>
        <w:rPr>
          <w:rFonts w:ascii="Calibri" w:hAnsi="Calibri" w:cs="Calibri"/>
          <w:bCs/>
          <w:color w:val="000000"/>
          <w:sz w:val="18"/>
          <w:szCs w:val="18"/>
        </w:rPr>
      </w:pPr>
    </w:p>
    <w:p w14:paraId="3C44F155" w14:textId="30025D8A" w:rsidR="00B35C5E" w:rsidRPr="0017138C" w:rsidRDefault="00B35C5E" w:rsidP="6EC299AB">
      <w:pPr>
        <w:spacing w:line="240" w:lineRule="auto"/>
        <w:jc w:val="both"/>
        <w:rPr>
          <w:rStyle w:val="Hiperligao"/>
          <w:rFonts w:ascii="Calibri" w:hAnsi="Calibri" w:cs="Calibri"/>
          <w:b/>
          <w:color w:val="000000"/>
          <w:sz w:val="18"/>
          <w:szCs w:val="18"/>
          <w:u w:val="none"/>
        </w:rPr>
      </w:pPr>
      <w:r w:rsidRPr="0017138C">
        <w:rPr>
          <w:rStyle w:val="Hiperligao"/>
          <w:rFonts w:ascii="Calibri" w:hAnsi="Calibri" w:cs="Calibri"/>
          <w:b/>
          <w:color w:val="000000"/>
          <w:sz w:val="18"/>
          <w:szCs w:val="18"/>
          <w:u w:val="none"/>
        </w:rPr>
        <w:t>Para mais informações contactar, por favor:</w:t>
      </w:r>
    </w:p>
    <w:p w14:paraId="3BEB2A16" w14:textId="5466FE2B" w:rsidR="00B35C5E" w:rsidRPr="0017138C" w:rsidRDefault="45DFA0AB" w:rsidP="6EC299AB">
      <w:pPr>
        <w:spacing w:line="240" w:lineRule="auto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7138C">
        <w:rPr>
          <w:rStyle w:val="Hiperligao"/>
          <w:rFonts w:ascii="Calibri" w:hAnsi="Calibri" w:cs="Calibri"/>
          <w:color w:val="000000" w:themeColor="text1"/>
          <w:sz w:val="18"/>
          <w:szCs w:val="18"/>
          <w:u w:val="none"/>
        </w:rPr>
        <w:t>Sara Martinho</w:t>
      </w:r>
      <w:r w:rsidR="00B35C5E" w:rsidRPr="0017138C">
        <w:rPr>
          <w:rStyle w:val="Hiperligao"/>
          <w:rFonts w:ascii="Calibri" w:hAnsi="Calibri" w:cs="Calibri"/>
          <w:color w:val="000000" w:themeColor="text1"/>
          <w:sz w:val="18"/>
          <w:szCs w:val="18"/>
          <w:u w:val="none"/>
        </w:rPr>
        <w:t xml:space="preserve"> | </w:t>
      </w:r>
      <w:hyperlink r:id="rId11">
        <w:r w:rsidR="4E84321D" w:rsidRPr="0017138C">
          <w:rPr>
            <w:rStyle w:val="Hiperligao"/>
            <w:rFonts w:ascii="Calibri" w:hAnsi="Calibri" w:cs="Calibri"/>
            <w:sz w:val="18"/>
            <w:szCs w:val="18"/>
          </w:rPr>
          <w:t>sara.martinho@lift.com.pt</w:t>
        </w:r>
      </w:hyperlink>
      <w:r w:rsidR="4E84321D" w:rsidRPr="0017138C">
        <w:rPr>
          <w:rStyle w:val="Hiperligao"/>
          <w:rFonts w:ascii="Calibri" w:hAnsi="Calibri" w:cs="Calibri"/>
          <w:color w:val="000000" w:themeColor="text1"/>
          <w:sz w:val="18"/>
          <w:szCs w:val="18"/>
          <w:u w:val="none"/>
        </w:rPr>
        <w:t xml:space="preserve"> </w:t>
      </w:r>
      <w:r w:rsidR="00B35C5E" w:rsidRPr="0017138C">
        <w:rPr>
          <w:rStyle w:val="Hiperligao"/>
          <w:rFonts w:ascii="Calibri" w:hAnsi="Calibri" w:cs="Calibri"/>
          <w:color w:val="000000" w:themeColor="text1"/>
          <w:sz w:val="18"/>
          <w:szCs w:val="18"/>
          <w:u w:val="none"/>
        </w:rPr>
        <w:t xml:space="preserve"> | </w:t>
      </w:r>
      <w:r w:rsidR="00B35C5E" w:rsidRPr="0017138C">
        <w:rPr>
          <w:rFonts w:ascii="Calibri" w:hAnsi="Calibri" w:cs="Calibri"/>
          <w:color w:val="000000" w:themeColor="text1"/>
          <w:sz w:val="18"/>
          <w:szCs w:val="18"/>
        </w:rPr>
        <w:t>91</w:t>
      </w:r>
      <w:r w:rsidR="312F6D2B" w:rsidRPr="0017138C">
        <w:rPr>
          <w:rFonts w:ascii="Calibri" w:hAnsi="Calibri" w:cs="Calibri"/>
          <w:color w:val="000000" w:themeColor="text1"/>
          <w:sz w:val="18"/>
          <w:szCs w:val="18"/>
        </w:rPr>
        <w:t>0</w:t>
      </w:r>
      <w:r w:rsidR="00B35C5E" w:rsidRPr="0017138C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9EB0D51" w:rsidRPr="0017138C">
        <w:rPr>
          <w:rFonts w:ascii="Calibri" w:hAnsi="Calibri" w:cs="Calibri"/>
          <w:color w:val="000000" w:themeColor="text1"/>
          <w:sz w:val="18"/>
          <w:szCs w:val="18"/>
        </w:rPr>
        <w:t>767</w:t>
      </w:r>
      <w:r w:rsidR="00B35C5E" w:rsidRPr="0017138C">
        <w:rPr>
          <w:rFonts w:ascii="Calibri" w:hAnsi="Calibri" w:cs="Calibri"/>
          <w:color w:val="000000" w:themeColor="text1"/>
          <w:sz w:val="18"/>
          <w:szCs w:val="18"/>
        </w:rPr>
        <w:t> </w:t>
      </w:r>
      <w:r w:rsidR="3B0F6A7D" w:rsidRPr="0017138C">
        <w:rPr>
          <w:rFonts w:ascii="Calibri" w:hAnsi="Calibri" w:cs="Calibri"/>
          <w:color w:val="000000" w:themeColor="text1"/>
          <w:sz w:val="18"/>
          <w:szCs w:val="18"/>
        </w:rPr>
        <w:t>753</w:t>
      </w:r>
    </w:p>
    <w:p w14:paraId="1F4AD26C" w14:textId="4330ADDB" w:rsidR="00EC5D03" w:rsidRPr="0017138C" w:rsidRDefault="00B35C5E" w:rsidP="00B35C5E">
      <w:pPr>
        <w:spacing w:line="240" w:lineRule="auto"/>
        <w:rPr>
          <w:rFonts w:ascii="Calibri" w:hAnsi="Calibri" w:cs="Calibri"/>
          <w:sz w:val="18"/>
          <w:szCs w:val="18"/>
        </w:rPr>
      </w:pPr>
      <w:r w:rsidRPr="0017138C">
        <w:rPr>
          <w:rFonts w:ascii="Calibri" w:hAnsi="Calibri" w:cs="Calibri"/>
          <w:color w:val="000000"/>
          <w:sz w:val="18"/>
          <w:szCs w:val="18"/>
        </w:rPr>
        <w:t xml:space="preserve">Anabela Pereira | </w:t>
      </w:r>
      <w:hyperlink r:id="rId12">
        <w:r w:rsidRPr="0017138C">
          <w:rPr>
            <w:rStyle w:val="Hiperligao"/>
            <w:rFonts w:ascii="Calibri" w:hAnsi="Calibri" w:cs="Calibri"/>
            <w:sz w:val="18"/>
            <w:szCs w:val="18"/>
          </w:rPr>
          <w:t>anabela@pereira@lift.com.pt</w:t>
        </w:r>
      </w:hyperlink>
      <w:r w:rsidRPr="0017138C">
        <w:rPr>
          <w:rFonts w:ascii="Calibri" w:hAnsi="Calibri" w:cs="Calibri"/>
          <w:color w:val="000000"/>
          <w:sz w:val="18"/>
          <w:szCs w:val="18"/>
        </w:rPr>
        <w:t xml:space="preserve"> | </w:t>
      </w:r>
      <w:r w:rsidRPr="0017138C">
        <w:rPr>
          <w:rFonts w:ascii="Calibri" w:hAnsi="Calibri" w:cs="Calibri"/>
          <w:color w:val="000000"/>
          <w:sz w:val="18"/>
          <w:szCs w:val="18"/>
          <w14:ligatures w14:val="standardContextual"/>
        </w:rPr>
        <w:t>936 282</w:t>
      </w:r>
      <w:r w:rsidR="00CA458A" w:rsidRPr="0017138C">
        <w:rPr>
          <w:rFonts w:ascii="Calibri" w:hAnsi="Calibri" w:cs="Calibri"/>
          <w:color w:val="000000"/>
          <w:sz w:val="18"/>
          <w:szCs w:val="18"/>
          <w14:ligatures w14:val="standardContextual"/>
        </w:rPr>
        <w:t> </w:t>
      </w:r>
      <w:r w:rsidRPr="0017138C">
        <w:rPr>
          <w:rFonts w:ascii="Calibri" w:hAnsi="Calibri" w:cs="Calibri"/>
          <w:color w:val="000000"/>
          <w:sz w:val="18"/>
          <w:szCs w:val="18"/>
          <w14:ligatures w14:val="standardContextual"/>
        </w:rPr>
        <w:t>863</w:t>
      </w:r>
    </w:p>
    <w:p w14:paraId="6F38EDE9" w14:textId="0D8609B6" w:rsidR="00CA458A" w:rsidRPr="0017138C" w:rsidRDefault="00674BC1" w:rsidP="00B35C5E">
      <w:pPr>
        <w:spacing w:line="240" w:lineRule="auto"/>
        <w:rPr>
          <w:rFonts w:ascii="Calibri" w:hAnsi="Calibri" w:cs="Calibri"/>
          <w:sz w:val="18"/>
          <w:szCs w:val="18"/>
        </w:rPr>
      </w:pPr>
      <w:r w:rsidRPr="0017138C">
        <w:rPr>
          <w:rFonts w:ascii="Calibri" w:hAnsi="Calibri" w:cs="Calibri"/>
          <w:sz w:val="18"/>
          <w:szCs w:val="18"/>
        </w:rPr>
        <w:t xml:space="preserve">Matilde Branco | </w:t>
      </w:r>
      <w:hyperlink r:id="rId13" w:history="1">
        <w:r w:rsidRPr="0017138C">
          <w:rPr>
            <w:rStyle w:val="Hiperligao"/>
            <w:rFonts w:ascii="Calibri" w:hAnsi="Calibri" w:cs="Calibri"/>
            <w:sz w:val="18"/>
            <w:szCs w:val="18"/>
          </w:rPr>
          <w:t>matilde.branco@lift.com.pt</w:t>
        </w:r>
      </w:hyperlink>
      <w:r w:rsidRPr="0017138C">
        <w:rPr>
          <w:rFonts w:ascii="Calibri" w:hAnsi="Calibri" w:cs="Calibri"/>
          <w:sz w:val="18"/>
          <w:szCs w:val="18"/>
        </w:rPr>
        <w:t>| 914 417 504</w:t>
      </w:r>
    </w:p>
    <w:p w14:paraId="7E8E4391" w14:textId="77777777" w:rsidR="009425BC" w:rsidRPr="007751F7" w:rsidRDefault="009425BC" w:rsidP="00B35C5E">
      <w:pPr>
        <w:spacing w:line="240" w:lineRule="auto"/>
        <w:rPr>
          <w:rFonts w:ascii="Calibri" w:hAnsi="Calibri" w:cs="Calibri"/>
          <w:sz w:val="18"/>
          <w:szCs w:val="18"/>
        </w:rPr>
      </w:pPr>
    </w:p>
    <w:sectPr w:rsidR="009425BC" w:rsidRPr="007751F7" w:rsidSect="009C31D6">
      <w:headerReference w:type="default" r:id="rId14"/>
      <w:footerReference w:type="default" r:id="rId15"/>
      <w:pgSz w:w="11906" w:h="16838"/>
      <w:pgMar w:top="232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073AD" w14:textId="77777777" w:rsidR="00133393" w:rsidRDefault="00133393" w:rsidP="00336EC1">
      <w:pPr>
        <w:spacing w:line="240" w:lineRule="auto"/>
      </w:pPr>
      <w:r>
        <w:separator/>
      </w:r>
    </w:p>
  </w:endnote>
  <w:endnote w:type="continuationSeparator" w:id="0">
    <w:p w14:paraId="708AA8CC" w14:textId="77777777" w:rsidR="00133393" w:rsidRDefault="00133393" w:rsidP="00336E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68D785A9" w14:paraId="385C04AF" w14:textId="77777777" w:rsidTr="68D785A9">
      <w:trPr>
        <w:trHeight w:val="300"/>
      </w:trPr>
      <w:tc>
        <w:tcPr>
          <w:tcW w:w="2830" w:type="dxa"/>
        </w:tcPr>
        <w:p w14:paraId="3A517461" w14:textId="1936A2D1" w:rsidR="68D785A9" w:rsidRDefault="68D785A9" w:rsidP="68D785A9">
          <w:pPr>
            <w:pStyle w:val="Cabealho"/>
            <w:ind w:left="-115"/>
          </w:pPr>
        </w:p>
      </w:tc>
      <w:tc>
        <w:tcPr>
          <w:tcW w:w="2830" w:type="dxa"/>
        </w:tcPr>
        <w:p w14:paraId="6FCF1011" w14:textId="58EA13B3" w:rsidR="68D785A9" w:rsidRDefault="68D785A9" w:rsidP="68D785A9">
          <w:pPr>
            <w:pStyle w:val="Cabealho"/>
            <w:jc w:val="center"/>
          </w:pPr>
        </w:p>
      </w:tc>
      <w:tc>
        <w:tcPr>
          <w:tcW w:w="2830" w:type="dxa"/>
        </w:tcPr>
        <w:p w14:paraId="43162B2D" w14:textId="49AB8092" w:rsidR="68D785A9" w:rsidRDefault="68D785A9" w:rsidP="68D785A9">
          <w:pPr>
            <w:pStyle w:val="Cabealho"/>
            <w:ind w:right="-115"/>
            <w:jc w:val="right"/>
          </w:pPr>
        </w:p>
      </w:tc>
    </w:tr>
  </w:tbl>
  <w:p w14:paraId="7428C761" w14:textId="48575707" w:rsidR="68D785A9" w:rsidRDefault="68D785A9" w:rsidP="68D785A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8F7E8" w14:textId="77777777" w:rsidR="00133393" w:rsidRDefault="00133393" w:rsidP="00336EC1">
      <w:pPr>
        <w:spacing w:line="240" w:lineRule="auto"/>
      </w:pPr>
      <w:r>
        <w:separator/>
      </w:r>
    </w:p>
  </w:footnote>
  <w:footnote w:type="continuationSeparator" w:id="0">
    <w:p w14:paraId="398F75F3" w14:textId="77777777" w:rsidR="00133393" w:rsidRDefault="00133393" w:rsidP="00336E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76BB" w14:textId="53B99E96" w:rsidR="00336EC1" w:rsidRDefault="00336EC1" w:rsidP="00336EC1">
    <w:pPr>
      <w:pStyle w:val="Cabealho"/>
      <w:jc w:val="center"/>
    </w:pPr>
    <w:r>
      <w:rPr>
        <w:noProof/>
      </w:rPr>
      <w:drawing>
        <wp:inline distT="0" distB="0" distL="0" distR="0" wp14:anchorId="1305D190" wp14:editId="6D5D8491">
          <wp:extent cx="1524289" cy="772678"/>
          <wp:effectExtent l="0" t="0" r="0" b="8890"/>
          <wp:docPr id="18277995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289" cy="7726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D2CE9"/>
    <w:multiLevelType w:val="hybridMultilevel"/>
    <w:tmpl w:val="323C99C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C05799"/>
    <w:multiLevelType w:val="hybridMultilevel"/>
    <w:tmpl w:val="E2BE1E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46AFC"/>
    <w:multiLevelType w:val="multilevel"/>
    <w:tmpl w:val="081674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A0212D8"/>
    <w:multiLevelType w:val="multilevel"/>
    <w:tmpl w:val="46E2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E846A0C"/>
    <w:multiLevelType w:val="hybridMultilevel"/>
    <w:tmpl w:val="77ECFA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C4779F"/>
    <w:multiLevelType w:val="hybridMultilevel"/>
    <w:tmpl w:val="F4BC95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011FA"/>
    <w:multiLevelType w:val="hybridMultilevel"/>
    <w:tmpl w:val="B75E0628"/>
    <w:lvl w:ilvl="0" w:tplc="0816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7" w15:restartNumberingAfterBreak="0">
    <w:nsid w:val="62BC0127"/>
    <w:multiLevelType w:val="multilevel"/>
    <w:tmpl w:val="A89E4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097E42"/>
    <w:multiLevelType w:val="multilevel"/>
    <w:tmpl w:val="19286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D14633"/>
    <w:multiLevelType w:val="multilevel"/>
    <w:tmpl w:val="A3380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2415014">
    <w:abstractNumId w:val="2"/>
  </w:num>
  <w:num w:numId="2" w16cid:durableId="870726850">
    <w:abstractNumId w:val="3"/>
  </w:num>
  <w:num w:numId="3" w16cid:durableId="950477651">
    <w:abstractNumId w:val="9"/>
  </w:num>
  <w:num w:numId="4" w16cid:durableId="72549293">
    <w:abstractNumId w:val="1"/>
  </w:num>
  <w:num w:numId="5" w16cid:durableId="1821000606">
    <w:abstractNumId w:val="5"/>
  </w:num>
  <w:num w:numId="6" w16cid:durableId="1447118094">
    <w:abstractNumId w:val="7"/>
  </w:num>
  <w:num w:numId="7" w16cid:durableId="1693915385">
    <w:abstractNumId w:val="8"/>
  </w:num>
  <w:num w:numId="8" w16cid:durableId="1240099385">
    <w:abstractNumId w:val="4"/>
  </w:num>
  <w:num w:numId="9" w16cid:durableId="835847734">
    <w:abstractNumId w:val="0"/>
  </w:num>
  <w:num w:numId="10" w16cid:durableId="16613023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EC"/>
    <w:rsid w:val="00000BAF"/>
    <w:rsid w:val="000011FA"/>
    <w:rsid w:val="0000562F"/>
    <w:rsid w:val="000113CC"/>
    <w:rsid w:val="0001658A"/>
    <w:rsid w:val="00017022"/>
    <w:rsid w:val="000177E2"/>
    <w:rsid w:val="00033161"/>
    <w:rsid w:val="000364FB"/>
    <w:rsid w:val="000379AA"/>
    <w:rsid w:val="0004101C"/>
    <w:rsid w:val="00044229"/>
    <w:rsid w:val="00051752"/>
    <w:rsid w:val="00051A8E"/>
    <w:rsid w:val="00053573"/>
    <w:rsid w:val="00072626"/>
    <w:rsid w:val="00075CF4"/>
    <w:rsid w:val="00081C47"/>
    <w:rsid w:val="00081EEC"/>
    <w:rsid w:val="00084BAA"/>
    <w:rsid w:val="00091241"/>
    <w:rsid w:val="000A54D0"/>
    <w:rsid w:val="000B1BB1"/>
    <w:rsid w:val="000B268B"/>
    <w:rsid w:val="000B71CD"/>
    <w:rsid w:val="000C16DA"/>
    <w:rsid w:val="000C3131"/>
    <w:rsid w:val="000C6024"/>
    <w:rsid w:val="000C7342"/>
    <w:rsid w:val="000D0DAC"/>
    <w:rsid w:val="000D2501"/>
    <w:rsid w:val="000E107E"/>
    <w:rsid w:val="000E4D58"/>
    <w:rsid w:val="000E5B62"/>
    <w:rsid w:val="000E6F09"/>
    <w:rsid w:val="000F5D07"/>
    <w:rsid w:val="00103519"/>
    <w:rsid w:val="001037E5"/>
    <w:rsid w:val="00104568"/>
    <w:rsid w:val="0010657D"/>
    <w:rsid w:val="001214C3"/>
    <w:rsid w:val="00122132"/>
    <w:rsid w:val="0012513D"/>
    <w:rsid w:val="00127D3F"/>
    <w:rsid w:val="001301C1"/>
    <w:rsid w:val="00131F8D"/>
    <w:rsid w:val="00132DE0"/>
    <w:rsid w:val="00133393"/>
    <w:rsid w:val="001340CD"/>
    <w:rsid w:val="001358F9"/>
    <w:rsid w:val="00135982"/>
    <w:rsid w:val="0013775A"/>
    <w:rsid w:val="00152539"/>
    <w:rsid w:val="001525AA"/>
    <w:rsid w:val="0015569F"/>
    <w:rsid w:val="00157C0A"/>
    <w:rsid w:val="0016143D"/>
    <w:rsid w:val="00161BA7"/>
    <w:rsid w:val="0017138C"/>
    <w:rsid w:val="001720B9"/>
    <w:rsid w:val="00175268"/>
    <w:rsid w:val="00180FA5"/>
    <w:rsid w:val="00185AD7"/>
    <w:rsid w:val="00192F6D"/>
    <w:rsid w:val="001A236E"/>
    <w:rsid w:val="001A2A81"/>
    <w:rsid w:val="001A2E80"/>
    <w:rsid w:val="001B0FA2"/>
    <w:rsid w:val="001B6D2A"/>
    <w:rsid w:val="001B7D69"/>
    <w:rsid w:val="001B7E33"/>
    <w:rsid w:val="001C1B9E"/>
    <w:rsid w:val="001C5727"/>
    <w:rsid w:val="001D1D8F"/>
    <w:rsid w:val="001D2AA5"/>
    <w:rsid w:val="001D4748"/>
    <w:rsid w:val="001D7744"/>
    <w:rsid w:val="001D7DEE"/>
    <w:rsid w:val="001F62FE"/>
    <w:rsid w:val="00200DB2"/>
    <w:rsid w:val="00200EDF"/>
    <w:rsid w:val="0020566A"/>
    <w:rsid w:val="002106DB"/>
    <w:rsid w:val="00210DB9"/>
    <w:rsid w:val="002147A8"/>
    <w:rsid w:val="00221C70"/>
    <w:rsid w:val="00225442"/>
    <w:rsid w:val="00237C2A"/>
    <w:rsid w:val="00241F6D"/>
    <w:rsid w:val="002442BB"/>
    <w:rsid w:val="00244651"/>
    <w:rsid w:val="0024565C"/>
    <w:rsid w:val="00260286"/>
    <w:rsid w:val="002634B2"/>
    <w:rsid w:val="00270276"/>
    <w:rsid w:val="00271385"/>
    <w:rsid w:val="00272A86"/>
    <w:rsid w:val="0027576E"/>
    <w:rsid w:val="002759B7"/>
    <w:rsid w:val="00276CA0"/>
    <w:rsid w:val="00281ED2"/>
    <w:rsid w:val="002866DD"/>
    <w:rsid w:val="00291F65"/>
    <w:rsid w:val="002970EB"/>
    <w:rsid w:val="002A19AC"/>
    <w:rsid w:val="002A253D"/>
    <w:rsid w:val="002A5161"/>
    <w:rsid w:val="002B36AB"/>
    <w:rsid w:val="002B58B2"/>
    <w:rsid w:val="002D0CEC"/>
    <w:rsid w:val="002D28D6"/>
    <w:rsid w:val="002D2B2B"/>
    <w:rsid w:val="002D4D8F"/>
    <w:rsid w:val="002E0447"/>
    <w:rsid w:val="002E24DC"/>
    <w:rsid w:val="002E415D"/>
    <w:rsid w:val="002E5F01"/>
    <w:rsid w:val="002E736D"/>
    <w:rsid w:val="002F0AF0"/>
    <w:rsid w:val="002F5260"/>
    <w:rsid w:val="003036BA"/>
    <w:rsid w:val="00315C39"/>
    <w:rsid w:val="00316D3D"/>
    <w:rsid w:val="00317CE6"/>
    <w:rsid w:val="00320D6D"/>
    <w:rsid w:val="003222B0"/>
    <w:rsid w:val="00326F20"/>
    <w:rsid w:val="00327377"/>
    <w:rsid w:val="00334AD0"/>
    <w:rsid w:val="00336EC1"/>
    <w:rsid w:val="00341014"/>
    <w:rsid w:val="003474E4"/>
    <w:rsid w:val="00357EEF"/>
    <w:rsid w:val="003626E3"/>
    <w:rsid w:val="0036753A"/>
    <w:rsid w:val="003721BD"/>
    <w:rsid w:val="003759DB"/>
    <w:rsid w:val="003769D4"/>
    <w:rsid w:val="00380F98"/>
    <w:rsid w:val="00384628"/>
    <w:rsid w:val="00386B9E"/>
    <w:rsid w:val="00390F0A"/>
    <w:rsid w:val="00396C02"/>
    <w:rsid w:val="003A1483"/>
    <w:rsid w:val="003A230F"/>
    <w:rsid w:val="003A293B"/>
    <w:rsid w:val="003A6932"/>
    <w:rsid w:val="003A7840"/>
    <w:rsid w:val="003B2D6F"/>
    <w:rsid w:val="003B55E5"/>
    <w:rsid w:val="003C25C7"/>
    <w:rsid w:val="003C2AF2"/>
    <w:rsid w:val="003C3250"/>
    <w:rsid w:val="003C686A"/>
    <w:rsid w:val="003C6E7F"/>
    <w:rsid w:val="003D12C9"/>
    <w:rsid w:val="003D14B8"/>
    <w:rsid w:val="003E0221"/>
    <w:rsid w:val="003E6075"/>
    <w:rsid w:val="003F00A2"/>
    <w:rsid w:val="003F3E2E"/>
    <w:rsid w:val="003F5DCE"/>
    <w:rsid w:val="00400599"/>
    <w:rsid w:val="00402F44"/>
    <w:rsid w:val="004044FE"/>
    <w:rsid w:val="00405362"/>
    <w:rsid w:val="004055C6"/>
    <w:rsid w:val="0040572F"/>
    <w:rsid w:val="004143CE"/>
    <w:rsid w:val="00414A5C"/>
    <w:rsid w:val="0041731E"/>
    <w:rsid w:val="00420A42"/>
    <w:rsid w:val="00423D8E"/>
    <w:rsid w:val="00424B49"/>
    <w:rsid w:val="00427646"/>
    <w:rsid w:val="00434F0A"/>
    <w:rsid w:val="004355CF"/>
    <w:rsid w:val="00437B7C"/>
    <w:rsid w:val="0044177B"/>
    <w:rsid w:val="004418C3"/>
    <w:rsid w:val="00443817"/>
    <w:rsid w:val="00443F4E"/>
    <w:rsid w:val="004440BB"/>
    <w:rsid w:val="004448A0"/>
    <w:rsid w:val="004518F6"/>
    <w:rsid w:val="00452210"/>
    <w:rsid w:val="00452B04"/>
    <w:rsid w:val="004543BD"/>
    <w:rsid w:val="004556C4"/>
    <w:rsid w:val="004562D4"/>
    <w:rsid w:val="0046202B"/>
    <w:rsid w:val="00463026"/>
    <w:rsid w:val="00471FE6"/>
    <w:rsid w:val="00477A38"/>
    <w:rsid w:val="004875C7"/>
    <w:rsid w:val="00491C15"/>
    <w:rsid w:val="004A4334"/>
    <w:rsid w:val="004A4735"/>
    <w:rsid w:val="004A5648"/>
    <w:rsid w:val="004B7E36"/>
    <w:rsid w:val="004C6702"/>
    <w:rsid w:val="004D0DAB"/>
    <w:rsid w:val="004D1900"/>
    <w:rsid w:val="004D35A3"/>
    <w:rsid w:val="004D5368"/>
    <w:rsid w:val="004E0159"/>
    <w:rsid w:val="004E097E"/>
    <w:rsid w:val="004F0B0E"/>
    <w:rsid w:val="004F5451"/>
    <w:rsid w:val="004F63B6"/>
    <w:rsid w:val="00505ECD"/>
    <w:rsid w:val="00521167"/>
    <w:rsid w:val="00523814"/>
    <w:rsid w:val="00532199"/>
    <w:rsid w:val="00535401"/>
    <w:rsid w:val="00536CC6"/>
    <w:rsid w:val="00543C0B"/>
    <w:rsid w:val="0054604C"/>
    <w:rsid w:val="00550DFE"/>
    <w:rsid w:val="00555AF6"/>
    <w:rsid w:val="00555B15"/>
    <w:rsid w:val="00555E55"/>
    <w:rsid w:val="0055621A"/>
    <w:rsid w:val="005566E4"/>
    <w:rsid w:val="00564872"/>
    <w:rsid w:val="0056671E"/>
    <w:rsid w:val="005719E8"/>
    <w:rsid w:val="005868A3"/>
    <w:rsid w:val="00587EDD"/>
    <w:rsid w:val="00590002"/>
    <w:rsid w:val="00590DDE"/>
    <w:rsid w:val="00593745"/>
    <w:rsid w:val="00596ACA"/>
    <w:rsid w:val="005A666E"/>
    <w:rsid w:val="005A71A2"/>
    <w:rsid w:val="005B3357"/>
    <w:rsid w:val="005B5D6C"/>
    <w:rsid w:val="005B67DB"/>
    <w:rsid w:val="005C3CCF"/>
    <w:rsid w:val="005D0093"/>
    <w:rsid w:val="005D339E"/>
    <w:rsid w:val="005D3A29"/>
    <w:rsid w:val="005D5146"/>
    <w:rsid w:val="005E64A8"/>
    <w:rsid w:val="005F09BD"/>
    <w:rsid w:val="005F6DAB"/>
    <w:rsid w:val="00601C99"/>
    <w:rsid w:val="00606BF8"/>
    <w:rsid w:val="00610FB7"/>
    <w:rsid w:val="0061503D"/>
    <w:rsid w:val="00616FCC"/>
    <w:rsid w:val="00620079"/>
    <w:rsid w:val="00630612"/>
    <w:rsid w:val="00630652"/>
    <w:rsid w:val="006369BF"/>
    <w:rsid w:val="00637964"/>
    <w:rsid w:val="00641C7D"/>
    <w:rsid w:val="00651AA4"/>
    <w:rsid w:val="006534A4"/>
    <w:rsid w:val="00654F87"/>
    <w:rsid w:val="0065541A"/>
    <w:rsid w:val="006635C3"/>
    <w:rsid w:val="00663BED"/>
    <w:rsid w:val="00671E91"/>
    <w:rsid w:val="00674BC1"/>
    <w:rsid w:val="00676C6D"/>
    <w:rsid w:val="0068137D"/>
    <w:rsid w:val="00682AF6"/>
    <w:rsid w:val="00683B24"/>
    <w:rsid w:val="006848F6"/>
    <w:rsid w:val="006868D3"/>
    <w:rsid w:val="00687CAB"/>
    <w:rsid w:val="00691710"/>
    <w:rsid w:val="00693083"/>
    <w:rsid w:val="00693990"/>
    <w:rsid w:val="006939BE"/>
    <w:rsid w:val="0069437B"/>
    <w:rsid w:val="006A0BC2"/>
    <w:rsid w:val="006A16D7"/>
    <w:rsid w:val="006A79F0"/>
    <w:rsid w:val="006B1C5B"/>
    <w:rsid w:val="006B5C08"/>
    <w:rsid w:val="006C2EA9"/>
    <w:rsid w:val="006C616C"/>
    <w:rsid w:val="006C6279"/>
    <w:rsid w:val="006E3EE8"/>
    <w:rsid w:val="006E3FD6"/>
    <w:rsid w:val="006E4A03"/>
    <w:rsid w:val="006F11B0"/>
    <w:rsid w:val="006F2902"/>
    <w:rsid w:val="006F51C6"/>
    <w:rsid w:val="00705440"/>
    <w:rsid w:val="0071063E"/>
    <w:rsid w:val="0071220F"/>
    <w:rsid w:val="00716D67"/>
    <w:rsid w:val="00722172"/>
    <w:rsid w:val="007242C6"/>
    <w:rsid w:val="00724E12"/>
    <w:rsid w:val="0072726F"/>
    <w:rsid w:val="00727315"/>
    <w:rsid w:val="00727858"/>
    <w:rsid w:val="0073361C"/>
    <w:rsid w:val="00737DD6"/>
    <w:rsid w:val="0074066C"/>
    <w:rsid w:val="00745707"/>
    <w:rsid w:val="007537D5"/>
    <w:rsid w:val="00754A4C"/>
    <w:rsid w:val="00754D2C"/>
    <w:rsid w:val="00755A28"/>
    <w:rsid w:val="00757E22"/>
    <w:rsid w:val="0076248E"/>
    <w:rsid w:val="007751F7"/>
    <w:rsid w:val="007765D7"/>
    <w:rsid w:val="00776EFB"/>
    <w:rsid w:val="00780839"/>
    <w:rsid w:val="00794FAD"/>
    <w:rsid w:val="007A2669"/>
    <w:rsid w:val="007A3785"/>
    <w:rsid w:val="007A5E24"/>
    <w:rsid w:val="007B489D"/>
    <w:rsid w:val="007B61BA"/>
    <w:rsid w:val="007C325E"/>
    <w:rsid w:val="007D6F29"/>
    <w:rsid w:val="007E2DEE"/>
    <w:rsid w:val="007E372F"/>
    <w:rsid w:val="007E585E"/>
    <w:rsid w:val="007E67E4"/>
    <w:rsid w:val="007F5611"/>
    <w:rsid w:val="00805A5A"/>
    <w:rsid w:val="00810055"/>
    <w:rsid w:val="00811D2F"/>
    <w:rsid w:val="00812003"/>
    <w:rsid w:val="008132D5"/>
    <w:rsid w:val="0081353F"/>
    <w:rsid w:val="00816CD1"/>
    <w:rsid w:val="008229F7"/>
    <w:rsid w:val="008232BA"/>
    <w:rsid w:val="00825132"/>
    <w:rsid w:val="00827AD9"/>
    <w:rsid w:val="00841430"/>
    <w:rsid w:val="008439EC"/>
    <w:rsid w:val="0085081A"/>
    <w:rsid w:val="0085357D"/>
    <w:rsid w:val="00857703"/>
    <w:rsid w:val="00860092"/>
    <w:rsid w:val="00866B2A"/>
    <w:rsid w:val="0086713E"/>
    <w:rsid w:val="008770F8"/>
    <w:rsid w:val="00877247"/>
    <w:rsid w:val="0088047D"/>
    <w:rsid w:val="008C1DCD"/>
    <w:rsid w:val="008C3DB6"/>
    <w:rsid w:val="008C5189"/>
    <w:rsid w:val="008C695D"/>
    <w:rsid w:val="008D0728"/>
    <w:rsid w:val="008D56B1"/>
    <w:rsid w:val="008D7287"/>
    <w:rsid w:val="008D72C9"/>
    <w:rsid w:val="008E115D"/>
    <w:rsid w:val="008E1A5D"/>
    <w:rsid w:val="008E4682"/>
    <w:rsid w:val="008F4F03"/>
    <w:rsid w:val="00901017"/>
    <w:rsid w:val="00901376"/>
    <w:rsid w:val="009015F1"/>
    <w:rsid w:val="00902CBC"/>
    <w:rsid w:val="009031C1"/>
    <w:rsid w:val="00903267"/>
    <w:rsid w:val="009079F5"/>
    <w:rsid w:val="0091032C"/>
    <w:rsid w:val="00915200"/>
    <w:rsid w:val="00915FAE"/>
    <w:rsid w:val="00916610"/>
    <w:rsid w:val="009238CD"/>
    <w:rsid w:val="00934FE0"/>
    <w:rsid w:val="009425BC"/>
    <w:rsid w:val="009428D0"/>
    <w:rsid w:val="0098629B"/>
    <w:rsid w:val="0099213D"/>
    <w:rsid w:val="009935E2"/>
    <w:rsid w:val="00993E7D"/>
    <w:rsid w:val="009977E7"/>
    <w:rsid w:val="009979C1"/>
    <w:rsid w:val="009A1D23"/>
    <w:rsid w:val="009A247A"/>
    <w:rsid w:val="009A2EA2"/>
    <w:rsid w:val="009A5D29"/>
    <w:rsid w:val="009A5F0A"/>
    <w:rsid w:val="009B0654"/>
    <w:rsid w:val="009B0C61"/>
    <w:rsid w:val="009C31D6"/>
    <w:rsid w:val="009D1485"/>
    <w:rsid w:val="009D3747"/>
    <w:rsid w:val="009D3E96"/>
    <w:rsid w:val="009D506C"/>
    <w:rsid w:val="009E2109"/>
    <w:rsid w:val="009E266A"/>
    <w:rsid w:val="009E50B5"/>
    <w:rsid w:val="009E5779"/>
    <w:rsid w:val="009F0600"/>
    <w:rsid w:val="009F17F4"/>
    <w:rsid w:val="00A010E8"/>
    <w:rsid w:val="00A01300"/>
    <w:rsid w:val="00A03483"/>
    <w:rsid w:val="00A156EE"/>
    <w:rsid w:val="00A1767B"/>
    <w:rsid w:val="00A2596F"/>
    <w:rsid w:val="00A277E4"/>
    <w:rsid w:val="00A30C27"/>
    <w:rsid w:val="00A32C2E"/>
    <w:rsid w:val="00A33104"/>
    <w:rsid w:val="00A369E2"/>
    <w:rsid w:val="00A40E14"/>
    <w:rsid w:val="00A41661"/>
    <w:rsid w:val="00A51DC0"/>
    <w:rsid w:val="00A52B6C"/>
    <w:rsid w:val="00A54233"/>
    <w:rsid w:val="00A62C89"/>
    <w:rsid w:val="00A63FF0"/>
    <w:rsid w:val="00A64C73"/>
    <w:rsid w:val="00A65CD9"/>
    <w:rsid w:val="00A775D2"/>
    <w:rsid w:val="00A80DD0"/>
    <w:rsid w:val="00A84011"/>
    <w:rsid w:val="00A840AA"/>
    <w:rsid w:val="00A85366"/>
    <w:rsid w:val="00A863A4"/>
    <w:rsid w:val="00A95283"/>
    <w:rsid w:val="00A974FC"/>
    <w:rsid w:val="00AA0A3C"/>
    <w:rsid w:val="00AA2B84"/>
    <w:rsid w:val="00AA3627"/>
    <w:rsid w:val="00AB1B73"/>
    <w:rsid w:val="00AB43CA"/>
    <w:rsid w:val="00AB6E58"/>
    <w:rsid w:val="00AC4B0F"/>
    <w:rsid w:val="00AC7FC9"/>
    <w:rsid w:val="00AD0D45"/>
    <w:rsid w:val="00AD0E1E"/>
    <w:rsid w:val="00AD1F59"/>
    <w:rsid w:val="00AD590C"/>
    <w:rsid w:val="00AE4E5B"/>
    <w:rsid w:val="00AE563C"/>
    <w:rsid w:val="00AF069F"/>
    <w:rsid w:val="00AF134A"/>
    <w:rsid w:val="00AF2F70"/>
    <w:rsid w:val="00AF7592"/>
    <w:rsid w:val="00B02908"/>
    <w:rsid w:val="00B06E0B"/>
    <w:rsid w:val="00B13A34"/>
    <w:rsid w:val="00B16E14"/>
    <w:rsid w:val="00B207BD"/>
    <w:rsid w:val="00B239DC"/>
    <w:rsid w:val="00B25946"/>
    <w:rsid w:val="00B311BC"/>
    <w:rsid w:val="00B35C4D"/>
    <w:rsid w:val="00B35C5E"/>
    <w:rsid w:val="00B40EBE"/>
    <w:rsid w:val="00B420FE"/>
    <w:rsid w:val="00B440A1"/>
    <w:rsid w:val="00B4438A"/>
    <w:rsid w:val="00B47FB6"/>
    <w:rsid w:val="00B5267F"/>
    <w:rsid w:val="00B61D75"/>
    <w:rsid w:val="00B6216B"/>
    <w:rsid w:val="00B6305E"/>
    <w:rsid w:val="00B6323F"/>
    <w:rsid w:val="00B67F11"/>
    <w:rsid w:val="00B723B0"/>
    <w:rsid w:val="00B73012"/>
    <w:rsid w:val="00B736E3"/>
    <w:rsid w:val="00B7475A"/>
    <w:rsid w:val="00B7475C"/>
    <w:rsid w:val="00B749B1"/>
    <w:rsid w:val="00B75B87"/>
    <w:rsid w:val="00B763DC"/>
    <w:rsid w:val="00B8203C"/>
    <w:rsid w:val="00B826D6"/>
    <w:rsid w:val="00B8690B"/>
    <w:rsid w:val="00B96013"/>
    <w:rsid w:val="00BA2228"/>
    <w:rsid w:val="00BA3D5C"/>
    <w:rsid w:val="00BA4BA3"/>
    <w:rsid w:val="00BA7797"/>
    <w:rsid w:val="00BB0C56"/>
    <w:rsid w:val="00BB1367"/>
    <w:rsid w:val="00BB5B5C"/>
    <w:rsid w:val="00BB6367"/>
    <w:rsid w:val="00BC1FE0"/>
    <w:rsid w:val="00BC3F0B"/>
    <w:rsid w:val="00BD0A0A"/>
    <w:rsid w:val="00BD3544"/>
    <w:rsid w:val="00BD491D"/>
    <w:rsid w:val="00BD5CC0"/>
    <w:rsid w:val="00BF121E"/>
    <w:rsid w:val="00C044C1"/>
    <w:rsid w:val="00C07AB7"/>
    <w:rsid w:val="00C13954"/>
    <w:rsid w:val="00C13EEB"/>
    <w:rsid w:val="00C20599"/>
    <w:rsid w:val="00C231D4"/>
    <w:rsid w:val="00C26784"/>
    <w:rsid w:val="00C27B1D"/>
    <w:rsid w:val="00C316C2"/>
    <w:rsid w:val="00C3270F"/>
    <w:rsid w:val="00C34AC0"/>
    <w:rsid w:val="00C34C85"/>
    <w:rsid w:val="00C37290"/>
    <w:rsid w:val="00C508AB"/>
    <w:rsid w:val="00C5131A"/>
    <w:rsid w:val="00C67A52"/>
    <w:rsid w:val="00C71C45"/>
    <w:rsid w:val="00C72A7C"/>
    <w:rsid w:val="00C732EB"/>
    <w:rsid w:val="00C73A01"/>
    <w:rsid w:val="00C74534"/>
    <w:rsid w:val="00C75F70"/>
    <w:rsid w:val="00C770D4"/>
    <w:rsid w:val="00C80865"/>
    <w:rsid w:val="00C86D68"/>
    <w:rsid w:val="00CA155A"/>
    <w:rsid w:val="00CA1B24"/>
    <w:rsid w:val="00CA458A"/>
    <w:rsid w:val="00CA52FB"/>
    <w:rsid w:val="00CA63AC"/>
    <w:rsid w:val="00CA68A7"/>
    <w:rsid w:val="00CB4889"/>
    <w:rsid w:val="00CD1505"/>
    <w:rsid w:val="00CD2E13"/>
    <w:rsid w:val="00CD40A1"/>
    <w:rsid w:val="00CE6E10"/>
    <w:rsid w:val="00CE7E35"/>
    <w:rsid w:val="00D00EDA"/>
    <w:rsid w:val="00D02E22"/>
    <w:rsid w:val="00D03FAB"/>
    <w:rsid w:val="00D10BBD"/>
    <w:rsid w:val="00D146EF"/>
    <w:rsid w:val="00D25B0E"/>
    <w:rsid w:val="00D360C3"/>
    <w:rsid w:val="00D3758C"/>
    <w:rsid w:val="00D42339"/>
    <w:rsid w:val="00D45A59"/>
    <w:rsid w:val="00D563F0"/>
    <w:rsid w:val="00D57BA6"/>
    <w:rsid w:val="00D60DEE"/>
    <w:rsid w:val="00D74367"/>
    <w:rsid w:val="00D829E2"/>
    <w:rsid w:val="00D86E5E"/>
    <w:rsid w:val="00D91730"/>
    <w:rsid w:val="00DA1F4C"/>
    <w:rsid w:val="00DA2906"/>
    <w:rsid w:val="00DA51F7"/>
    <w:rsid w:val="00DA7378"/>
    <w:rsid w:val="00DB1BDA"/>
    <w:rsid w:val="00DC15A8"/>
    <w:rsid w:val="00DC5D56"/>
    <w:rsid w:val="00DC68DC"/>
    <w:rsid w:val="00DC73A7"/>
    <w:rsid w:val="00DD3A2D"/>
    <w:rsid w:val="00DD7661"/>
    <w:rsid w:val="00DE44F8"/>
    <w:rsid w:val="00DE533B"/>
    <w:rsid w:val="00DF2721"/>
    <w:rsid w:val="00E05E54"/>
    <w:rsid w:val="00E105A8"/>
    <w:rsid w:val="00E13D55"/>
    <w:rsid w:val="00E23FC7"/>
    <w:rsid w:val="00E26642"/>
    <w:rsid w:val="00E428D7"/>
    <w:rsid w:val="00E50174"/>
    <w:rsid w:val="00E5500A"/>
    <w:rsid w:val="00E73F12"/>
    <w:rsid w:val="00E77D87"/>
    <w:rsid w:val="00E86E56"/>
    <w:rsid w:val="00E92BA1"/>
    <w:rsid w:val="00EC1B01"/>
    <w:rsid w:val="00EC40DF"/>
    <w:rsid w:val="00EC5D03"/>
    <w:rsid w:val="00ED0909"/>
    <w:rsid w:val="00ED0EA3"/>
    <w:rsid w:val="00ED1775"/>
    <w:rsid w:val="00ED4479"/>
    <w:rsid w:val="00ED58BC"/>
    <w:rsid w:val="00ED678B"/>
    <w:rsid w:val="00EE67D5"/>
    <w:rsid w:val="00EE6BF9"/>
    <w:rsid w:val="00EF4CA6"/>
    <w:rsid w:val="00EF764E"/>
    <w:rsid w:val="00F068FA"/>
    <w:rsid w:val="00F10A97"/>
    <w:rsid w:val="00F127D4"/>
    <w:rsid w:val="00F17165"/>
    <w:rsid w:val="00F2206B"/>
    <w:rsid w:val="00F22C69"/>
    <w:rsid w:val="00F30F96"/>
    <w:rsid w:val="00F34081"/>
    <w:rsid w:val="00F34C9D"/>
    <w:rsid w:val="00F3727B"/>
    <w:rsid w:val="00F40E17"/>
    <w:rsid w:val="00F419B5"/>
    <w:rsid w:val="00F46841"/>
    <w:rsid w:val="00F50799"/>
    <w:rsid w:val="00F54240"/>
    <w:rsid w:val="00F578F6"/>
    <w:rsid w:val="00F62374"/>
    <w:rsid w:val="00F72B35"/>
    <w:rsid w:val="00F82909"/>
    <w:rsid w:val="00F83C48"/>
    <w:rsid w:val="00F84319"/>
    <w:rsid w:val="00F87A89"/>
    <w:rsid w:val="00F913D1"/>
    <w:rsid w:val="00F95746"/>
    <w:rsid w:val="00FA0737"/>
    <w:rsid w:val="00FA76D0"/>
    <w:rsid w:val="00FA77A0"/>
    <w:rsid w:val="00FC3C7C"/>
    <w:rsid w:val="00FC4468"/>
    <w:rsid w:val="00FC664F"/>
    <w:rsid w:val="00FD3B22"/>
    <w:rsid w:val="00FD6850"/>
    <w:rsid w:val="00FD6E6F"/>
    <w:rsid w:val="00FE0022"/>
    <w:rsid w:val="00FE1B3F"/>
    <w:rsid w:val="00FF481C"/>
    <w:rsid w:val="00FF71A8"/>
    <w:rsid w:val="06BF851E"/>
    <w:rsid w:val="09CF8D7E"/>
    <w:rsid w:val="09EB0D51"/>
    <w:rsid w:val="0A254359"/>
    <w:rsid w:val="10DB3B83"/>
    <w:rsid w:val="1178A5B0"/>
    <w:rsid w:val="11A1C226"/>
    <w:rsid w:val="146474B8"/>
    <w:rsid w:val="198DD746"/>
    <w:rsid w:val="1B572616"/>
    <w:rsid w:val="20F147D9"/>
    <w:rsid w:val="2325A514"/>
    <w:rsid w:val="2398E0B5"/>
    <w:rsid w:val="246B3C6C"/>
    <w:rsid w:val="2597ECAD"/>
    <w:rsid w:val="2625F7EE"/>
    <w:rsid w:val="2C385968"/>
    <w:rsid w:val="312F6D2B"/>
    <w:rsid w:val="372F976B"/>
    <w:rsid w:val="3890B88D"/>
    <w:rsid w:val="3B0F6A7D"/>
    <w:rsid w:val="4330072F"/>
    <w:rsid w:val="45DFA0AB"/>
    <w:rsid w:val="4D50C911"/>
    <w:rsid w:val="4E066A2D"/>
    <w:rsid w:val="4E84321D"/>
    <w:rsid w:val="52CB78D8"/>
    <w:rsid w:val="53610EA5"/>
    <w:rsid w:val="566ED483"/>
    <w:rsid w:val="582A7907"/>
    <w:rsid w:val="587CA78E"/>
    <w:rsid w:val="5E4E520F"/>
    <w:rsid w:val="5E7F2AAD"/>
    <w:rsid w:val="640B1174"/>
    <w:rsid w:val="68D785A9"/>
    <w:rsid w:val="69532921"/>
    <w:rsid w:val="6B5B0E1E"/>
    <w:rsid w:val="6EC299AB"/>
    <w:rsid w:val="70DC64DF"/>
    <w:rsid w:val="72F59682"/>
    <w:rsid w:val="73208E4F"/>
    <w:rsid w:val="7475F1D3"/>
    <w:rsid w:val="77F3EA1E"/>
    <w:rsid w:val="7DC39AE7"/>
    <w:rsid w:val="7EF5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C9A7D2"/>
  <w15:chartTrackingRefBased/>
  <w15:docId w15:val="{4E742AA9-9BCB-4823-A73D-AC566BD9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6DB"/>
    <w:pPr>
      <w:spacing w:after="0" w:line="276" w:lineRule="auto"/>
    </w:pPr>
    <w:rPr>
      <w:rFonts w:ascii="Arial" w:eastAsia="Arial" w:hAnsi="Arial" w:cs="Arial"/>
      <w:kern w:val="0"/>
      <w:lang w:eastAsia="en-GB"/>
      <w14:ligatures w14:val="none"/>
    </w:rPr>
  </w:style>
  <w:style w:type="paragraph" w:styleId="Ttulo2">
    <w:name w:val="heading 2"/>
    <w:basedOn w:val="Normal"/>
    <w:link w:val="Ttulo2Carter"/>
    <w:uiPriority w:val="9"/>
    <w:qFormat/>
    <w:rsid w:val="00C75F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Ttulo3">
    <w:name w:val="heading 3"/>
    <w:basedOn w:val="Normal"/>
    <w:link w:val="Ttulo3Carter"/>
    <w:uiPriority w:val="9"/>
    <w:qFormat/>
    <w:rsid w:val="00C75F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2106DB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106DB"/>
    <w:pPr>
      <w:ind w:left="720"/>
      <w:contextualSpacing/>
    </w:pPr>
  </w:style>
  <w:style w:type="paragraph" w:styleId="Reviso">
    <w:name w:val="Revision"/>
    <w:hidden/>
    <w:uiPriority w:val="99"/>
    <w:semiHidden/>
    <w:rsid w:val="00E428D7"/>
    <w:pPr>
      <w:spacing w:after="0" w:line="240" w:lineRule="auto"/>
    </w:pPr>
    <w:rPr>
      <w:rFonts w:ascii="Arial" w:eastAsia="Arial" w:hAnsi="Arial" w:cs="Arial"/>
      <w:kern w:val="0"/>
      <w:lang w:eastAsia="en-GB"/>
      <w14:ligatures w14:val="non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35C5E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B35C5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D3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C75F70"/>
    <w:rPr>
      <w:rFonts w:ascii="Times New Roman" w:eastAsia="Times New Roman" w:hAnsi="Times New Roman" w:cs="Times New Roman"/>
      <w:b/>
      <w:bCs/>
      <w:kern w:val="0"/>
      <w:sz w:val="36"/>
      <w:szCs w:val="36"/>
      <w:lang w:eastAsia="pt-PT"/>
      <w14:ligatures w14:val="none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C75F70"/>
    <w:rPr>
      <w:rFonts w:ascii="Times New Roman" w:eastAsia="Times New Roman" w:hAnsi="Times New Roman" w:cs="Times New Roman"/>
      <w:b/>
      <w:bCs/>
      <w:kern w:val="0"/>
      <w:sz w:val="27"/>
      <w:szCs w:val="27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C75F70"/>
    <w:rPr>
      <w:b/>
      <w:bCs/>
    </w:rPr>
  </w:style>
  <w:style w:type="paragraph" w:customStyle="1" w:styleId="elementtoproof">
    <w:name w:val="elementtoproof"/>
    <w:basedOn w:val="Normal"/>
    <w:rsid w:val="00674BC1"/>
    <w:pPr>
      <w:spacing w:line="240" w:lineRule="auto"/>
    </w:pPr>
    <w:rPr>
      <w:rFonts w:ascii="Aptos" w:eastAsiaTheme="minorHAnsi" w:hAnsi="Aptos" w:cs="Aptos"/>
      <w:sz w:val="24"/>
      <w:szCs w:val="24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336EC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36EC1"/>
    <w:rPr>
      <w:rFonts w:ascii="Arial" w:eastAsia="Arial" w:hAnsi="Arial" w:cs="Arial"/>
      <w:kern w:val="0"/>
      <w:lang w:eastAsia="en-GB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336EC1"/>
    <w:pPr>
      <w:tabs>
        <w:tab w:val="center" w:pos="4252"/>
        <w:tab w:val="right" w:pos="8504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36EC1"/>
    <w:rPr>
      <w:rFonts w:ascii="Arial" w:eastAsia="Arial" w:hAnsi="Arial" w:cs="Arial"/>
      <w:kern w:val="0"/>
      <w:lang w:eastAsia="en-GB"/>
      <w14:ligatures w14:val="non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F40E1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F40E1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F40E17"/>
    <w:rPr>
      <w:rFonts w:ascii="Arial" w:eastAsia="Arial" w:hAnsi="Arial" w:cs="Arial"/>
      <w:kern w:val="0"/>
      <w:sz w:val="20"/>
      <w:szCs w:val="20"/>
      <w:lang w:eastAsia="en-GB"/>
      <w14:ligatures w14:val="non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F40E1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F40E17"/>
    <w:rPr>
      <w:rFonts w:ascii="Arial" w:eastAsia="Arial" w:hAnsi="Arial" w:cs="Arial"/>
      <w:b/>
      <w:bCs/>
      <w:kern w:val="0"/>
      <w:sz w:val="20"/>
      <w:szCs w:val="20"/>
      <w:lang w:eastAsia="en-GB"/>
      <w14:ligatures w14:val="none"/>
    </w:rPr>
  </w:style>
  <w:style w:type="table" w:styleId="TabelacomGrelha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atilde.branco@lift.com.pt|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ncoded-592c9deb-987b-4562-aa3c-9fa3d37d83e9.uri/mailto%3aanabela%40pereira%40lift.com.p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ra.martinho@lift.com.pt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www.yunit.p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a.rodrigues\OneDrive%20-%20Lift%20World\Desktop\Sotheby's\PR%20Estudo%20Luxury%20Outlook%20Report%202025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9E4B95ED44B54C93CF7A24326AA862" ma:contentTypeVersion="16" ma:contentTypeDescription="Create a new document." ma:contentTypeScope="" ma:versionID="99e2f44f1c4188afbee03fc126c18fc8">
  <xsd:schema xmlns:xsd="http://www.w3.org/2001/XMLSchema" xmlns:xs="http://www.w3.org/2001/XMLSchema" xmlns:p="http://schemas.microsoft.com/office/2006/metadata/properties" xmlns:ns2="37e14742-196e-407d-ac28-755036e92368" xmlns:ns3="5616a63c-10d3-4767-bc27-5282019ed633" targetNamespace="http://schemas.microsoft.com/office/2006/metadata/properties" ma:root="true" ma:fieldsID="d154e83391b9c6c29b956c4f577d713c" ns2:_="" ns3:_="">
    <xsd:import namespace="37e14742-196e-407d-ac28-755036e92368"/>
    <xsd:import namespace="5616a63c-10d3-4767-bc27-5282019ed6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14742-196e-407d-ac28-755036e923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d19024-90d2-4c33-a65e-3c6afe2a8e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6a63c-10d3-4767-bc27-5282019ed63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bd9846-c2b6-4657-aa06-c919c6be6780}" ma:internalName="TaxCatchAll" ma:showField="CatchAllData" ma:web="5616a63c-10d3-4767-bc27-5282019ed6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e14742-196e-407d-ac28-755036e92368">
      <Terms xmlns="http://schemas.microsoft.com/office/infopath/2007/PartnerControls"/>
    </lcf76f155ced4ddcb4097134ff3c332f>
    <TaxCatchAll xmlns="5616a63c-10d3-4767-bc27-5282019ed63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F87776-787C-4F74-BBD2-BE76151C0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14742-196e-407d-ac28-755036e92368"/>
    <ds:schemaRef ds:uri="5616a63c-10d3-4767-bc27-5282019ed6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140295-F04F-425C-AAEF-5965DF204302}">
  <ds:schemaRefs>
    <ds:schemaRef ds:uri="http://schemas.microsoft.com/office/2006/metadata/properties"/>
    <ds:schemaRef ds:uri="http://schemas.microsoft.com/office/infopath/2007/PartnerControls"/>
    <ds:schemaRef ds:uri="37e14742-196e-407d-ac28-755036e92368"/>
    <ds:schemaRef ds:uri="5616a63c-10d3-4767-bc27-5282019ed633"/>
  </ds:schemaRefs>
</ds:datastoreItem>
</file>

<file path=customXml/itemProps3.xml><?xml version="1.0" encoding="utf-8"?>
<ds:datastoreItem xmlns:ds="http://schemas.openxmlformats.org/officeDocument/2006/customXml" ds:itemID="{EBF8D4DD-2515-4C99-9EDA-F5B0CF1C54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 Estudo Luxury Outlook Report 2025</Template>
  <TotalTime>6</TotalTime>
  <Pages>3</Pages>
  <Words>1048</Words>
  <Characters>6095</Characters>
  <Application>Microsoft Office Word</Application>
  <DocSecurity>0</DocSecurity>
  <Lines>117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Rodrigues</dc:creator>
  <cp:keywords/>
  <dc:description/>
  <cp:lastModifiedBy>Matilde Branco</cp:lastModifiedBy>
  <cp:revision>7</cp:revision>
  <dcterms:created xsi:type="dcterms:W3CDTF">2026-09-14T15:57:00Z</dcterms:created>
  <dcterms:modified xsi:type="dcterms:W3CDTF">2026-10-14T09:33:00Z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0x010100349E4B95ED44B54C93CF7A24326AA862</vt:lpwstr>
  </property>
</Properties>
</file>