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775D1" w:rsidRDefault="00A0417D">
      <w:pPr>
        <w:jc w:val="center"/>
        <w:rPr>
          <w:b/>
          <w:bCs/>
          <w:sz w:val="28"/>
          <w:szCs w:val="28"/>
        </w:rPr>
      </w:pPr>
      <w:r>
        <w:rPr>
          <w:b/>
          <w:bCs/>
          <w:sz w:val="28"/>
          <w:szCs w:val="28"/>
        </w:rPr>
        <w:t>ITHIC 2026 CHIUDE L’OTTAVA EDIZIONE: IL DEBUTTO MILANESE SUPERA I 1.500 PARTECIPANTI TRA I PROFESSIONISTI DELL’HOSPITALITY E DEL REAL ESTATE</w:t>
      </w:r>
    </w:p>
    <w:p w14:paraId="00000002" w14:textId="77777777" w:rsidR="00A775D1" w:rsidRPr="00276927" w:rsidRDefault="00A0417D">
      <w:pPr>
        <w:jc w:val="center"/>
        <w:rPr>
          <w:i/>
          <w:iCs/>
        </w:rPr>
      </w:pPr>
      <w:r>
        <w:rPr>
          <w:i/>
          <w:iCs/>
        </w:rPr>
        <w:t xml:space="preserve"> Al centro del confronto il futuro degli investimenti alberghieri in Italia, tra capitali internazionali, nuove opportunità di sviluppo e valorizzazi</w:t>
      </w:r>
      <w:r w:rsidRPr="00276927">
        <w:rPr>
          <w:i/>
          <w:iCs/>
        </w:rPr>
        <w:t>one del patrimonio esistente.</w:t>
      </w:r>
    </w:p>
    <w:p w14:paraId="00000003" w14:textId="77777777" w:rsidR="00A775D1" w:rsidRPr="00276927" w:rsidRDefault="00A0417D">
      <w:pPr>
        <w:jc w:val="both"/>
      </w:pPr>
      <w:r w:rsidRPr="00276927">
        <w:rPr>
          <w:b/>
          <w:bCs/>
        </w:rPr>
        <w:t>Milano, ottobre 2026</w:t>
      </w:r>
      <w:r w:rsidRPr="00276927">
        <w:t xml:space="preserve"> – Si è conclusa al Quark Hotel Milano, </w:t>
      </w:r>
      <w:r w:rsidRPr="00276927">
        <w:t xml:space="preserve">struttura del gruppo alberghiero indipendente italiano </w:t>
      </w:r>
      <w:hyperlink r:id="rId5">
        <w:r w:rsidR="00A775D1" w:rsidRPr="00276927">
          <w:rPr>
            <w:color w:val="1155CC"/>
            <w:u w:val="single"/>
          </w:rPr>
          <w:t>Aries Group</w:t>
        </w:r>
      </w:hyperlink>
      <w:r w:rsidRPr="00276927">
        <w:t>,</w:t>
      </w:r>
      <w:r w:rsidRPr="00276927">
        <w:t xml:space="preserve"> la prima edizione milanese di ITHIC – </w:t>
      </w:r>
      <w:proofErr w:type="spellStart"/>
      <w:r w:rsidRPr="00276927">
        <w:t>Italian</w:t>
      </w:r>
      <w:proofErr w:type="spellEnd"/>
      <w:r w:rsidRPr="00276927">
        <w:t xml:space="preserve"> Hospitality Investment Conference, l'appuntamento internazionale organizzato da Teamwork Hospitality e dedicato agli investimenti, al </w:t>
      </w:r>
      <w:proofErr w:type="spellStart"/>
      <w:r w:rsidRPr="00276927">
        <w:t>real</w:t>
      </w:r>
      <w:proofErr w:type="spellEnd"/>
      <w:r w:rsidRPr="00276927">
        <w:t xml:space="preserve"> estate e allo sviluppo del settore alberghiero. Dopo le precedenti edizioni di Rimini e Roma, la manifestazione ha scelto per la prima volta il capoluogo lombardo, riunendo il 30 settembre e il 1° ottobre </w:t>
      </w:r>
      <w:r w:rsidRPr="00276927">
        <w:rPr>
          <w:b/>
          <w:bCs/>
        </w:rPr>
        <w:t>1.547 partecipanti e 170 speaker</w:t>
      </w:r>
      <w:r w:rsidRPr="00276927">
        <w:t>.</w:t>
      </w:r>
    </w:p>
    <w:p w14:paraId="00000004" w14:textId="77777777" w:rsidR="00A775D1" w:rsidRPr="00276927" w:rsidRDefault="00A0417D">
      <w:pPr>
        <w:jc w:val="both"/>
      </w:pPr>
      <w:r w:rsidRPr="00276927">
        <w:t>Due giornate di incontri e approfondimenti che hanno portato a Milano alcuni dei principali protagonisti della finanza e dell'</w:t>
      </w:r>
      <w:proofErr w:type="spellStart"/>
      <w:r w:rsidRPr="00276927">
        <w:t>hospitality</w:t>
      </w:r>
      <w:proofErr w:type="spellEnd"/>
      <w:r w:rsidRPr="00276927">
        <w:t xml:space="preserve"> internazionale, tra investitori, fondi, banche, operatori alberghieri, developer, advisor e grandi brand. Tra le realtà presenti, </w:t>
      </w:r>
      <w:r w:rsidRPr="00276927">
        <w:rPr>
          <w:b/>
          <w:bCs/>
        </w:rPr>
        <w:t xml:space="preserve">Bank of America, </w:t>
      </w:r>
      <w:proofErr w:type="spellStart"/>
      <w:r w:rsidRPr="00276927">
        <w:rPr>
          <w:b/>
          <w:bCs/>
        </w:rPr>
        <w:t>Pigmalyon</w:t>
      </w:r>
      <w:proofErr w:type="spellEnd"/>
      <w:r w:rsidRPr="00276927">
        <w:rPr>
          <w:b/>
          <w:bCs/>
        </w:rPr>
        <w:t xml:space="preserve"> Capital, Cedar Capital, Limestone Capital, </w:t>
      </w:r>
      <w:proofErr w:type="spellStart"/>
      <w:r w:rsidRPr="00276927">
        <w:rPr>
          <w:b/>
          <w:bCs/>
        </w:rPr>
        <w:t>Extendam</w:t>
      </w:r>
      <w:proofErr w:type="spellEnd"/>
      <w:r w:rsidRPr="00276927">
        <w:rPr>
          <w:b/>
          <w:bCs/>
        </w:rPr>
        <w:t>, Starwood Capital Group, Azora e PGIM</w:t>
      </w:r>
      <w:r w:rsidRPr="00276927">
        <w:t>, a conferma dell'interesse del mondo degli investimenti per le prospettive di sviluppo del mercato italiano.</w:t>
      </w:r>
    </w:p>
    <w:p w14:paraId="00000005" w14:textId="77777777" w:rsidR="00A775D1" w:rsidRPr="00276927" w:rsidRDefault="00A0417D">
      <w:pPr>
        <w:jc w:val="both"/>
        <w:rPr>
          <w:b/>
          <w:bCs/>
        </w:rPr>
      </w:pPr>
      <w:r w:rsidRPr="00276927">
        <w:t>Tra i relatori che hanno portato la loro esperienza sullo stage internazionale, CEO dell’</w:t>
      </w:r>
      <w:proofErr w:type="spellStart"/>
      <w:r w:rsidRPr="00276927">
        <w:t>hospitality</w:t>
      </w:r>
      <w:proofErr w:type="spellEnd"/>
      <w:r w:rsidRPr="00276927">
        <w:t xml:space="preserve"> a livello globale: </w:t>
      </w:r>
      <w:r w:rsidRPr="00276927">
        <w:rPr>
          <w:b/>
          <w:bCs/>
        </w:rPr>
        <w:t>Maud Bailly, Céline Vercollier, Gonzalo Aguilar, Christian Clerc, Ron Pohl, Dimitris Manikis, Sara Digiesi, Marloes Knippenberg, Otmar Michaeler.</w:t>
      </w:r>
      <w:r w:rsidRPr="00276927">
        <w:t xml:space="preserve"> Tra i principali protagonisti del mondo </w:t>
      </w:r>
      <w:proofErr w:type="spellStart"/>
      <w:r w:rsidRPr="00276927">
        <w:t>finance</w:t>
      </w:r>
      <w:proofErr w:type="spellEnd"/>
      <w:r w:rsidRPr="00276927">
        <w:t xml:space="preserve"> e M&amp;A: </w:t>
      </w:r>
      <w:r w:rsidRPr="00276927">
        <w:rPr>
          <w:b/>
          <w:bCs/>
        </w:rPr>
        <w:t>Linda Nel, Grazi Paineli, Anna Cohen, Gael Lelay, Musie Bocrezian, Ofer Arbib, Kevin Meyer, Giulio Recchia, Carlo Romanò.</w:t>
      </w:r>
    </w:p>
    <w:p w14:paraId="00000006" w14:textId="7CFDC9F8" w:rsidR="00A775D1" w:rsidRPr="00276927" w:rsidRDefault="00C01E37" w:rsidP="00C01E37">
      <w:pPr>
        <w:spacing w:after="0" w:line="240" w:lineRule="auto"/>
        <w:jc w:val="both"/>
        <w:rPr>
          <w:rFonts w:eastAsia="Times New Roman" w:cs="Times New Roman"/>
          <w:i/>
          <w:iCs/>
          <w:lang w:val="it-IT"/>
        </w:rPr>
      </w:pPr>
      <w:r w:rsidRPr="00276927">
        <w:rPr>
          <w:rFonts w:eastAsia="Times New Roman" w:cs="Times New Roman"/>
          <w:i/>
          <w:iCs/>
          <w:lang w:val="it-IT"/>
        </w:rPr>
        <w:t>“</w:t>
      </w:r>
      <w:r w:rsidR="00957BBB" w:rsidRPr="00276927">
        <w:rPr>
          <w:rFonts w:eastAsia="Times New Roman" w:cs="Times New Roman"/>
          <w:i/>
          <w:iCs/>
          <w:lang w:val="it-IT"/>
        </w:rPr>
        <w:t>Ospitare la prima edizione milanese di ITHIC al Quark Hotel ha rappresentato per Aries Group un’importante occasione di confronto con alcuni dei principali protagonisti italiani e internazionali dell’</w:t>
      </w:r>
      <w:proofErr w:type="spellStart"/>
      <w:r w:rsidR="00957BBB" w:rsidRPr="00276927">
        <w:rPr>
          <w:rFonts w:eastAsia="Times New Roman" w:cs="Times New Roman"/>
          <w:i/>
          <w:iCs/>
          <w:lang w:val="it-IT"/>
        </w:rPr>
        <w:t>hospitality</w:t>
      </w:r>
      <w:proofErr w:type="spellEnd"/>
      <w:r w:rsidR="00957BBB" w:rsidRPr="00276927">
        <w:rPr>
          <w:rFonts w:eastAsia="Times New Roman" w:cs="Times New Roman"/>
          <w:i/>
          <w:iCs/>
          <w:lang w:val="it-IT"/>
        </w:rPr>
        <w:t xml:space="preserve"> e del </w:t>
      </w:r>
      <w:proofErr w:type="spellStart"/>
      <w:r w:rsidR="00957BBB" w:rsidRPr="00276927">
        <w:rPr>
          <w:rFonts w:eastAsia="Times New Roman" w:cs="Times New Roman"/>
          <w:i/>
          <w:iCs/>
          <w:lang w:val="it-IT"/>
        </w:rPr>
        <w:t>real</w:t>
      </w:r>
      <w:proofErr w:type="spellEnd"/>
      <w:r w:rsidR="00957BBB" w:rsidRPr="00276927">
        <w:rPr>
          <w:rFonts w:eastAsia="Times New Roman" w:cs="Times New Roman"/>
          <w:i/>
          <w:iCs/>
          <w:lang w:val="it-IT"/>
        </w:rPr>
        <w:t xml:space="preserve"> estate, dopo le tre precedenti edizioni ospitate all’Hotel Villa Pamphili di Roma.</w:t>
      </w:r>
      <w:r w:rsidRPr="00276927">
        <w:rPr>
          <w:rFonts w:eastAsia="Times New Roman" w:cs="Times New Roman"/>
          <w:i/>
          <w:iCs/>
          <w:lang w:val="it-IT"/>
        </w:rPr>
        <w:t xml:space="preserve"> </w:t>
      </w:r>
      <w:r w:rsidR="00957BBB" w:rsidRPr="00276927">
        <w:rPr>
          <w:rFonts w:eastAsia="Times New Roman" w:cs="Times New Roman"/>
          <w:i/>
          <w:iCs/>
          <w:lang w:val="it-IT"/>
        </w:rPr>
        <w:t>La presenza di oltre 1.500 partecipanti conferma la rilevanza crescente di ITHIC come momento di incontro per il settore e ci ha consentito di mettere alla prova il Quark nell’accoglienza di un evento internazionale di particolare complessità e dimensione. Per noi esperienze di questo tipo sono uno strumento prezioso per continuare a migliorare il prodotto, i servizi e l’organizzazione delle nostre strutture congressuali.</w:t>
      </w:r>
      <w:r w:rsidRPr="00276927">
        <w:rPr>
          <w:rFonts w:eastAsia="Times New Roman" w:cs="Times New Roman"/>
          <w:i/>
          <w:iCs/>
          <w:lang w:val="it-IT"/>
        </w:rPr>
        <w:t xml:space="preserve"> </w:t>
      </w:r>
      <w:r w:rsidR="00957BBB" w:rsidRPr="00276927">
        <w:rPr>
          <w:rFonts w:eastAsia="Times New Roman" w:cs="Times New Roman"/>
          <w:i/>
          <w:iCs/>
          <w:lang w:val="it-IT"/>
        </w:rPr>
        <w:t>I temi emersi durante le due giornate, dalla riqualificazione del patrimonio alberghiero all’evoluzione dei modelli di ospitalità, sono inoltre molto vicini al percorso di sviluppo che Aries Group sta portando avanti sui propri asset</w:t>
      </w:r>
      <w:r w:rsidRPr="00276927">
        <w:rPr>
          <w:rFonts w:eastAsia="Times New Roman" w:cs="Times New Roman"/>
          <w:i/>
          <w:iCs/>
          <w:lang w:val="it-IT"/>
        </w:rPr>
        <w:t xml:space="preserve">” </w:t>
      </w:r>
      <w:r w:rsidR="00957BBB" w:rsidRPr="00276927">
        <w:t xml:space="preserve">commenta </w:t>
      </w:r>
      <w:r w:rsidR="00957BBB" w:rsidRPr="00276927">
        <w:rPr>
          <w:b/>
          <w:bCs/>
        </w:rPr>
        <w:t>Stefano de Santis, Presidente Aries Group</w:t>
      </w:r>
      <w:r w:rsidR="00957BBB" w:rsidRPr="00276927">
        <w:t>.</w:t>
      </w:r>
    </w:p>
    <w:p w14:paraId="00000007" w14:textId="77777777" w:rsidR="00A775D1" w:rsidRPr="00276927" w:rsidRDefault="00A775D1">
      <w:pPr>
        <w:spacing w:after="0"/>
        <w:jc w:val="both"/>
      </w:pPr>
    </w:p>
    <w:p w14:paraId="00000008" w14:textId="77777777" w:rsidR="00A775D1" w:rsidRPr="00276927" w:rsidRDefault="00A0417D">
      <w:pPr>
        <w:spacing w:after="0"/>
        <w:jc w:val="both"/>
      </w:pPr>
      <w:r w:rsidRPr="00276927">
        <w:rPr>
          <w:b/>
          <w:bCs/>
        </w:rPr>
        <w:t>MILANO AL CENTRO DEL CONFRONTO SULL’HOSPITALITY</w:t>
      </w:r>
    </w:p>
    <w:p w14:paraId="00000009" w14:textId="77777777" w:rsidR="00A775D1" w:rsidRDefault="00A0417D">
      <w:pPr>
        <w:spacing w:after="0"/>
        <w:jc w:val="both"/>
      </w:pPr>
      <w:r w:rsidRPr="00276927">
        <w:t>La scelta di Milano come nuova sede di ITHIC ha rafforzato il posizionamento della città quale punto di riferimento per il business, la finanza e gli investimenti nel settore alberghiero. Il confronto tra i protagonisti di ITHIC 2026 ha evidenziato come il merc</w:t>
      </w:r>
      <w:r>
        <w:t xml:space="preserve">ato italiano </w:t>
      </w:r>
      <w:r>
        <w:lastRenderedPageBreak/>
        <w:t>dell’</w:t>
      </w:r>
      <w:proofErr w:type="spellStart"/>
      <w:r>
        <w:t>hospitality</w:t>
      </w:r>
      <w:proofErr w:type="spellEnd"/>
      <w:r>
        <w:t xml:space="preserve"> continui a suscitare forte interesse da parte degli investitori internazionali, ma in un contesto sempre più selettivo.</w:t>
      </w:r>
    </w:p>
    <w:p w14:paraId="0000000A" w14:textId="77777777" w:rsidR="00A775D1" w:rsidRDefault="00A775D1">
      <w:pPr>
        <w:spacing w:after="0"/>
        <w:jc w:val="both"/>
      </w:pPr>
    </w:p>
    <w:p w14:paraId="0000000B" w14:textId="77777777" w:rsidR="00A775D1" w:rsidRDefault="00A0417D">
      <w:pPr>
        <w:spacing w:after="0"/>
        <w:jc w:val="both"/>
      </w:pPr>
      <w:r>
        <w:t xml:space="preserve">Tra i temi al centro del confronto, la </w:t>
      </w:r>
      <w:r>
        <w:rPr>
          <w:b/>
          <w:bCs/>
        </w:rPr>
        <w:t>riqualificazione del patrimonio alberghiero esistente</w:t>
      </w:r>
      <w:r>
        <w:t xml:space="preserve">, l’individuazione di </w:t>
      </w:r>
      <w:r>
        <w:rPr>
          <w:b/>
          <w:bCs/>
        </w:rPr>
        <w:t>nuove destinazioni e asset con solidi fondamentali</w:t>
      </w:r>
      <w:r>
        <w:t xml:space="preserve"> e l’evoluzione dei </w:t>
      </w:r>
      <w:r>
        <w:rPr>
          <w:b/>
          <w:bCs/>
        </w:rPr>
        <w:t>modelli di ospitalità</w:t>
      </w:r>
      <w:r>
        <w:t>, con particolare attenzione alla capacità degli investimenti di coniugare redditività, qualità e sostenibilità nel lungo periodo.</w:t>
      </w:r>
    </w:p>
    <w:p w14:paraId="0000000C" w14:textId="77777777" w:rsidR="00A775D1" w:rsidRDefault="00A775D1">
      <w:pPr>
        <w:spacing w:after="0"/>
        <w:jc w:val="both"/>
      </w:pPr>
    </w:p>
    <w:p w14:paraId="0000000D" w14:textId="77777777" w:rsidR="00A775D1" w:rsidRDefault="00A0417D">
      <w:pPr>
        <w:spacing w:after="0"/>
        <w:jc w:val="both"/>
        <w:rPr>
          <w:highlight w:val="yellow"/>
        </w:rPr>
      </w:pPr>
      <w:r>
        <w:t xml:space="preserve">Il dibattito ha inoltre restituito un quadro articolato delle </w:t>
      </w:r>
      <w:r>
        <w:rPr>
          <w:b/>
          <w:bCs/>
        </w:rPr>
        <w:t>performance dell’</w:t>
      </w:r>
      <w:proofErr w:type="spellStart"/>
      <w:r>
        <w:rPr>
          <w:b/>
          <w:bCs/>
        </w:rPr>
        <w:t>hospitality</w:t>
      </w:r>
      <w:proofErr w:type="spellEnd"/>
      <w:r>
        <w:rPr>
          <w:b/>
          <w:bCs/>
        </w:rPr>
        <w:t xml:space="preserve"> italiana</w:t>
      </w:r>
      <w:r>
        <w:t>, evidenziando dinamiche differenti tra le destinazioni. A una domanda internazionale particolarmente solida si affianca infatti una domanda domestica più prudente, mentre settembre ha registrato segnali positivi per diversi operatori, indicando un progressivo superamento della tradizionale concentrazione dei flussi nel mese di agosto. Sullo scenario incidono, allo stesso tempo, l’aumento dei costi operativi e la necessità di mantenere elevata la qualità dell’offerta.</w:t>
      </w:r>
    </w:p>
    <w:p w14:paraId="0000000E" w14:textId="77777777" w:rsidR="00A775D1" w:rsidRDefault="00A775D1">
      <w:pPr>
        <w:spacing w:after="0"/>
        <w:jc w:val="both"/>
      </w:pPr>
    </w:p>
    <w:p w14:paraId="0000000F" w14:textId="77777777" w:rsidR="00A775D1" w:rsidRDefault="00A0417D">
      <w:pPr>
        <w:spacing w:after="0"/>
        <w:jc w:val="both"/>
        <w:rPr>
          <w:b/>
          <w:bCs/>
        </w:rPr>
      </w:pPr>
      <w:r>
        <w:rPr>
          <w:b/>
          <w:bCs/>
        </w:rPr>
        <w:t>NON SOLO NETWORKING: NUOVE OPPORTUNITÀ PER IL SETTORE</w:t>
      </w:r>
    </w:p>
    <w:p w14:paraId="00000010" w14:textId="77777777" w:rsidR="00A775D1" w:rsidRDefault="00A0417D">
      <w:pPr>
        <w:jc w:val="both"/>
      </w:pPr>
      <w:r>
        <w:t xml:space="preserve">L'edizione 2026 ha ampliato il proprio programma con appuntamenti dedicati ad alcuni dei segmenti e dei temi più rilevanti per il futuro del settore. Accanto alle sessioni sugli investimenti e sulle operazioni immobiliari, hanno trovato spazio gli </w:t>
      </w:r>
      <w:r>
        <w:rPr>
          <w:b/>
          <w:bCs/>
        </w:rPr>
        <w:t xml:space="preserve">ITHIC Hotel Chains Awards, Brands for </w:t>
      </w:r>
      <w:proofErr w:type="spellStart"/>
      <w:r>
        <w:rPr>
          <w:b/>
          <w:bCs/>
        </w:rPr>
        <w:t>Residential</w:t>
      </w:r>
      <w:proofErr w:type="spellEnd"/>
      <w:r>
        <w:rPr>
          <w:b/>
          <w:bCs/>
        </w:rPr>
        <w:t xml:space="preserve"> by </w:t>
      </w:r>
      <w:proofErr w:type="spellStart"/>
      <w:r>
        <w:rPr>
          <w:b/>
          <w:bCs/>
        </w:rPr>
        <w:t>Questex</w:t>
      </w:r>
      <w:proofErr w:type="spellEnd"/>
      <w:r>
        <w:rPr>
          <w:b/>
          <w:bCs/>
        </w:rPr>
        <w:t xml:space="preserve">, la HVS Masterclass on Hotel </w:t>
      </w:r>
      <w:proofErr w:type="spellStart"/>
      <w:r>
        <w:rPr>
          <w:b/>
          <w:bCs/>
        </w:rPr>
        <w:t>Valuation</w:t>
      </w:r>
      <w:proofErr w:type="spellEnd"/>
      <w:r>
        <w:rPr>
          <w:b/>
          <w:bCs/>
        </w:rPr>
        <w:t xml:space="preserve"> e ITHIC </w:t>
      </w:r>
      <w:proofErr w:type="spellStart"/>
      <w:r>
        <w:rPr>
          <w:b/>
          <w:bCs/>
        </w:rPr>
        <w:t>NextGen</w:t>
      </w:r>
      <w:proofErr w:type="spellEnd"/>
      <w:r>
        <w:rPr>
          <w:b/>
          <w:bCs/>
        </w:rPr>
        <w:t xml:space="preserve"> Under35</w:t>
      </w:r>
      <w:r>
        <w:t>, dedicato ai giovani professionisti dell'</w:t>
      </w:r>
      <w:proofErr w:type="spellStart"/>
      <w:r>
        <w:t>hospitality</w:t>
      </w:r>
      <w:proofErr w:type="spellEnd"/>
      <w:r>
        <w:t>.</w:t>
      </w:r>
    </w:p>
    <w:p w14:paraId="00000011" w14:textId="77777777" w:rsidR="00A775D1" w:rsidRDefault="00A0417D">
      <w:pPr>
        <w:jc w:val="both"/>
      </w:pPr>
      <w:r>
        <w:t xml:space="preserve">Particolare attenzione è stata dedicata anche al mondo delle </w:t>
      </w:r>
      <w:proofErr w:type="spellStart"/>
      <w:r>
        <w:rPr>
          <w:b/>
          <w:bCs/>
        </w:rPr>
        <w:t>branded</w:t>
      </w:r>
      <w:proofErr w:type="spellEnd"/>
      <w:r>
        <w:rPr>
          <w:b/>
          <w:bCs/>
        </w:rPr>
        <w:t xml:space="preserve"> residences</w:t>
      </w:r>
      <w:r>
        <w:t xml:space="preserve">, segmento in forte evoluzione che mette in relazione </w:t>
      </w:r>
      <w:proofErr w:type="spellStart"/>
      <w:r>
        <w:t>hospitality</w:t>
      </w:r>
      <w:proofErr w:type="spellEnd"/>
      <w:r>
        <w:t xml:space="preserve">, </w:t>
      </w:r>
      <w:proofErr w:type="spellStart"/>
      <w:r>
        <w:t>real</w:t>
      </w:r>
      <w:proofErr w:type="spellEnd"/>
      <w:r>
        <w:t xml:space="preserve"> estate, residenzialità di lusso e grandi brand internazionali.</w:t>
      </w:r>
    </w:p>
    <w:p w14:paraId="00000012" w14:textId="77777777" w:rsidR="00A775D1" w:rsidRDefault="00A0417D">
      <w:pPr>
        <w:pBdr>
          <w:top w:val="nil"/>
          <w:left w:val="nil"/>
          <w:bottom w:val="nil"/>
          <w:right w:val="nil"/>
          <w:between w:val="nil"/>
        </w:pBdr>
        <w:shd w:val="clear" w:color="auto" w:fill="FFFFFF"/>
        <w:spacing w:after="0" w:line="240" w:lineRule="auto"/>
        <w:jc w:val="both"/>
        <w:rPr>
          <w:color w:val="000000"/>
        </w:rPr>
      </w:pPr>
      <w:r>
        <w:rPr>
          <w:color w:val="000000"/>
        </w:rPr>
        <w:t>Con la conclusione della prima edizione milanese al Quark Hotel Milano, ITHIC conferma il proprio ruolo di appuntamento di riferimento per il confronto tra investitori e operatori dell'</w:t>
      </w:r>
      <w:proofErr w:type="spellStart"/>
      <w:r>
        <w:rPr>
          <w:color w:val="000000"/>
        </w:rPr>
        <w:t>hospitality</w:t>
      </w:r>
      <w:proofErr w:type="spellEnd"/>
      <w:r>
        <w:rPr>
          <w:color w:val="000000"/>
        </w:rPr>
        <w:t xml:space="preserve">, in una fase in cui il mercato italiano continua a offrire opportunità di crescita e trasformazione. </w:t>
      </w:r>
    </w:p>
    <w:p w14:paraId="00000013" w14:textId="77777777" w:rsidR="00A775D1" w:rsidRDefault="00A775D1">
      <w:pPr>
        <w:jc w:val="both"/>
      </w:pPr>
    </w:p>
    <w:p w14:paraId="00000014" w14:textId="77777777" w:rsidR="00A775D1" w:rsidRDefault="00A0417D">
      <w:pPr>
        <w:jc w:val="both"/>
      </w:pPr>
      <w:r>
        <w:t>Il risultato è stato un’agenda capace di mettere in relazione competenze e prospettive differenti, creando un ambiente nel quale il confronto sui trend del mercato si è tradotto in nuove occasioni di incontro, confronto e-business.</w:t>
      </w:r>
    </w:p>
    <w:p w14:paraId="00000015" w14:textId="77777777" w:rsidR="00A775D1" w:rsidRDefault="00A775D1">
      <w:pPr>
        <w:jc w:val="both"/>
      </w:pPr>
    </w:p>
    <w:p w14:paraId="00000016" w14:textId="77777777" w:rsidR="00A775D1" w:rsidRDefault="00A775D1">
      <w:pPr>
        <w:jc w:val="both"/>
      </w:pPr>
      <w:hyperlink r:id="rId6">
        <w:r>
          <w:rPr>
            <w:color w:val="467886"/>
            <w:u w:val="single"/>
          </w:rPr>
          <w:t>Link speaker</w:t>
        </w:r>
      </w:hyperlink>
      <w:r>
        <w:t xml:space="preserve"> </w:t>
      </w:r>
    </w:p>
    <w:p w14:paraId="00000017" w14:textId="77777777" w:rsidR="00A775D1" w:rsidRDefault="00A775D1">
      <w:pPr>
        <w:jc w:val="both"/>
      </w:pPr>
      <w:hyperlink r:id="rId7">
        <w:r>
          <w:rPr>
            <w:color w:val="467886"/>
            <w:u w:val="single"/>
          </w:rPr>
          <w:t xml:space="preserve">Link partners </w:t>
        </w:r>
      </w:hyperlink>
      <w:r>
        <w:t xml:space="preserve"> </w:t>
      </w:r>
    </w:p>
    <w:p w14:paraId="00000018" w14:textId="77777777" w:rsidR="00A775D1" w:rsidRDefault="00A775D1">
      <w:pPr>
        <w:jc w:val="both"/>
        <w:rPr>
          <w:color w:val="EE0000"/>
        </w:rPr>
      </w:pPr>
    </w:p>
    <w:sectPr w:rsidR="00A775D1">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D77819EA-8B4E-4097-B4DF-1240E1F4C90A}"/>
    <w:embedBold r:id="rId2" w:fontKey="{97EC65C8-9132-4BA7-A079-6C2E4573E88E}"/>
    <w:embedItalic r:id="rId3" w:fontKey="{EC2B2DDE-AE6E-4C9E-B459-615C803EEA6B}"/>
  </w:font>
  <w:font w:name="Play">
    <w:charset w:val="00"/>
    <w:family w:val="auto"/>
    <w:pitch w:val="default"/>
    <w:embedRegular r:id="rId4" w:fontKey="{A7E9E0D5-0D54-44A9-B90F-78EAECBEF6E4}"/>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82A2DBB2-E1BB-4CA6-B1A5-D29289E0C5D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5D1"/>
    <w:rsid w:val="00276927"/>
    <w:rsid w:val="0051741E"/>
    <w:rsid w:val="00957BBB"/>
    <w:rsid w:val="00A0417D"/>
    <w:rsid w:val="00A775D1"/>
    <w:rsid w:val="00C01E37"/>
    <w:rsid w:val="00D02FE8"/>
    <w:rsid w:val="00D11C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35741"/>
  <w15:docId w15:val="{70DD707C-7A20-7D4B-A203-AA77B78B0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it" w:eastAsia="it-IT"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360" w:after="80"/>
      <w:outlineLvl w:val="0"/>
    </w:pPr>
    <w:rPr>
      <w:rFonts w:ascii="Play" w:eastAsia="Play" w:hAnsi="Play" w:cs="Play"/>
      <w:color w:val="0F4761"/>
      <w:sz w:val="40"/>
      <w:szCs w:val="40"/>
    </w:rPr>
  </w:style>
  <w:style w:type="paragraph" w:styleId="Titolo2">
    <w:name w:val="heading 2"/>
    <w:basedOn w:val="Normale"/>
    <w:next w:val="Normale"/>
    <w:uiPriority w:val="9"/>
    <w:semiHidden/>
    <w:unhideWhenUsed/>
    <w:qFormat/>
    <w:pPr>
      <w:keepNext/>
      <w:keepLines/>
      <w:spacing w:before="160" w:after="80"/>
      <w:outlineLvl w:val="1"/>
    </w:pPr>
    <w:rPr>
      <w:rFonts w:ascii="Play" w:eastAsia="Play" w:hAnsi="Play" w:cs="Play"/>
      <w:color w:val="0F4761"/>
      <w:sz w:val="32"/>
      <w:szCs w:val="32"/>
    </w:rPr>
  </w:style>
  <w:style w:type="paragraph" w:styleId="Titolo3">
    <w:name w:val="heading 3"/>
    <w:basedOn w:val="Normale"/>
    <w:next w:val="Normale"/>
    <w:uiPriority w:val="9"/>
    <w:semiHidden/>
    <w:unhideWhenUsed/>
    <w:qFormat/>
    <w:pPr>
      <w:keepNext/>
      <w:keepLines/>
      <w:spacing w:before="160" w:after="80"/>
      <w:outlineLvl w:val="2"/>
    </w:pPr>
    <w:rPr>
      <w:color w:val="0F4761"/>
      <w:sz w:val="28"/>
      <w:szCs w:val="28"/>
    </w:rPr>
  </w:style>
  <w:style w:type="paragraph" w:styleId="Titolo4">
    <w:name w:val="heading 4"/>
    <w:basedOn w:val="Normale"/>
    <w:next w:val="Normale"/>
    <w:uiPriority w:val="9"/>
    <w:semiHidden/>
    <w:unhideWhenUsed/>
    <w:qFormat/>
    <w:pPr>
      <w:keepNext/>
      <w:keepLines/>
      <w:spacing w:before="80" w:after="40"/>
      <w:outlineLvl w:val="3"/>
    </w:pPr>
    <w:rPr>
      <w:i/>
      <w:iCs/>
      <w:color w:val="0F4761"/>
    </w:rPr>
  </w:style>
  <w:style w:type="paragraph" w:styleId="Titolo5">
    <w:name w:val="heading 5"/>
    <w:basedOn w:val="Normale"/>
    <w:next w:val="Normale"/>
    <w:uiPriority w:val="9"/>
    <w:semiHidden/>
    <w:unhideWhenUsed/>
    <w:qFormat/>
    <w:pPr>
      <w:keepNext/>
      <w:keepLines/>
      <w:spacing w:before="80" w:after="40"/>
      <w:outlineLvl w:val="4"/>
    </w:pPr>
    <w:rPr>
      <w:color w:val="0F4761"/>
    </w:rPr>
  </w:style>
  <w:style w:type="paragraph" w:styleId="Titolo6">
    <w:name w:val="heading 6"/>
    <w:basedOn w:val="Normale"/>
    <w:next w:val="Normale"/>
    <w:uiPriority w:val="9"/>
    <w:semiHidden/>
    <w:unhideWhenUsed/>
    <w:qFormat/>
    <w:pPr>
      <w:keepNext/>
      <w:keepLines/>
      <w:spacing w:before="40" w:after="0"/>
      <w:outlineLvl w:val="5"/>
    </w:pPr>
    <w:rPr>
      <w:i/>
      <w:iCs/>
      <w:color w:val="595959"/>
    </w:rPr>
  </w:style>
  <w:style w:type="paragraph" w:styleId="Titolo7">
    <w:name w:val="heading 7"/>
    <w:link w:val="Titolo7Carattere"/>
    <w:uiPriority w:val="9"/>
    <w:semiHidden/>
    <w:unhideWhenUsed/>
    <w:qFormat/>
    <w:rsid w:val="00DF3C84"/>
    <w:pPr>
      <w:keepNext/>
      <w:keepLines/>
      <w:spacing w:before="40" w:after="0"/>
      <w:outlineLvl w:val="6"/>
    </w:pPr>
    <w:rPr>
      <w:rFonts w:eastAsiaTheme="majorEastAsia" w:cstheme="majorBidi"/>
      <w:color w:val="595959" w:themeColor="text1" w:themeTint="A6"/>
    </w:rPr>
  </w:style>
  <w:style w:type="paragraph" w:styleId="Titolo8">
    <w:name w:val="heading 8"/>
    <w:link w:val="Titolo8Carattere"/>
    <w:uiPriority w:val="9"/>
    <w:semiHidden/>
    <w:unhideWhenUsed/>
    <w:qFormat/>
    <w:rsid w:val="00DF3C84"/>
    <w:pPr>
      <w:keepNext/>
      <w:keepLines/>
      <w:spacing w:after="0"/>
      <w:outlineLvl w:val="7"/>
    </w:pPr>
    <w:rPr>
      <w:rFonts w:eastAsiaTheme="majorEastAsia" w:cstheme="majorBidi"/>
      <w:i/>
      <w:iCs/>
      <w:color w:val="272727" w:themeColor="text1" w:themeTint="D8"/>
    </w:rPr>
  </w:style>
  <w:style w:type="paragraph" w:styleId="Titolo9">
    <w:name w:val="heading 9"/>
    <w:link w:val="Titolo9Carattere"/>
    <w:uiPriority w:val="9"/>
    <w:semiHidden/>
    <w:unhideWhenUsed/>
    <w:qFormat/>
    <w:rsid w:val="00DF3C8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Titolo1Carattere">
    <w:name w:val="Titolo 1 Carattere"/>
    <w:basedOn w:val="Carpredefinitoparagrafo"/>
    <w:uiPriority w:val="9"/>
    <w:rsid w:val="00DF3C8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uiPriority w:val="9"/>
    <w:semiHidden/>
    <w:rsid w:val="00DF3C8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uiPriority w:val="9"/>
    <w:semiHidden/>
    <w:rsid w:val="00DF3C84"/>
    <w:rPr>
      <w:rFonts w:eastAsiaTheme="majorEastAsia" w:cstheme="majorBidi"/>
      <w:color w:val="0F4761" w:themeColor="accent1" w:themeShade="BF"/>
      <w:sz w:val="28"/>
      <w:szCs w:val="28"/>
    </w:rPr>
  </w:style>
  <w:style w:type="character" w:customStyle="1" w:styleId="Titolo4Carattere">
    <w:name w:val="Titolo 4 Carattere"/>
    <w:basedOn w:val="Carpredefinitoparagrafo"/>
    <w:uiPriority w:val="9"/>
    <w:semiHidden/>
    <w:rsid w:val="00DF3C84"/>
    <w:rPr>
      <w:rFonts w:eastAsiaTheme="majorEastAsia" w:cstheme="majorBidi"/>
      <w:i/>
      <w:iCs/>
      <w:color w:val="0F4761" w:themeColor="accent1" w:themeShade="BF"/>
    </w:rPr>
  </w:style>
  <w:style w:type="character" w:customStyle="1" w:styleId="Titolo5Carattere">
    <w:name w:val="Titolo 5 Carattere"/>
    <w:basedOn w:val="Carpredefinitoparagrafo"/>
    <w:uiPriority w:val="9"/>
    <w:semiHidden/>
    <w:rsid w:val="00DF3C84"/>
    <w:rPr>
      <w:rFonts w:eastAsiaTheme="majorEastAsia" w:cstheme="majorBidi"/>
      <w:color w:val="0F4761" w:themeColor="accent1" w:themeShade="BF"/>
    </w:rPr>
  </w:style>
  <w:style w:type="character" w:customStyle="1" w:styleId="Titolo6Carattere">
    <w:name w:val="Titolo 6 Carattere"/>
    <w:basedOn w:val="Carpredefinitoparagrafo"/>
    <w:uiPriority w:val="9"/>
    <w:semiHidden/>
    <w:rsid w:val="00DF3C8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F3C8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F3C8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F3C84"/>
    <w:rPr>
      <w:rFonts w:eastAsiaTheme="majorEastAsia" w:cstheme="majorBidi"/>
      <w:color w:val="272727" w:themeColor="text1" w:themeTint="D8"/>
    </w:rPr>
  </w:style>
  <w:style w:type="character" w:customStyle="1" w:styleId="TitoloCarattere">
    <w:name w:val="Titolo Carattere"/>
    <w:basedOn w:val="Carpredefinitoparagrafo"/>
    <w:uiPriority w:val="10"/>
    <w:rsid w:val="00DF3C84"/>
    <w:rPr>
      <w:rFonts w:asciiTheme="majorHAnsi" w:eastAsiaTheme="majorEastAsia" w:hAnsiTheme="majorHAnsi" w:cstheme="majorBidi"/>
      <w:spacing w:val="-10"/>
      <w:kern w:val="28"/>
      <w:sz w:val="56"/>
      <w:szCs w:val="56"/>
    </w:rPr>
  </w:style>
  <w:style w:type="character" w:customStyle="1" w:styleId="SottotitoloCarattere">
    <w:name w:val="Sottotitolo Carattere"/>
    <w:basedOn w:val="Carpredefinitoparagrafo"/>
    <w:uiPriority w:val="11"/>
    <w:rsid w:val="00DF3C84"/>
    <w:rPr>
      <w:rFonts w:eastAsiaTheme="majorEastAsia" w:cstheme="majorBidi"/>
      <w:color w:val="595959" w:themeColor="text1" w:themeTint="A6"/>
      <w:spacing w:val="15"/>
      <w:sz w:val="28"/>
      <w:szCs w:val="28"/>
    </w:rPr>
  </w:style>
  <w:style w:type="paragraph" w:styleId="Citazione">
    <w:name w:val="Quote"/>
    <w:link w:val="CitazioneCarattere"/>
    <w:uiPriority w:val="29"/>
    <w:qFormat/>
    <w:rsid w:val="00DF3C8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F3C84"/>
    <w:rPr>
      <w:i/>
      <w:iCs/>
      <w:color w:val="404040" w:themeColor="text1" w:themeTint="BF"/>
    </w:rPr>
  </w:style>
  <w:style w:type="paragraph" w:styleId="Paragrafoelenco">
    <w:name w:val="List Paragraph"/>
    <w:uiPriority w:val="34"/>
    <w:qFormat/>
    <w:rsid w:val="00DF3C84"/>
    <w:pPr>
      <w:ind w:left="720"/>
      <w:contextualSpacing/>
    </w:pPr>
  </w:style>
  <w:style w:type="character" w:styleId="Enfasiintensa">
    <w:name w:val="Intense Emphasis"/>
    <w:basedOn w:val="Carpredefinitoparagrafo"/>
    <w:uiPriority w:val="21"/>
    <w:qFormat/>
    <w:rsid w:val="00DF3C84"/>
    <w:rPr>
      <w:i/>
      <w:iCs/>
      <w:color w:val="0F4761" w:themeColor="accent1" w:themeShade="BF"/>
    </w:rPr>
  </w:style>
  <w:style w:type="paragraph" w:styleId="Citazioneintensa">
    <w:name w:val="Intense Quote"/>
    <w:link w:val="CitazioneintensaCarattere"/>
    <w:uiPriority w:val="30"/>
    <w:qFormat/>
    <w:rsid w:val="00DF3C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F3C84"/>
    <w:rPr>
      <w:i/>
      <w:iCs/>
      <w:color w:val="0F4761" w:themeColor="accent1" w:themeShade="BF"/>
    </w:rPr>
  </w:style>
  <w:style w:type="character" w:styleId="Riferimentointenso">
    <w:name w:val="Intense Reference"/>
    <w:basedOn w:val="Carpredefinitoparagrafo"/>
    <w:uiPriority w:val="32"/>
    <w:qFormat/>
    <w:rsid w:val="00DF3C84"/>
    <w:rPr>
      <w:b/>
      <w:bCs/>
      <w:smallCaps/>
      <w:color w:val="0F4761" w:themeColor="accent1" w:themeShade="BF"/>
      <w:spacing w:val="5"/>
    </w:rPr>
  </w:style>
  <w:style w:type="character" w:styleId="Collegamentoipertestuale">
    <w:name w:val="Hyperlink"/>
    <w:basedOn w:val="Carpredefinitoparagrafo"/>
    <w:uiPriority w:val="99"/>
    <w:unhideWhenUsed/>
    <w:rsid w:val="00C507C3"/>
    <w:rPr>
      <w:color w:val="467886" w:themeColor="hyperlink"/>
      <w:u w:val="single"/>
    </w:rPr>
  </w:style>
  <w:style w:type="character" w:styleId="Menzionenonrisolta">
    <w:name w:val="Unresolved Mention"/>
    <w:basedOn w:val="Carpredefinitoparagrafo"/>
    <w:uiPriority w:val="99"/>
    <w:semiHidden/>
    <w:unhideWhenUsed/>
    <w:rsid w:val="00C507C3"/>
    <w:rPr>
      <w:color w:val="605E5C"/>
      <w:shd w:val="clear" w:color="auto" w:fill="E1DFDD"/>
    </w:rPr>
  </w:style>
  <w:style w:type="paragraph" w:styleId="Testocommento">
    <w:name w:val="annotation text"/>
    <w:link w:val="TestocommentoCarattere"/>
    <w:uiPriority w:val="99"/>
    <w:semiHidden/>
    <w:unhideWhenUse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 w:type="paragraph" w:styleId="NormaleWeb">
    <w:name w:val="Normal (Web)"/>
    <w:uiPriority w:val="99"/>
    <w:unhideWhenUsed/>
    <w:rsid w:val="00CF7EC9"/>
    <w:pPr>
      <w:spacing w:before="100" w:beforeAutospacing="1" w:after="100" w:afterAutospacing="1" w:line="240" w:lineRule="auto"/>
    </w:pPr>
    <w:rPr>
      <w:rFonts w:ascii="Times New Roman" w:eastAsia="Times New Roman" w:hAnsi="Times New Roman" w:cs="Times New Roman"/>
      <w:lang w:val="it-IT"/>
    </w:rPr>
  </w:style>
  <w:style w:type="paragraph" w:styleId="Sottotitolo">
    <w:name w:val="Subtitle"/>
    <w:basedOn w:val="Normale"/>
    <w:next w:val="Normale"/>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thic.it/partner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ithic.it/speakers/" TargetMode="External"/><Relationship Id="rId5" Type="http://schemas.openxmlformats.org/officeDocument/2006/relationships/hyperlink" Target="https://www.ariesgroup.it/"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oDnHkTq5r0oQG/cV6jaexKeyTQ==">CgMxLjA4AHIhMWI1QlBTOEJYTEJvOFFKVnVvWURQUWUzdnV4YTRZVllM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835</Words>
  <Characters>4766</Characters>
  <Application>Microsoft Office Word</Application>
  <DocSecurity>0</DocSecurity>
  <Lines>39</Lines>
  <Paragraphs>11</Paragraphs>
  <ScaleCrop>false</ScaleCrop>
  <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ina castrorao</dc:creator>
  <cp:lastModifiedBy>PC nuovo</cp:lastModifiedBy>
  <cp:revision>4</cp:revision>
  <dcterms:created xsi:type="dcterms:W3CDTF">2026-10-09T09:15:00Z</dcterms:created>
  <dcterms:modified xsi:type="dcterms:W3CDTF">2026-10-09T15:03:00Z</dcterms:modified>
</cp:coreProperties>
</file>