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13215" w14:textId="77777777" w:rsidR="00B90A90" w:rsidRPr="0046445C" w:rsidRDefault="00B90A90" w:rsidP="00B90A90">
      <w:pPr>
        <w:pStyle w:val="Legalentity"/>
        <w:spacing w:after="140" w:line="240" w:lineRule="auto"/>
        <w:ind w:left="7088"/>
        <w:rPr>
          <w:rFonts w:ascii="Calibri Light" w:hAnsi="Calibri Light" w:cs="Calibri Light"/>
          <w:color w:val="auto"/>
          <w:sz w:val="18"/>
        </w:rPr>
      </w:pPr>
      <w:r w:rsidRPr="0046445C">
        <w:rPr>
          <w:rFonts w:ascii="Calibri Light" w:hAnsi="Calibri Light" w:cs="Calibri Light"/>
          <w:noProof/>
          <w:color w:val="auto"/>
          <w:lang w:eastAsia="pl-PL"/>
        </w:rPr>
        <w:drawing>
          <wp:anchor distT="0" distB="0" distL="114300" distR="114300" simplePos="0" relativeHeight="251658241" behindDoc="0" locked="1" layoutInCell="1" allowOverlap="1" wp14:anchorId="570C5C2A" wp14:editId="76CB6C62">
            <wp:simplePos x="0" y="0"/>
            <wp:positionH relativeFrom="page">
              <wp:posOffset>870585</wp:posOffset>
            </wp:positionH>
            <wp:positionV relativeFrom="page">
              <wp:posOffset>607060</wp:posOffset>
            </wp:positionV>
            <wp:extent cx="1871980" cy="348615"/>
            <wp:effectExtent l="0" t="0" r="0" b="0"/>
            <wp:wrapNone/>
            <wp:docPr id="12" name="Picture 12" descr="Obraz zawierający Czcionka, Grafika, logo,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Obraz zawierający Czcionka, Grafika, logo, tekst&#10;&#10;Opis wygenerowany automatyczni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34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445C">
        <w:rPr>
          <w:rFonts w:ascii="Calibri Light" w:hAnsi="Calibri Light" w:cs="Calibri Light"/>
          <w:color w:val="auto"/>
        </w:rPr>
        <w:t>Deloitte Polska</w:t>
      </w:r>
      <w:r w:rsidRPr="0046445C">
        <w:rPr>
          <w:rFonts w:ascii="Calibri Light" w:hAnsi="Calibri Light" w:cs="Calibri Light"/>
          <w:color w:val="auto"/>
        </w:rPr>
        <w:br/>
        <w:t>Al. Jana Pawła II 22</w:t>
      </w:r>
      <w:r w:rsidRPr="0046445C">
        <w:rPr>
          <w:rFonts w:ascii="Calibri Light" w:hAnsi="Calibri Light" w:cs="Calibri Light"/>
          <w:color w:val="auto"/>
        </w:rPr>
        <w:br/>
        <w:t>00-133 Warszawa</w:t>
      </w:r>
      <w:r w:rsidRPr="0046445C">
        <w:rPr>
          <w:rFonts w:ascii="Calibri Light" w:hAnsi="Calibri Light" w:cs="Calibri Light"/>
          <w:color w:val="auto"/>
        </w:rPr>
        <w:br/>
        <w:t>Polska</w:t>
      </w:r>
    </w:p>
    <w:p w14:paraId="425B45DE" w14:textId="77777777" w:rsidR="00B90A90" w:rsidRPr="0046445C" w:rsidRDefault="00B90A90" w:rsidP="00B90A90">
      <w:pPr>
        <w:pStyle w:val="Nagwek"/>
        <w:tabs>
          <w:tab w:val="clear" w:pos="4320"/>
          <w:tab w:val="clear" w:pos="8640"/>
          <w:tab w:val="left" w:pos="3070"/>
        </w:tabs>
        <w:spacing w:before="80" w:line="180" w:lineRule="exact"/>
        <w:ind w:left="7088"/>
        <w:rPr>
          <w:rFonts w:ascii="Calibri Light" w:hAnsi="Calibri Light" w:cs="Calibri Light"/>
          <w:lang w:val="en-US"/>
        </w:rPr>
      </w:pPr>
      <w:r w:rsidRPr="0046445C">
        <w:rPr>
          <w:rFonts w:ascii="Calibri Light" w:hAnsi="Calibri Light" w:cs="Calibri Light"/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6065389" wp14:editId="1BBF9BDE">
                <wp:simplePos x="0" y="0"/>
                <wp:positionH relativeFrom="column">
                  <wp:posOffset>2095</wp:posOffset>
                </wp:positionH>
                <wp:positionV relativeFrom="page">
                  <wp:posOffset>2155370</wp:posOffset>
                </wp:positionV>
                <wp:extent cx="3949700" cy="480951"/>
                <wp:effectExtent l="0" t="0" r="12700" b="146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0" cy="480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2206AE" w14:textId="77777777" w:rsidR="00B90A90" w:rsidRPr="00450249" w:rsidRDefault="00B90A90" w:rsidP="00B90A90">
                            <w:pPr>
                              <w:pStyle w:val="Fax"/>
                              <w:spacing w:line="600" w:lineRule="exact"/>
                            </w:pPr>
                            <w:r w:rsidRPr="003463C5">
                              <w:rPr>
                                <w:rFonts w:ascii="Open Sans" w:hAnsi="Open Sans" w:cs="Open Sans"/>
                                <w:color w:val="000000" w:themeColor="text1"/>
                              </w:rPr>
                              <w:t>Informacja prasowa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0653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15pt;margin-top:169.7pt;width:311pt;height:37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" filled="f" stroked="f">
                <v:textbox inset="0,0,0,0">
                  <w:txbxContent>
                    <w:p w14:paraId="702206AE" w14:textId="77777777" w:rsidR="00B90A90" w:rsidRPr="00450249" w:rsidRDefault="00B90A90" w:rsidP="00B90A90">
                      <w:pPr>
                        <w:pStyle w:val="Fax"/>
                        <w:spacing w:line="600" w:lineRule="exact"/>
                      </w:pPr>
                      <w:r w:rsidRPr="003463C5">
                        <w:rPr>
                          <w:rFonts w:ascii="Open Sans" w:hAnsi="Open Sans" w:cs="Open Sans"/>
                          <w:color w:val="000000" w:themeColor="text1"/>
                        </w:rPr>
                        <w:t>Informacja prasowa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46445C">
        <w:rPr>
          <w:rFonts w:ascii="Calibri Light" w:hAnsi="Calibri Light" w:cs="Calibri Light"/>
          <w:sz w:val="15"/>
          <w:lang w:val="en-US"/>
        </w:rPr>
        <w:t>Tel.: +48 22 511 08 11/12</w:t>
      </w:r>
      <w:r w:rsidRPr="0046445C">
        <w:rPr>
          <w:rFonts w:ascii="Calibri Light" w:hAnsi="Calibri Light" w:cs="Calibri Light"/>
          <w:sz w:val="15"/>
          <w:lang w:val="en-US"/>
        </w:rPr>
        <w:br/>
      </w:r>
      <w:r w:rsidRPr="0046445C">
        <w:rPr>
          <w:rFonts w:ascii="Calibri Light" w:hAnsi="Calibri Light" w:cs="Calibri Light"/>
          <w:spacing w:val="-2"/>
          <w:sz w:val="15"/>
          <w:lang w:val="en-US"/>
        </w:rPr>
        <w:t>Fax:</w:t>
      </w:r>
      <w:r w:rsidRPr="0046445C">
        <w:rPr>
          <w:rFonts w:ascii="Calibri Light" w:hAnsi="Calibri Light" w:cs="Calibri Light"/>
          <w:sz w:val="15"/>
          <w:lang w:val="en-US"/>
        </w:rPr>
        <w:t xml:space="preserve"> +48 22 511 08 13</w:t>
      </w:r>
      <w:r w:rsidRPr="0046445C">
        <w:rPr>
          <w:rFonts w:ascii="Calibri Light" w:hAnsi="Calibri Light" w:cs="Calibri Light"/>
          <w:spacing w:val="-2"/>
          <w:sz w:val="15"/>
          <w:lang w:val="en-US"/>
        </w:rPr>
        <w:br/>
      </w:r>
      <w:hyperlink r:id="rId9" w:history="1">
        <w:r w:rsidRPr="0046445C">
          <w:rPr>
            <w:rStyle w:val="Hipercze"/>
            <w:rFonts w:ascii="Calibri Light" w:hAnsi="Calibri Light" w:cs="Calibri Light"/>
            <w:color w:val="auto"/>
            <w:sz w:val="15"/>
            <w:lang w:val="en-US"/>
          </w:rPr>
          <w:t>www.deloitte.com/pl</w:t>
        </w:r>
      </w:hyperlink>
      <w:r w:rsidRPr="0046445C">
        <w:rPr>
          <w:rFonts w:ascii="Calibri Light" w:hAnsi="Calibri Light" w:cs="Calibri Light"/>
          <w:sz w:val="15"/>
          <w:lang w:val="en-US"/>
        </w:rPr>
        <w:t xml:space="preserve"> </w:t>
      </w:r>
    </w:p>
    <w:p w14:paraId="42942140" w14:textId="77777777" w:rsidR="00B90A90" w:rsidRPr="0046445C" w:rsidRDefault="00B90A90" w:rsidP="00B90A90">
      <w:pPr>
        <w:pStyle w:val="Maintext"/>
        <w:spacing w:after="120" w:line="240" w:lineRule="auto"/>
        <w:rPr>
          <w:rFonts w:ascii="Calibri Light" w:hAnsi="Calibri Light" w:cs="Calibri Light"/>
          <w:color w:val="auto"/>
          <w:lang w:val="en-US"/>
        </w:rPr>
      </w:pPr>
    </w:p>
    <w:p w14:paraId="47CC78A7" w14:textId="77777777" w:rsidR="00B90A90" w:rsidRPr="0046445C" w:rsidRDefault="00B90A90" w:rsidP="00B90A90">
      <w:pPr>
        <w:pStyle w:val="Maintext"/>
        <w:spacing w:after="120" w:line="240" w:lineRule="auto"/>
        <w:rPr>
          <w:rFonts w:ascii="Calibri Light" w:hAnsi="Calibri Light" w:cs="Calibri Light"/>
          <w:color w:val="auto"/>
          <w:lang w:val="en-US"/>
        </w:rPr>
      </w:pPr>
    </w:p>
    <w:tbl>
      <w:tblPr>
        <w:tblW w:w="9654" w:type="dxa"/>
        <w:tblLook w:val="00A0" w:firstRow="1" w:lastRow="0" w:firstColumn="1" w:lastColumn="0" w:noHBand="0" w:noVBand="0"/>
      </w:tblPr>
      <w:tblGrid>
        <w:gridCol w:w="4077"/>
        <w:gridCol w:w="426"/>
        <w:gridCol w:w="5151"/>
      </w:tblGrid>
      <w:tr w:rsidR="00B90A90" w:rsidRPr="0046445C" w14:paraId="691CDCA7" w14:textId="77777777" w:rsidTr="007D0F15">
        <w:tc>
          <w:tcPr>
            <w:tcW w:w="4077" w:type="dxa"/>
          </w:tcPr>
          <w:p w14:paraId="0A3D87CC" w14:textId="77777777" w:rsidR="00B90A90" w:rsidRPr="0046445C" w:rsidRDefault="00B90A90" w:rsidP="007D0F15">
            <w:pPr>
              <w:pStyle w:val="Maintext"/>
              <w:rPr>
                <w:rFonts w:ascii="Calibri Light" w:hAnsi="Calibri Light" w:cs="Calibri Light"/>
                <w:sz w:val="18"/>
                <w:szCs w:val="18"/>
              </w:rPr>
            </w:pPr>
            <w:r w:rsidRPr="0046445C">
              <w:rPr>
                <w:rFonts w:ascii="Calibri Light" w:hAnsi="Calibri Light" w:cs="Calibri Light"/>
                <w:sz w:val="18"/>
                <w:szCs w:val="18"/>
              </w:rPr>
              <w:t>Kontakt: Biuro Prasowe Deloitte</w:t>
            </w:r>
          </w:p>
          <w:p w14:paraId="758F4A83" w14:textId="77777777" w:rsidR="00B90A90" w:rsidRPr="0046445C" w:rsidRDefault="00B90A90" w:rsidP="007D0F15">
            <w:pPr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</w:pPr>
            <w:r w:rsidRPr="0046445C">
              <w:rPr>
                <w:rFonts w:ascii="Calibri Light" w:eastAsia="Times New Roman" w:hAnsi="Calibri Light" w:cs="Calibri Light"/>
                <w:color w:val="000000"/>
                <w:sz w:val="18"/>
                <w:szCs w:val="18"/>
              </w:rPr>
              <w:t>Tel.: +48 728 484 476</w:t>
            </w:r>
          </w:p>
          <w:p w14:paraId="152A86A4" w14:textId="77777777" w:rsidR="00B90A90" w:rsidRPr="0046445C" w:rsidRDefault="00B90A90" w:rsidP="007D0F15">
            <w:pPr>
              <w:pStyle w:val="Maintext"/>
              <w:spacing w:line="240" w:lineRule="auto"/>
              <w:rPr>
                <w:rFonts w:ascii="Calibri Light" w:hAnsi="Calibri Light" w:cs="Calibri Light"/>
              </w:rPr>
            </w:pPr>
            <w:r w:rsidRPr="0046445C">
              <w:rPr>
                <w:rFonts w:ascii="Calibri Light" w:hAnsi="Calibri Light" w:cs="Calibri Light"/>
                <w:sz w:val="18"/>
                <w:szCs w:val="18"/>
              </w:rPr>
              <w:t xml:space="preserve">E-mail: </w:t>
            </w:r>
            <w:hyperlink r:id="rId10" w:history="1">
              <w:r w:rsidRPr="0046445C">
                <w:rPr>
                  <w:rFonts w:ascii="Calibri Light" w:hAnsi="Calibri Light" w:cs="Calibri Light"/>
                  <w:sz w:val="18"/>
                  <w:szCs w:val="18"/>
                </w:rPr>
                <w:t>media@deloittece.com</w:t>
              </w:r>
            </w:hyperlink>
          </w:p>
          <w:p w14:paraId="1B7C0F95" w14:textId="77777777" w:rsidR="00B90A90" w:rsidRPr="0046445C" w:rsidRDefault="00B90A90" w:rsidP="007D0F15">
            <w:pPr>
              <w:pStyle w:val="Maintext"/>
              <w:spacing w:line="240" w:lineRule="auto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426" w:type="dxa"/>
          </w:tcPr>
          <w:p w14:paraId="016E7DFB" w14:textId="77777777" w:rsidR="00B90A90" w:rsidRPr="0046445C" w:rsidRDefault="00B90A90" w:rsidP="007D0F15">
            <w:pPr>
              <w:pStyle w:val="Maintext"/>
              <w:spacing w:line="240" w:lineRule="auto"/>
              <w:rPr>
                <w:rFonts w:ascii="Calibri Light" w:hAnsi="Calibri Light" w:cs="Calibri Light"/>
                <w:color w:val="auto"/>
                <w:lang w:val="de-DE"/>
              </w:rPr>
            </w:pPr>
          </w:p>
        </w:tc>
        <w:tc>
          <w:tcPr>
            <w:tcW w:w="5151" w:type="dxa"/>
          </w:tcPr>
          <w:p w14:paraId="06E3B82A" w14:textId="77777777" w:rsidR="00B90A90" w:rsidRPr="0046445C" w:rsidRDefault="00B90A90" w:rsidP="007D0F15">
            <w:pPr>
              <w:pStyle w:val="Maintext"/>
              <w:spacing w:line="240" w:lineRule="auto"/>
              <w:rPr>
                <w:rFonts w:ascii="Calibri Light" w:hAnsi="Calibri Light" w:cs="Calibri Light"/>
                <w:color w:val="auto"/>
                <w:lang w:val="de-DE"/>
              </w:rPr>
            </w:pPr>
          </w:p>
        </w:tc>
      </w:tr>
    </w:tbl>
    <w:p w14:paraId="4257BC45" w14:textId="77777777" w:rsidR="00907AB3" w:rsidRPr="0046445C" w:rsidRDefault="00907AB3" w:rsidP="00D83355">
      <w:pPr>
        <w:jc w:val="center"/>
        <w:rPr>
          <w:rFonts w:ascii="Calibri Light" w:hAnsi="Calibri Light" w:cs="Calibri Light"/>
          <w:i/>
          <w:iCs/>
          <w:sz w:val="28"/>
          <w:szCs w:val="28"/>
        </w:rPr>
      </w:pPr>
    </w:p>
    <w:p w14:paraId="1B448164" w14:textId="15FE317C" w:rsidR="00493377" w:rsidRDefault="00C64E57" w:rsidP="00C64E57">
      <w:pPr>
        <w:jc w:val="center"/>
        <w:rPr>
          <w:rFonts w:ascii="Calibri Light" w:hAnsi="Calibri Light" w:cs="Calibri Light"/>
          <w:b/>
          <w:bCs/>
          <w:sz w:val="28"/>
          <w:szCs w:val="28"/>
        </w:rPr>
      </w:pPr>
      <w:r w:rsidRPr="00C64E57">
        <w:rPr>
          <w:rFonts w:ascii="Calibri Light" w:hAnsi="Calibri Light" w:cs="Calibri Light"/>
          <w:b/>
          <w:bCs/>
          <w:sz w:val="28"/>
          <w:szCs w:val="28"/>
        </w:rPr>
        <w:t>Deloitte Central Europe i WEBCON nawiązują współpracę, aby wspierać transformację cyfrową przedsiębiorstw</w:t>
      </w:r>
    </w:p>
    <w:p w14:paraId="169976BF" w14:textId="77777777" w:rsidR="00C64E57" w:rsidRPr="0046445C" w:rsidRDefault="00C64E57" w:rsidP="00572CA8">
      <w:pPr>
        <w:rPr>
          <w:rFonts w:ascii="Calibri Light" w:hAnsi="Calibri Light" w:cs="Calibri Light"/>
          <w:i/>
          <w:iCs/>
          <w:sz w:val="24"/>
          <w:szCs w:val="24"/>
        </w:rPr>
      </w:pPr>
    </w:p>
    <w:p w14:paraId="0240F06B" w14:textId="4093FF2A" w:rsidR="00146288" w:rsidRDefault="00B90A90" w:rsidP="00575353">
      <w:pPr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  <w:r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Warszawa,</w:t>
      </w:r>
      <w:r w:rsidR="00253135"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</w:t>
      </w:r>
      <w:r w:rsidR="00487B95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1</w:t>
      </w:r>
      <w:r w:rsidR="0027720F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4</w:t>
      </w:r>
      <w:r w:rsidR="0046445C"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października</w:t>
      </w:r>
      <w:r w:rsidR="00CF7987"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</w:t>
      </w:r>
      <w:r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202</w:t>
      </w:r>
      <w:r w:rsidR="00C91E32"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6</w:t>
      </w:r>
      <w:r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r. </w:t>
      </w:r>
      <w:bookmarkStart w:id="0" w:name="_Hlk187325298"/>
      <w:r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–</w:t>
      </w:r>
      <w:bookmarkEnd w:id="0"/>
      <w:r w:rsidR="00F2661D" w:rsidRPr="0046445C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 </w:t>
      </w:r>
      <w:r w:rsidR="00146288" w:rsidRPr="00146288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Deloitte Central Europe i WEBCON nawiązały współpracę, aby pomagać organizacjom w przyspieszeniu transformacji cyfrowej poprzez automatyzację procesów, zarządzanie przepływem pracy oraz rozwiązania oparte na sztucznej inteligencji. </w:t>
      </w:r>
      <w:r w:rsidR="00F350D9" w:rsidRPr="00F350D9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Firmy zamierzają wykorzystać doświadczenie Deloitte w transformacji biznesowej oraz platformę WEBCON do automatyzacji procesów, aby wspierać przedsiębiorstwa z różnych bran</w:t>
      </w:r>
      <w:r w:rsidR="00F350D9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ż.</w:t>
      </w:r>
    </w:p>
    <w:p w14:paraId="104AA6EC" w14:textId="77777777" w:rsidR="00F350D9" w:rsidRPr="0046445C" w:rsidRDefault="00F350D9" w:rsidP="00575353">
      <w:pPr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</w:p>
    <w:p w14:paraId="085A7F9B" w14:textId="77777777" w:rsidR="00186775" w:rsidRDefault="00F36EC0" w:rsidP="00575353">
      <w:r>
        <w:rPr>
          <w:rFonts w:ascii="Calibri Light" w:hAnsi="Calibri Light" w:cs="Calibri Light"/>
          <w:color w:val="000000" w:themeColor="text1"/>
          <w:sz w:val="22"/>
          <w:szCs w:val="22"/>
        </w:rPr>
        <w:t xml:space="preserve">W ramach porozumienia </w:t>
      </w:r>
      <w:r w:rsidR="00690FBD" w:rsidRPr="00690FBD">
        <w:rPr>
          <w:rFonts w:ascii="Calibri Light" w:hAnsi="Calibri Light" w:cs="Calibri Light"/>
          <w:color w:val="000000" w:themeColor="text1"/>
          <w:sz w:val="22"/>
          <w:szCs w:val="22"/>
        </w:rPr>
        <w:t xml:space="preserve">Deloitte będzie </w:t>
      </w:r>
      <w:r>
        <w:rPr>
          <w:rFonts w:ascii="Calibri Light" w:hAnsi="Calibri Light" w:cs="Calibri Light"/>
          <w:color w:val="000000" w:themeColor="text1"/>
          <w:sz w:val="22"/>
          <w:szCs w:val="22"/>
        </w:rPr>
        <w:t>mógł</w:t>
      </w:r>
      <w:r w:rsidR="00690FBD" w:rsidRPr="00690FBD">
        <w:rPr>
          <w:rFonts w:ascii="Calibri Light" w:hAnsi="Calibri Light" w:cs="Calibri Light"/>
          <w:color w:val="000000" w:themeColor="text1"/>
          <w:sz w:val="22"/>
          <w:szCs w:val="22"/>
        </w:rPr>
        <w:t xml:space="preserve"> wykorzystać swoje doświadczenie w doradztwie strategicznym, projektowaniu procesów i transformacji organizacyjnej, korzystając jednocześnie z technologii WEBCON, w tym rozwiązań opartych na sztucznej inteligencji, wspierających cyfryzację i automatyzację procesów biznesowych. Pozwoli to firmie doradczej rozszerzyć zakres wsparcia oferowanego klientom na wszystkich etapach transformacji, od opracowania strategii i projektowania procesów po wdrażanie technologii i zarządzanie zmianą. Wspólne działania mają odpowiadać na jedno z najpilniejszych wyzwań, przed którymi stoją dziś przedsiębiorstwa: jak sprawić, by rosnące nakłady na technologie, automatyzację i sztuczną inteligencję przynosiły wymierne efekty i usprawniały funkcjonowanie organizacji.</w:t>
      </w:r>
      <w:r w:rsidR="00186775" w:rsidRPr="00186775">
        <w:t xml:space="preserve"> </w:t>
      </w:r>
    </w:p>
    <w:p w14:paraId="6D6A52DA" w14:textId="77777777" w:rsidR="00186775" w:rsidRDefault="00186775" w:rsidP="00575353"/>
    <w:p w14:paraId="7D966FE7" w14:textId="50F18EA6" w:rsidR="00146288" w:rsidRPr="00186775" w:rsidRDefault="00905F8A" w:rsidP="00575353">
      <w:pPr>
        <w:rPr>
          <w:rFonts w:ascii="Calibri Light" w:hAnsi="Calibri Light" w:cs="Calibri Light"/>
          <w:color w:val="000000" w:themeColor="text1"/>
          <w:sz w:val="22"/>
          <w:szCs w:val="22"/>
        </w:rPr>
      </w:pPr>
      <w:r>
        <w:rPr>
          <w:rFonts w:ascii="Calibri Light" w:hAnsi="Calibri Light" w:cs="Calibri Light"/>
          <w:color w:val="000000" w:themeColor="text1"/>
          <w:sz w:val="22"/>
          <w:szCs w:val="22"/>
        </w:rPr>
        <w:t>Współpraca</w:t>
      </w:r>
      <w:r w:rsidR="00186775" w:rsidRPr="00186775">
        <w:rPr>
          <w:rFonts w:ascii="Calibri Light" w:hAnsi="Calibri Light" w:cs="Calibri Light"/>
          <w:color w:val="000000" w:themeColor="text1"/>
          <w:sz w:val="22"/>
          <w:szCs w:val="22"/>
        </w:rPr>
        <w:t xml:space="preserve"> będzie rozwijan</w:t>
      </w:r>
      <w:r>
        <w:rPr>
          <w:rFonts w:ascii="Calibri Light" w:hAnsi="Calibri Light" w:cs="Calibri Light"/>
          <w:color w:val="000000" w:themeColor="text1"/>
          <w:sz w:val="22"/>
          <w:szCs w:val="22"/>
        </w:rPr>
        <w:t>a</w:t>
      </w:r>
      <w:r w:rsidR="00186775" w:rsidRPr="00186775">
        <w:rPr>
          <w:rFonts w:ascii="Calibri Light" w:hAnsi="Calibri Light" w:cs="Calibri Light"/>
          <w:color w:val="000000" w:themeColor="text1"/>
          <w:sz w:val="22"/>
          <w:szCs w:val="22"/>
        </w:rPr>
        <w:t xml:space="preserve"> w całej Europie Środkowej, w tym Polsce, ze szczególnym uwzględnieniem branż, w których złożone procesy i duża skala działalności zwiększają zapotrzebowanie na automatyzację i skuteczne zarządzanie zmianą. Dotyczy to m.in. energetyki, usług finansowych, sektora spożywczego, administracji publicznej oraz przemysłu.</w:t>
      </w:r>
    </w:p>
    <w:p w14:paraId="05D706FC" w14:textId="77777777" w:rsidR="00146288" w:rsidRDefault="00146288" w:rsidP="00575353">
      <w:pPr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</w:p>
    <w:p w14:paraId="653F01FE" w14:textId="728EF45B" w:rsidR="00F36EC0" w:rsidRDefault="001E0BAF" w:rsidP="00575353">
      <w:pPr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  <w:r w:rsidRPr="001E0BAF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AI w przemyśle: szanse i wyzwania</w:t>
      </w:r>
    </w:p>
    <w:p w14:paraId="51241FCB" w14:textId="77777777" w:rsidR="00F36EC0" w:rsidRPr="0046445C" w:rsidRDefault="00F36EC0" w:rsidP="00575353">
      <w:pPr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</w:p>
    <w:p w14:paraId="41BC055F" w14:textId="6A38ECCC" w:rsidR="00183981" w:rsidRDefault="00183981" w:rsidP="00183981">
      <w:pPr>
        <w:spacing w:line="240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Wykorzystanie sztucznej inteligencji w przemy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ś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le wykracza ju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ż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 xml:space="preserve"> poza faz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ę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 xml:space="preserve"> eksperymentów. Jak wynika z badania „</w:t>
      </w:r>
      <w:hyperlink r:id="rId11" w:history="1">
        <w:r w:rsidRPr="007B65F4">
          <w:rPr>
            <w:rStyle w:val="Hipercze"/>
            <w:rFonts w:ascii="Calibri Light" w:hAnsi="Calibri Light" w:cs="Calibri Light"/>
            <w:sz w:val="22"/>
            <w:szCs w:val="22"/>
          </w:rPr>
          <w:t xml:space="preserve">AI in </w:t>
        </w:r>
        <w:proofErr w:type="spellStart"/>
        <w:r w:rsidRPr="007B65F4">
          <w:rPr>
            <w:rStyle w:val="Hipercze"/>
            <w:rFonts w:ascii="Calibri Light" w:hAnsi="Calibri Light" w:cs="Calibri Light"/>
            <w:sz w:val="22"/>
            <w:szCs w:val="22"/>
          </w:rPr>
          <w:t>manufacturing</w:t>
        </w:r>
        <w:proofErr w:type="spellEnd"/>
        <w:r w:rsidRPr="007B65F4">
          <w:rPr>
            <w:rStyle w:val="Hipercze"/>
            <w:rFonts w:ascii="Calibri Light" w:hAnsi="Calibri Light" w:cs="Calibri Light"/>
            <w:sz w:val="22"/>
            <w:szCs w:val="22"/>
          </w:rPr>
          <w:t xml:space="preserve"> 2026</w:t>
        </w:r>
      </w:hyperlink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” przeprowadzonego przez Deloitte Germany, 84 proc. przedsi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ę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biorstw produkcyjnych dostrzega wymierne korzy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ś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ci z zastosowania AI, a technologia ta mo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ż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e poprawi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ć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 xml:space="preserve"> najwa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ż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niejsze wska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ź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 xml:space="preserve">niki operacyjne 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ś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rednio o oko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ł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o 20 proc. Jednocze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ś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nie dotychczas tylko oko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ł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o co pi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ą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 xml:space="preserve">te 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lastRenderedPageBreak/>
        <w:t>rozwi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ą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zanie wykorzystuj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ą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ce AI zosta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ł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o wdro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ż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one na szersz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ą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 xml:space="preserve"> skal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ę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, w wielu zak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ł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adach produkcyjnych lub w ca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ł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ej organizacji.</w:t>
      </w:r>
    </w:p>
    <w:p w14:paraId="2EB6BAA9" w14:textId="77777777" w:rsidR="00183981" w:rsidRPr="00183981" w:rsidRDefault="00183981" w:rsidP="00183981">
      <w:pPr>
        <w:spacing w:line="240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6526E8FF" w14:textId="77777777" w:rsidR="00183981" w:rsidRDefault="00183981" w:rsidP="00183981">
      <w:pPr>
        <w:spacing w:line="240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W miar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ę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 xml:space="preserve"> jak firmy przechodz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ą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 xml:space="preserve"> od pojedynczych wdro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ż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e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ń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 xml:space="preserve"> AI do wykorzystania tej technologii bezpo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ś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rednio w procesach biznesowych, istotnymi wyzwaniami pozostaj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ą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 xml:space="preserve"> koszty, kompetencje pracowników, zarz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ą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dzanie zmian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ą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 xml:space="preserve"> oraz jako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ść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 xml:space="preserve"> danych. Skuteczne wdra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ż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anie AI i zwi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ę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kszanie skali jej wykorzystania wymaga odpowiednio przygotowanych procesów i danych, sprawnych mechanizmów zarz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ą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dzania oraz mo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ż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liwo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ś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ci powielania sprawdzonych rozwi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ą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za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ń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 xml:space="preserve"> w kolejnych zespo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ł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ach, zak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ł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adach i na ró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ż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nych rynkach.</w:t>
      </w:r>
    </w:p>
    <w:p w14:paraId="7BA32707" w14:textId="77777777" w:rsidR="00183981" w:rsidRPr="00183981" w:rsidRDefault="00183981" w:rsidP="00183981">
      <w:pPr>
        <w:spacing w:line="240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20C57686" w14:textId="7492BCF3" w:rsidR="00183981" w:rsidRDefault="00183981" w:rsidP="00183981">
      <w:pPr>
        <w:spacing w:line="240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 xml:space="preserve">– </w:t>
      </w:r>
      <w:r w:rsidRPr="00183981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Najwi</w:t>
      </w:r>
      <w:r w:rsidRPr="00183981">
        <w:rPr>
          <w:rFonts w:ascii="Calibri Light" w:hAnsi="Calibri Light" w:cs="Calibri Light" w:hint="eastAsia"/>
          <w:i/>
          <w:iCs/>
          <w:color w:val="000000" w:themeColor="text1"/>
          <w:sz w:val="22"/>
          <w:szCs w:val="22"/>
        </w:rPr>
        <w:t>ę</w:t>
      </w:r>
      <w:r w:rsidRPr="00183981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ksz</w:t>
      </w:r>
      <w:r w:rsidRPr="00183981">
        <w:rPr>
          <w:rFonts w:ascii="Calibri Light" w:hAnsi="Calibri Light" w:cs="Calibri Light" w:hint="eastAsia"/>
          <w:i/>
          <w:iCs/>
          <w:color w:val="000000" w:themeColor="text1"/>
          <w:sz w:val="22"/>
          <w:szCs w:val="22"/>
        </w:rPr>
        <w:t>ą</w:t>
      </w:r>
      <w:r w:rsidRPr="00183981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barier</w:t>
      </w:r>
      <w:r w:rsidRPr="00183981">
        <w:rPr>
          <w:rFonts w:ascii="Calibri Light" w:hAnsi="Calibri Light" w:cs="Calibri Light" w:hint="eastAsia"/>
          <w:i/>
          <w:iCs/>
          <w:color w:val="000000" w:themeColor="text1"/>
          <w:sz w:val="22"/>
          <w:szCs w:val="22"/>
        </w:rPr>
        <w:t>ą</w:t>
      </w:r>
      <w:r w:rsidRPr="00183981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w przeprowadzaniu zmian nie jest dost</w:t>
      </w:r>
      <w:r w:rsidRPr="00183981">
        <w:rPr>
          <w:rFonts w:ascii="Calibri Light" w:hAnsi="Calibri Light" w:cs="Calibri Light" w:hint="eastAsia"/>
          <w:i/>
          <w:iCs/>
          <w:color w:val="000000" w:themeColor="text1"/>
          <w:sz w:val="22"/>
          <w:szCs w:val="22"/>
        </w:rPr>
        <w:t>ę</w:t>
      </w:r>
      <w:r w:rsidRPr="00183981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p do technologii, lecz zdolno</w:t>
      </w:r>
      <w:r w:rsidRPr="00183981">
        <w:rPr>
          <w:rFonts w:ascii="Calibri Light" w:hAnsi="Calibri Light" w:cs="Calibri Light" w:hint="eastAsia"/>
          <w:i/>
          <w:iCs/>
          <w:color w:val="000000" w:themeColor="text1"/>
          <w:sz w:val="22"/>
          <w:szCs w:val="22"/>
        </w:rPr>
        <w:t>ść</w:t>
      </w:r>
      <w:r w:rsidRPr="00183981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organizacji do wykorzystania jej potencja</w:t>
      </w:r>
      <w:r w:rsidRPr="00183981">
        <w:rPr>
          <w:rFonts w:ascii="Calibri Light" w:hAnsi="Calibri Light" w:cs="Calibri Light" w:hint="eastAsia"/>
          <w:i/>
          <w:iCs/>
          <w:color w:val="000000" w:themeColor="text1"/>
          <w:sz w:val="22"/>
          <w:szCs w:val="22"/>
        </w:rPr>
        <w:t>ł</w:t>
      </w:r>
      <w:r w:rsidRPr="00183981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u na szerok</w:t>
      </w:r>
      <w:r w:rsidRPr="00183981">
        <w:rPr>
          <w:rFonts w:ascii="Calibri Light" w:hAnsi="Calibri Light" w:cs="Calibri Light" w:hint="eastAsia"/>
          <w:i/>
          <w:iCs/>
          <w:color w:val="000000" w:themeColor="text1"/>
          <w:sz w:val="22"/>
          <w:szCs w:val="22"/>
        </w:rPr>
        <w:t>ą</w:t>
      </w:r>
      <w:r w:rsidRPr="00183981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skal</w:t>
      </w:r>
      <w:r w:rsidRPr="00183981">
        <w:rPr>
          <w:rFonts w:ascii="Calibri Light" w:hAnsi="Calibri Light" w:cs="Calibri Light" w:hint="eastAsia"/>
          <w:i/>
          <w:iCs/>
          <w:color w:val="000000" w:themeColor="text1"/>
          <w:sz w:val="22"/>
          <w:szCs w:val="22"/>
        </w:rPr>
        <w:t>ę</w:t>
      </w:r>
      <w:r w:rsidRPr="00183981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. Projekty transformacyjne wymagaj</w:t>
      </w:r>
      <w:r w:rsidRPr="00183981">
        <w:rPr>
          <w:rFonts w:ascii="Calibri Light" w:hAnsi="Calibri Light" w:cs="Calibri Light" w:hint="eastAsia"/>
          <w:i/>
          <w:iCs/>
          <w:color w:val="000000" w:themeColor="text1"/>
          <w:sz w:val="22"/>
          <w:szCs w:val="22"/>
        </w:rPr>
        <w:t>ą</w:t>
      </w:r>
      <w:r w:rsidRPr="00183981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zrozumienia procesów, zale</w:t>
      </w:r>
      <w:r w:rsidRPr="00183981">
        <w:rPr>
          <w:rFonts w:ascii="Calibri Light" w:hAnsi="Calibri Light" w:cs="Calibri Light" w:hint="eastAsia"/>
          <w:i/>
          <w:iCs/>
          <w:color w:val="000000" w:themeColor="text1"/>
          <w:sz w:val="22"/>
          <w:szCs w:val="22"/>
        </w:rPr>
        <w:t>ż</w:t>
      </w:r>
      <w:r w:rsidRPr="00183981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no</w:t>
      </w:r>
      <w:r w:rsidRPr="00183981">
        <w:rPr>
          <w:rFonts w:ascii="Calibri Light" w:hAnsi="Calibri Light" w:cs="Calibri Light" w:hint="eastAsia"/>
          <w:i/>
          <w:iCs/>
          <w:color w:val="000000" w:themeColor="text1"/>
          <w:sz w:val="22"/>
          <w:szCs w:val="22"/>
        </w:rPr>
        <w:t>ś</w:t>
      </w:r>
      <w:r w:rsidRPr="00183981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ci mi</w:t>
      </w:r>
      <w:r w:rsidRPr="00183981">
        <w:rPr>
          <w:rFonts w:ascii="Calibri Light" w:hAnsi="Calibri Light" w:cs="Calibri Light" w:hint="eastAsia"/>
          <w:i/>
          <w:iCs/>
          <w:color w:val="000000" w:themeColor="text1"/>
          <w:sz w:val="22"/>
          <w:szCs w:val="22"/>
        </w:rPr>
        <w:t>ę</w:t>
      </w:r>
      <w:r w:rsidRPr="00183981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dzy nimi oraz rzeczywistych potrzeb biznesowych. Dopiero na tej podstawie mo</w:t>
      </w:r>
      <w:r w:rsidRPr="00183981">
        <w:rPr>
          <w:rFonts w:ascii="Calibri Light" w:hAnsi="Calibri Light" w:cs="Calibri Light" w:hint="eastAsia"/>
          <w:i/>
          <w:iCs/>
          <w:color w:val="000000" w:themeColor="text1"/>
          <w:sz w:val="22"/>
          <w:szCs w:val="22"/>
        </w:rPr>
        <w:t>ż</w:t>
      </w:r>
      <w:r w:rsidRPr="00183981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na tworzy</w:t>
      </w:r>
      <w:r w:rsidRPr="00183981">
        <w:rPr>
          <w:rFonts w:ascii="Calibri Light" w:hAnsi="Calibri Light" w:cs="Calibri Light" w:hint="eastAsia"/>
          <w:i/>
          <w:iCs/>
          <w:color w:val="000000" w:themeColor="text1"/>
          <w:sz w:val="22"/>
          <w:szCs w:val="22"/>
        </w:rPr>
        <w:t>ć</w:t>
      </w:r>
      <w:r w:rsidRPr="00183981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rozwi</w:t>
      </w:r>
      <w:r w:rsidRPr="00183981">
        <w:rPr>
          <w:rFonts w:ascii="Calibri Light" w:hAnsi="Calibri Light" w:cs="Calibri Light" w:hint="eastAsia"/>
          <w:i/>
          <w:iCs/>
          <w:color w:val="000000" w:themeColor="text1"/>
          <w:sz w:val="22"/>
          <w:szCs w:val="22"/>
        </w:rPr>
        <w:t>ą</w:t>
      </w:r>
      <w:r w:rsidRPr="00183981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zania, które wykraczaj</w:t>
      </w:r>
      <w:r w:rsidRPr="00183981">
        <w:rPr>
          <w:rFonts w:ascii="Calibri Light" w:hAnsi="Calibri Light" w:cs="Calibri Light" w:hint="eastAsia"/>
          <w:i/>
          <w:iCs/>
          <w:color w:val="000000" w:themeColor="text1"/>
          <w:sz w:val="22"/>
          <w:szCs w:val="22"/>
        </w:rPr>
        <w:t>ą</w:t>
      </w:r>
      <w:r w:rsidRPr="00183981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poza pojedyncze projekty pilota</w:t>
      </w:r>
      <w:r w:rsidRPr="00183981">
        <w:rPr>
          <w:rFonts w:ascii="Calibri Light" w:hAnsi="Calibri Light" w:cs="Calibri Light" w:hint="eastAsia"/>
          <w:i/>
          <w:iCs/>
          <w:color w:val="000000" w:themeColor="text1"/>
          <w:sz w:val="22"/>
          <w:szCs w:val="22"/>
        </w:rPr>
        <w:t>ż</w:t>
      </w:r>
      <w:r w:rsidRPr="00183981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owe i staj</w:t>
      </w:r>
      <w:r w:rsidRPr="00183981">
        <w:rPr>
          <w:rFonts w:ascii="Calibri Light" w:hAnsi="Calibri Light" w:cs="Calibri Light" w:hint="eastAsia"/>
          <w:i/>
          <w:iCs/>
          <w:color w:val="000000" w:themeColor="text1"/>
          <w:sz w:val="22"/>
          <w:szCs w:val="22"/>
        </w:rPr>
        <w:t>ą</w:t>
      </w:r>
      <w:r w:rsidRPr="00183981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si</w:t>
      </w:r>
      <w:r w:rsidRPr="00183981">
        <w:rPr>
          <w:rFonts w:ascii="Calibri Light" w:hAnsi="Calibri Light" w:cs="Calibri Light" w:hint="eastAsia"/>
          <w:i/>
          <w:iCs/>
          <w:color w:val="000000" w:themeColor="text1"/>
          <w:sz w:val="22"/>
          <w:szCs w:val="22"/>
        </w:rPr>
        <w:t>ę</w:t>
      </w:r>
      <w:r w:rsidRPr="00183981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integraln</w:t>
      </w:r>
      <w:r w:rsidRPr="00183981">
        <w:rPr>
          <w:rFonts w:ascii="Calibri Light" w:hAnsi="Calibri Light" w:cs="Calibri Light" w:hint="eastAsia"/>
          <w:i/>
          <w:iCs/>
          <w:color w:val="000000" w:themeColor="text1"/>
          <w:sz w:val="22"/>
          <w:szCs w:val="22"/>
        </w:rPr>
        <w:t>ą</w:t>
      </w:r>
      <w:r w:rsidRPr="00183981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cz</w:t>
      </w:r>
      <w:r w:rsidRPr="00183981">
        <w:rPr>
          <w:rFonts w:ascii="Calibri Light" w:hAnsi="Calibri Light" w:cs="Calibri Light" w:hint="eastAsia"/>
          <w:i/>
          <w:iCs/>
          <w:color w:val="000000" w:themeColor="text1"/>
          <w:sz w:val="22"/>
          <w:szCs w:val="22"/>
        </w:rPr>
        <w:t>ęś</w:t>
      </w:r>
      <w:r w:rsidRPr="00183981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ci</w:t>
      </w:r>
      <w:r w:rsidRPr="00183981">
        <w:rPr>
          <w:rFonts w:ascii="Calibri Light" w:hAnsi="Calibri Light" w:cs="Calibri Light" w:hint="eastAsia"/>
          <w:i/>
          <w:iCs/>
          <w:color w:val="000000" w:themeColor="text1"/>
          <w:sz w:val="22"/>
          <w:szCs w:val="22"/>
        </w:rPr>
        <w:t>ą</w:t>
      </w:r>
      <w:r w:rsidRPr="00183981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strategii operacyjnej firmy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 xml:space="preserve"> – mówi </w:t>
      </w:r>
      <w:r w:rsidRPr="00183981">
        <w:rPr>
          <w:rFonts w:ascii="Calibri Light" w:hAnsi="Calibri Light" w:cs="Calibri Light" w:hint="eastAsia"/>
          <w:b/>
          <w:bCs/>
          <w:color w:val="000000" w:themeColor="text1"/>
          <w:sz w:val="22"/>
          <w:szCs w:val="22"/>
        </w:rPr>
        <w:t>Ł</w:t>
      </w:r>
      <w:r w:rsidRPr="00183981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 xml:space="preserve">ukasz </w:t>
      </w:r>
      <w:proofErr w:type="spellStart"/>
      <w:r w:rsidRPr="00183981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Misiarz</w:t>
      </w:r>
      <w:proofErr w:type="spellEnd"/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, partner, lider zespo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ł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 xml:space="preserve">u Enterprise </w:t>
      </w:r>
      <w:proofErr w:type="spellStart"/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Experience</w:t>
      </w:r>
      <w:proofErr w:type="spellEnd"/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 xml:space="preserve"> w Deloitte Central Europe.</w:t>
      </w:r>
    </w:p>
    <w:p w14:paraId="255507AF" w14:textId="77777777" w:rsidR="00183981" w:rsidRPr="00183981" w:rsidRDefault="00183981" w:rsidP="00183981">
      <w:pPr>
        <w:spacing w:line="240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2DC53650" w14:textId="5260BE22" w:rsidR="002A54F3" w:rsidRDefault="00183981" w:rsidP="00183981">
      <w:pPr>
        <w:spacing w:line="240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Przej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ś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cie od strategii do wdra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ż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ania rozwi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ą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za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ń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 xml:space="preserve"> w ca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ł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ej organizacji to obszar, w którym kompetencje Deloitte i WEBCON wzajemnie si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ę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 xml:space="preserve"> uzupe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ł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niaj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ą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. Deloitte wspiera klientów na ka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ż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dym etapie, od analizy i projektowania procesów, przez wdro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ż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enie, po zarz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ą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dzanie zmian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ą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, wykorzystuj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ą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c technologie dostosowane do potrzeb, skali dzia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ł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alno</w:t>
      </w:r>
      <w:r w:rsidRPr="00183981">
        <w:rPr>
          <w:rFonts w:ascii="Calibri Light" w:hAnsi="Calibri Light" w:cs="Calibri Light" w:hint="eastAsia"/>
          <w:color w:val="000000" w:themeColor="text1"/>
          <w:sz w:val="22"/>
          <w:szCs w:val="22"/>
        </w:rPr>
        <w:t>ś</w:t>
      </w:r>
      <w:r w:rsidRPr="00183981">
        <w:rPr>
          <w:rFonts w:ascii="Calibri Light" w:hAnsi="Calibri Light" w:cs="Calibri Light"/>
          <w:color w:val="000000" w:themeColor="text1"/>
          <w:sz w:val="22"/>
          <w:szCs w:val="22"/>
        </w:rPr>
        <w:t>ci i specyfiki danej organizacji.</w:t>
      </w:r>
    </w:p>
    <w:p w14:paraId="6FD67530" w14:textId="77777777" w:rsidR="00183981" w:rsidRDefault="00183981" w:rsidP="00183981">
      <w:pPr>
        <w:spacing w:line="240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4914EED2" w14:textId="77777777" w:rsidR="001A610F" w:rsidRDefault="001A610F" w:rsidP="001A610F">
      <w:pPr>
        <w:spacing w:line="240" w:lineRule="auto"/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  <w:r w:rsidRPr="001A610F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Transformacja na dużą skalę</w:t>
      </w:r>
    </w:p>
    <w:p w14:paraId="61669E95" w14:textId="77777777" w:rsidR="001A610F" w:rsidRPr="001A610F" w:rsidRDefault="001A610F" w:rsidP="001A610F">
      <w:pPr>
        <w:spacing w:line="240" w:lineRule="auto"/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</w:pPr>
    </w:p>
    <w:p w14:paraId="516E99C5" w14:textId="0BB85AF5" w:rsidR="001A610F" w:rsidRDefault="00FD373A" w:rsidP="001A610F">
      <w:pPr>
        <w:spacing w:line="240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FD373A">
        <w:rPr>
          <w:rFonts w:ascii="Calibri Light" w:hAnsi="Calibri Light" w:cs="Calibri Light"/>
          <w:color w:val="000000" w:themeColor="text1"/>
          <w:sz w:val="22"/>
          <w:szCs w:val="22"/>
        </w:rPr>
        <w:t xml:space="preserve">Porozumienie ma szczególne znaczenie dla dużych przedsięwzięć transformacyjnych, w których wdrożenie technologii jest jedynie częścią szerszych zmian organizacyjnych. Jednym z obszarów, na których mogą koncentrować się wspólne działania, jest przemysł. Duża skala działalności, złożone procesy i wymagania regulacyjne sprawiają, że przedsiębiorstwa z tego sektora muszą coraz skuteczniej zarządzać zmianą i poprawiać efektywność operacyjną. WEBCON ma bogate doświadczenie we wdrożeniach przemysłowych, a z jego platformy od lat korzystają duże </w:t>
      </w:r>
      <w:r>
        <w:rPr>
          <w:rFonts w:ascii="Calibri Light" w:hAnsi="Calibri Light" w:cs="Calibri Light"/>
          <w:color w:val="000000" w:themeColor="text1"/>
          <w:sz w:val="22"/>
          <w:szCs w:val="22"/>
        </w:rPr>
        <w:t>podmioty</w:t>
      </w:r>
      <w:r w:rsidRPr="00FD373A">
        <w:rPr>
          <w:rFonts w:ascii="Calibri Light" w:hAnsi="Calibri Light" w:cs="Calibri Light"/>
          <w:color w:val="000000" w:themeColor="text1"/>
          <w:sz w:val="22"/>
          <w:szCs w:val="22"/>
        </w:rPr>
        <w:t>.</w:t>
      </w:r>
    </w:p>
    <w:p w14:paraId="0A37B754" w14:textId="77777777" w:rsidR="00FD373A" w:rsidRPr="001A610F" w:rsidRDefault="00FD373A" w:rsidP="001A610F">
      <w:pPr>
        <w:spacing w:line="240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744039E2" w14:textId="4BCFA95F" w:rsidR="001A610F" w:rsidRDefault="001A610F" w:rsidP="001A610F">
      <w:pPr>
        <w:spacing w:line="240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1A610F">
        <w:rPr>
          <w:rFonts w:ascii="Calibri Light" w:hAnsi="Calibri Light" w:cs="Calibri Light"/>
          <w:color w:val="000000" w:themeColor="text1"/>
          <w:sz w:val="22"/>
          <w:szCs w:val="22"/>
        </w:rPr>
        <w:t xml:space="preserve">– </w:t>
      </w:r>
      <w:r w:rsidR="00783317" w:rsidRPr="00783317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Współpraca Deloitte z WEBCON rozszerza nasze możliwości w zakresie automatyzacji i cyfryzacji procesów, szczególnie w przemyśle wytwórczym. W tym sektorze połączenie doświadczenia branżowego, dobrze zaprojektowanych procesów i odpowiedniej technologii ma kluczowe znaczenie dla powodzenia projektów transformacyjnych</w:t>
      </w:r>
      <w:r w:rsidR="00783317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</w:t>
      </w:r>
      <w:r w:rsidRPr="001A610F">
        <w:rPr>
          <w:rFonts w:ascii="Calibri Light" w:hAnsi="Calibri Light" w:cs="Calibri Light"/>
          <w:color w:val="000000" w:themeColor="text1"/>
          <w:sz w:val="22"/>
          <w:szCs w:val="22"/>
        </w:rPr>
        <w:t xml:space="preserve">– mówi </w:t>
      </w:r>
      <w:r w:rsidRPr="00D96F86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Maciej Plebański</w:t>
      </w:r>
      <w:r w:rsidRPr="001A610F">
        <w:rPr>
          <w:rFonts w:ascii="Calibri Light" w:hAnsi="Calibri Light" w:cs="Calibri Light"/>
          <w:color w:val="000000" w:themeColor="text1"/>
          <w:sz w:val="22"/>
          <w:szCs w:val="22"/>
        </w:rPr>
        <w:t>, dyrektor, lider Smart Manufacturing w Deloitte Central Europe.</w:t>
      </w:r>
    </w:p>
    <w:p w14:paraId="01072FBA" w14:textId="77777777" w:rsidR="001A610F" w:rsidRPr="001A610F" w:rsidRDefault="001A610F" w:rsidP="001A610F">
      <w:pPr>
        <w:spacing w:line="240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65816A7F" w14:textId="3B85EC25" w:rsidR="00225642" w:rsidRDefault="001A610F" w:rsidP="001A610F">
      <w:pPr>
        <w:spacing w:line="240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  <w:r w:rsidRPr="001A610F">
        <w:rPr>
          <w:rFonts w:ascii="Calibri Light" w:hAnsi="Calibri Light" w:cs="Calibri Light"/>
          <w:color w:val="000000" w:themeColor="text1"/>
          <w:sz w:val="22"/>
          <w:szCs w:val="22"/>
        </w:rPr>
        <w:t xml:space="preserve">– </w:t>
      </w:r>
      <w:r w:rsidRPr="001A610F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Dziś przewaga konkurencyjna w coraz większym stopniu zależy od zdolności organizacji do ciągłego dostosowywania się do zmian. Dobrym przykładem jest wdrażanie i rozwijanie zastosowań sztucznej inteligencji w odpowiedzi na pojawiające się potrzeby. W dużych przedsiębiorstwach procesy biznesowe są ze sobą ściśle powiązane, dlatego każda zmiana musi uwzględniać skalę działalności, istniejącą architekturę oraz wymagania biznesowe. Deloitte wnosi do tego partnerstwa doświadczenie w projektowaniu transformacji na rynkach międzynarodowych, a WEBCON dostarcza technologię, która pozwala</w:t>
      </w:r>
      <w:r w:rsidR="007D40BC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 xml:space="preserve"> </w:t>
      </w:r>
      <w:r w:rsidR="00D6147F" w:rsidRPr="00D6147F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przekształcić te strategie w działające rozwiązania</w:t>
      </w:r>
      <w:r w:rsidRPr="001A610F">
        <w:rPr>
          <w:rFonts w:ascii="Calibri Light" w:hAnsi="Calibri Light" w:cs="Calibri Light"/>
          <w:i/>
          <w:iCs/>
          <w:color w:val="000000" w:themeColor="text1"/>
          <w:sz w:val="22"/>
          <w:szCs w:val="22"/>
        </w:rPr>
        <w:t>. Najbardziej cenimy w tej relacji kompleksowe podejście, od strategii po budowę ekosystemu rozwiązań, które można stale rozwijać</w:t>
      </w:r>
      <w:r w:rsidRPr="001A610F">
        <w:rPr>
          <w:rFonts w:ascii="Calibri Light" w:hAnsi="Calibri Light" w:cs="Calibri Light"/>
          <w:color w:val="000000" w:themeColor="text1"/>
          <w:sz w:val="22"/>
          <w:szCs w:val="22"/>
        </w:rPr>
        <w:t xml:space="preserve"> – podsumowuje </w:t>
      </w:r>
      <w:r w:rsidRPr="001A610F">
        <w:rPr>
          <w:rFonts w:ascii="Calibri Light" w:hAnsi="Calibri Light" w:cs="Calibri Light"/>
          <w:b/>
          <w:bCs/>
          <w:color w:val="000000" w:themeColor="text1"/>
          <w:sz w:val="22"/>
          <w:szCs w:val="22"/>
        </w:rPr>
        <w:t>Paweł Grzegorczyk</w:t>
      </w:r>
      <w:r w:rsidRPr="001A610F">
        <w:rPr>
          <w:rFonts w:ascii="Calibri Light" w:hAnsi="Calibri Light" w:cs="Calibri Light"/>
          <w:color w:val="000000" w:themeColor="text1"/>
          <w:sz w:val="22"/>
          <w:szCs w:val="22"/>
        </w:rPr>
        <w:t xml:space="preserve">, VP of </w:t>
      </w:r>
      <w:proofErr w:type="spellStart"/>
      <w:r w:rsidRPr="001A610F">
        <w:rPr>
          <w:rFonts w:ascii="Calibri Light" w:hAnsi="Calibri Light" w:cs="Calibri Light"/>
          <w:color w:val="000000" w:themeColor="text1"/>
          <w:sz w:val="22"/>
          <w:szCs w:val="22"/>
        </w:rPr>
        <w:t>Growth</w:t>
      </w:r>
      <w:proofErr w:type="spellEnd"/>
      <w:r w:rsidRPr="001A610F">
        <w:rPr>
          <w:rFonts w:ascii="Calibri Light" w:hAnsi="Calibri Light" w:cs="Calibri Light"/>
          <w:color w:val="000000" w:themeColor="text1"/>
          <w:sz w:val="22"/>
          <w:szCs w:val="22"/>
        </w:rPr>
        <w:t xml:space="preserve"> w WEBCON.</w:t>
      </w:r>
    </w:p>
    <w:p w14:paraId="05C05759" w14:textId="77777777" w:rsidR="00225642" w:rsidRDefault="00225642" w:rsidP="001A610F">
      <w:pPr>
        <w:spacing w:line="240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166A11A5" w14:textId="0574A83A" w:rsidR="00B94214" w:rsidRDefault="00B94214" w:rsidP="00D6147F">
      <w:pPr>
        <w:spacing w:line="240" w:lineRule="auto"/>
        <w:jc w:val="center"/>
        <w:rPr>
          <w:rFonts w:ascii="Calibri Light" w:hAnsi="Calibri Light" w:cs="Calibri Light"/>
          <w:color w:val="000000" w:themeColor="text1"/>
          <w:sz w:val="22"/>
          <w:szCs w:val="22"/>
        </w:rPr>
      </w:pPr>
      <w:r>
        <w:rPr>
          <w:rFonts w:ascii="Calibri Light" w:hAnsi="Calibri Light" w:cs="Calibri Light"/>
          <w:color w:val="000000" w:themeColor="text1"/>
          <w:sz w:val="22"/>
          <w:szCs w:val="22"/>
        </w:rPr>
        <w:t>***</w:t>
      </w:r>
    </w:p>
    <w:p w14:paraId="5A2E7730" w14:textId="77777777" w:rsidR="007764AE" w:rsidRDefault="007764AE" w:rsidP="001A610F">
      <w:pPr>
        <w:spacing w:line="240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299ADD31" w14:textId="77777777" w:rsidR="00596B23" w:rsidRPr="00B94214" w:rsidRDefault="00596B23" w:rsidP="00596B23">
      <w:pPr>
        <w:spacing w:line="240" w:lineRule="auto"/>
        <w:rPr>
          <w:rFonts w:ascii="Calibri Light" w:hAnsi="Calibri Light" w:cs="Calibri Light"/>
          <w:b/>
          <w:bCs/>
          <w:color w:val="000000" w:themeColor="text1"/>
          <w:sz w:val="18"/>
          <w:szCs w:val="18"/>
        </w:rPr>
      </w:pPr>
      <w:r w:rsidRPr="00B94214">
        <w:rPr>
          <w:rFonts w:ascii="Calibri Light" w:hAnsi="Calibri Light" w:cs="Calibri Light"/>
          <w:b/>
          <w:bCs/>
          <w:color w:val="000000" w:themeColor="text1"/>
          <w:sz w:val="18"/>
          <w:szCs w:val="18"/>
        </w:rPr>
        <w:t>O WEBCON</w:t>
      </w:r>
    </w:p>
    <w:p w14:paraId="35246A02" w14:textId="77777777" w:rsidR="00596B23" w:rsidRPr="00B94214" w:rsidRDefault="00596B23" w:rsidP="00596B23">
      <w:pPr>
        <w:spacing w:line="240" w:lineRule="auto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B94214">
        <w:rPr>
          <w:rFonts w:ascii="Calibri Light" w:hAnsi="Calibri Light" w:cs="Calibri Light"/>
          <w:color w:val="000000" w:themeColor="text1"/>
          <w:sz w:val="18"/>
          <w:szCs w:val="18"/>
        </w:rPr>
        <w:t xml:space="preserve">WEBCON to polski dostawca platformy do automatyzacji procesów biznesowych, która w jednym środowisku integruje rozwiązania oparte na sztucznej inteligencji, narzędzia do koordynacji procesów oraz zarządzania nimi na poziomie całej organizacji. Platforma umożliwia firmom projektowanie, tworzenie i rozwijanie aplikacji wspierających zarówno procesy </w:t>
      </w:r>
      <w:r w:rsidRPr="00B94214">
        <w:rPr>
          <w:rFonts w:ascii="Calibri Light" w:hAnsi="Calibri Light" w:cs="Calibri Light"/>
          <w:color w:val="000000" w:themeColor="text1"/>
          <w:sz w:val="18"/>
          <w:szCs w:val="18"/>
        </w:rPr>
        <w:lastRenderedPageBreak/>
        <w:t>administracyjne i operacyjne, jak i podstawową działalność biznesową. Dzięki integracji z systemami ERP, CRM i innymi rozwiązaniami wykorzystywanymi w przedsiębiorstwach pozwala automatyzować procesy w skali całej organizacji, a nie wyłącznie w poszczególnych działach.</w:t>
      </w:r>
    </w:p>
    <w:p w14:paraId="4A848DF5" w14:textId="77777777" w:rsidR="00B73250" w:rsidRPr="00B94214" w:rsidRDefault="00B73250" w:rsidP="00596B23">
      <w:pPr>
        <w:spacing w:line="240" w:lineRule="auto"/>
        <w:rPr>
          <w:rFonts w:ascii="Calibri Light" w:hAnsi="Calibri Light" w:cs="Calibri Light"/>
          <w:color w:val="000000" w:themeColor="text1"/>
          <w:sz w:val="18"/>
          <w:szCs w:val="18"/>
        </w:rPr>
      </w:pPr>
    </w:p>
    <w:p w14:paraId="51C7D2E9" w14:textId="3F18EC2A" w:rsidR="007764AE" w:rsidRPr="00B94214" w:rsidRDefault="00596B23" w:rsidP="001A610F">
      <w:pPr>
        <w:spacing w:line="240" w:lineRule="auto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B94214">
        <w:rPr>
          <w:rFonts w:ascii="Calibri Light" w:hAnsi="Calibri Light" w:cs="Calibri Light"/>
          <w:color w:val="000000" w:themeColor="text1"/>
          <w:sz w:val="18"/>
          <w:szCs w:val="18"/>
        </w:rPr>
        <w:t xml:space="preserve">Z rozwiązań WEBCON korzysta ponad 1000 organizacji w przeszło 70 krajach, w tym Tauron, </w:t>
      </w:r>
      <w:proofErr w:type="spellStart"/>
      <w:r w:rsidRPr="00B94214">
        <w:rPr>
          <w:rFonts w:ascii="Calibri Light" w:hAnsi="Calibri Light" w:cs="Calibri Light"/>
          <w:color w:val="000000" w:themeColor="text1"/>
          <w:sz w:val="18"/>
          <w:szCs w:val="18"/>
        </w:rPr>
        <w:t>Pratt</w:t>
      </w:r>
      <w:proofErr w:type="spellEnd"/>
      <w:r w:rsidRPr="00B94214">
        <w:rPr>
          <w:rFonts w:ascii="Calibri Light" w:hAnsi="Calibri Light" w:cs="Calibri Light"/>
          <w:color w:val="000000" w:themeColor="text1"/>
          <w:sz w:val="18"/>
          <w:szCs w:val="18"/>
        </w:rPr>
        <w:t xml:space="preserve"> &amp; Whitney Canada, Mitsubishi </w:t>
      </w:r>
      <w:proofErr w:type="spellStart"/>
      <w:r w:rsidRPr="00B94214">
        <w:rPr>
          <w:rFonts w:ascii="Calibri Light" w:hAnsi="Calibri Light" w:cs="Calibri Light"/>
          <w:color w:val="000000" w:themeColor="text1"/>
          <w:sz w:val="18"/>
          <w:szCs w:val="18"/>
        </w:rPr>
        <w:t>Electric</w:t>
      </w:r>
      <w:proofErr w:type="spellEnd"/>
      <w:r w:rsidRPr="00B94214">
        <w:rPr>
          <w:rFonts w:ascii="Calibri Light" w:hAnsi="Calibri Light" w:cs="Calibri Light"/>
          <w:color w:val="000000" w:themeColor="text1"/>
          <w:sz w:val="18"/>
          <w:szCs w:val="18"/>
        </w:rPr>
        <w:t xml:space="preserve"> oraz </w:t>
      </w:r>
      <w:proofErr w:type="spellStart"/>
      <w:r w:rsidRPr="00B94214">
        <w:rPr>
          <w:rFonts w:ascii="Calibri Light" w:hAnsi="Calibri Light" w:cs="Calibri Light"/>
          <w:color w:val="000000" w:themeColor="text1"/>
          <w:sz w:val="18"/>
          <w:szCs w:val="18"/>
        </w:rPr>
        <w:t>Südzucker</w:t>
      </w:r>
      <w:proofErr w:type="spellEnd"/>
      <w:r w:rsidRPr="00B94214">
        <w:rPr>
          <w:rFonts w:ascii="Calibri Light" w:hAnsi="Calibri Light" w:cs="Calibri Light"/>
          <w:color w:val="000000" w:themeColor="text1"/>
          <w:sz w:val="18"/>
          <w:szCs w:val="18"/>
        </w:rPr>
        <w:t xml:space="preserve"> </w:t>
      </w:r>
      <w:proofErr w:type="spellStart"/>
      <w:r w:rsidRPr="00B94214">
        <w:rPr>
          <w:rFonts w:ascii="Calibri Light" w:hAnsi="Calibri Light" w:cs="Calibri Light"/>
          <w:color w:val="000000" w:themeColor="text1"/>
          <w:sz w:val="18"/>
          <w:szCs w:val="18"/>
        </w:rPr>
        <w:t>Group</w:t>
      </w:r>
      <w:proofErr w:type="spellEnd"/>
      <w:r w:rsidRPr="00B94214">
        <w:rPr>
          <w:rFonts w:ascii="Calibri Light" w:hAnsi="Calibri Light" w:cs="Calibri Light"/>
          <w:color w:val="000000" w:themeColor="text1"/>
          <w:sz w:val="18"/>
          <w:szCs w:val="18"/>
        </w:rPr>
        <w:t xml:space="preserve">. Platforma WEBCON uzyskała ocenę 4,8/5 w serwisie Gartner Peer </w:t>
      </w:r>
      <w:proofErr w:type="spellStart"/>
      <w:r w:rsidRPr="00B94214">
        <w:rPr>
          <w:rFonts w:ascii="Calibri Light" w:hAnsi="Calibri Light" w:cs="Calibri Light"/>
          <w:color w:val="000000" w:themeColor="text1"/>
          <w:sz w:val="18"/>
          <w:szCs w:val="18"/>
        </w:rPr>
        <w:t>Insights</w:t>
      </w:r>
      <w:proofErr w:type="spellEnd"/>
      <w:r w:rsidRPr="00B94214">
        <w:rPr>
          <w:rFonts w:ascii="Calibri Light" w:hAnsi="Calibri Light" w:cs="Calibri Light"/>
          <w:color w:val="000000" w:themeColor="text1"/>
          <w:sz w:val="18"/>
          <w:szCs w:val="18"/>
        </w:rPr>
        <w:t>.</w:t>
      </w:r>
    </w:p>
    <w:p w14:paraId="5FF42A5B" w14:textId="77777777" w:rsidR="00183981" w:rsidRPr="00B94214" w:rsidRDefault="00183981" w:rsidP="00183981">
      <w:pPr>
        <w:spacing w:line="240" w:lineRule="auto"/>
        <w:rPr>
          <w:rFonts w:ascii="Calibri Light" w:hAnsi="Calibri Light" w:cs="Calibri Light"/>
          <w:color w:val="000000" w:themeColor="text1"/>
          <w:sz w:val="18"/>
          <w:szCs w:val="18"/>
        </w:rPr>
      </w:pPr>
    </w:p>
    <w:p w14:paraId="76C2EBC6" w14:textId="77777777" w:rsidR="001E0BAF" w:rsidRPr="00B94214" w:rsidRDefault="001E0BAF" w:rsidP="00DF09F3">
      <w:pPr>
        <w:spacing w:line="240" w:lineRule="auto"/>
        <w:rPr>
          <w:rFonts w:ascii="Calibri Light" w:hAnsi="Calibri Light" w:cs="Calibri Light"/>
          <w:b/>
          <w:bCs/>
          <w:color w:val="000000" w:themeColor="text1"/>
          <w:sz w:val="18"/>
          <w:szCs w:val="18"/>
        </w:rPr>
      </w:pPr>
    </w:p>
    <w:p w14:paraId="04823DAA" w14:textId="122B9A25" w:rsidR="00DF09F3" w:rsidRPr="00B94214" w:rsidRDefault="00DF09F3" w:rsidP="00DF09F3">
      <w:pPr>
        <w:spacing w:line="240" w:lineRule="auto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B94214">
        <w:rPr>
          <w:rFonts w:ascii="Calibri Light" w:hAnsi="Calibri Light" w:cs="Calibri Light"/>
          <w:color w:val="000000" w:themeColor="text1"/>
          <w:sz w:val="18"/>
          <w:szCs w:val="18"/>
        </w:rPr>
        <w:t>Subskrypcja:</w:t>
      </w:r>
    </w:p>
    <w:p w14:paraId="13845EB4" w14:textId="77777777" w:rsidR="00DF09F3" w:rsidRPr="00B94214" w:rsidRDefault="00DF09F3" w:rsidP="00DF09F3">
      <w:pPr>
        <w:spacing w:line="240" w:lineRule="auto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B94214">
        <w:rPr>
          <w:rFonts w:ascii="Calibri Light" w:hAnsi="Calibri Light" w:cs="Calibri Light"/>
          <w:color w:val="000000" w:themeColor="text1"/>
          <w:sz w:val="18"/>
          <w:szCs w:val="18"/>
        </w:rPr>
        <w:t>Otrzymuj powiadomienia o kolejnych informacjach prasowych Deloitte na stronie:</w:t>
      </w:r>
    </w:p>
    <w:p w14:paraId="046080E8" w14:textId="15766B9A" w:rsidR="00383B9F" w:rsidRPr="00B94214" w:rsidRDefault="00DF09F3" w:rsidP="00EE1DFF">
      <w:pPr>
        <w:spacing w:line="240" w:lineRule="auto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B94214">
        <w:rPr>
          <w:rFonts w:ascii="Calibri Light" w:hAnsi="Calibri Light" w:cs="Calibri Light"/>
          <w:color w:val="000000" w:themeColor="text1"/>
          <w:sz w:val="18"/>
          <w:szCs w:val="18"/>
        </w:rPr>
        <w:t>www.deloitte.com/pl/subskrypcje</w:t>
      </w:r>
    </w:p>
    <w:sectPr w:rsidR="00383B9F" w:rsidRPr="00B94214" w:rsidSect="001076E4">
      <w:headerReference w:type="default" r:id="rId12"/>
      <w:footerReference w:type="default" r:id="rId13"/>
      <w:footerReference w:type="first" r:id="rId14"/>
      <w:pgSz w:w="11901" w:h="16840" w:code="9"/>
      <w:pgMar w:top="2101" w:right="1134" w:bottom="454" w:left="1418" w:header="851" w:footer="44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77136" w14:textId="77777777" w:rsidR="00E27C79" w:rsidRDefault="00E27C79" w:rsidP="00B90A90">
      <w:pPr>
        <w:spacing w:line="240" w:lineRule="auto"/>
      </w:pPr>
      <w:r>
        <w:separator/>
      </w:r>
    </w:p>
  </w:endnote>
  <w:endnote w:type="continuationSeparator" w:id="0">
    <w:p w14:paraId="62EEF770" w14:textId="77777777" w:rsidR="00E27C79" w:rsidRDefault="00E27C79" w:rsidP="00B90A90">
      <w:pPr>
        <w:spacing w:line="240" w:lineRule="auto"/>
      </w:pPr>
      <w:r>
        <w:continuationSeparator/>
      </w:r>
    </w:p>
  </w:endnote>
  <w:endnote w:type="continuationNotice" w:id="1">
    <w:p w14:paraId="3DBAF7EA" w14:textId="77777777" w:rsidR="00E27C79" w:rsidRDefault="00E27C7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45 Light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ramond3LTStd">
    <w:altName w:val="Times New Roman"/>
    <w:panose1 w:val="00000000000000000000"/>
    <w:charset w:val="4D"/>
    <w:family w:val="auto"/>
    <w:notTrueType/>
    <w:pitch w:val="default"/>
    <w:sig w:usb0="00000000" w:usb1="00000000" w:usb2="00000000" w:usb3="00000000" w:csb0="00000001" w:csb1="00000000"/>
  </w:font>
  <w:font w:name="FrutigerNextPro-Light">
    <w:altName w:val="Times New Roman"/>
    <w:panose1 w:val="00000000000000000000"/>
    <w:charset w:val="4D"/>
    <w:family w:val="auto"/>
    <w:notTrueType/>
    <w:pitch w:val="default"/>
    <w:sig w:usb0="00000005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49E14" w14:textId="77777777" w:rsidR="00624B92" w:rsidRDefault="00624B92" w:rsidP="00624B92">
    <w:pPr>
      <w:pStyle w:val="Stopka"/>
      <w:rPr>
        <w:rFonts w:ascii="Calibri Light" w:hAnsi="Calibri Light" w:cs="Calibri Light"/>
      </w:rPr>
    </w:pPr>
  </w:p>
  <w:p w14:paraId="33FDE3A4" w14:textId="75E52F79" w:rsidR="00B90A90" w:rsidRPr="00253135" w:rsidRDefault="00B90A90" w:rsidP="00624B92">
    <w:pPr>
      <w:pStyle w:val="Stopka"/>
      <w:rPr>
        <w:rFonts w:ascii="Arial" w:hAnsi="Arial" w:cs="Arial"/>
        <w:sz w:val="13"/>
        <w:szCs w:val="13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B8095" w14:textId="77777777" w:rsidR="00101FE8" w:rsidRDefault="00101FE8" w:rsidP="00573C7E">
    <w:pPr>
      <w:pStyle w:val="Amember"/>
      <w:ind w:right="-7"/>
      <w:rPr>
        <w:rFonts w:ascii="Arial" w:hAnsi="Arial" w:cs="Arial"/>
        <w:sz w:val="13"/>
        <w:szCs w:val="13"/>
      </w:rPr>
    </w:pPr>
  </w:p>
  <w:p w14:paraId="57B0DF05" w14:textId="407BC4AC" w:rsidR="0046445C" w:rsidRDefault="0046445C" w:rsidP="0046445C">
    <w:pPr>
      <w:pStyle w:val="Amember"/>
      <w:ind w:right="-7"/>
      <w:rPr>
        <w:rFonts w:ascii="Arial" w:hAnsi="Arial" w:cs="Arial"/>
        <w:sz w:val="13"/>
        <w:szCs w:val="13"/>
      </w:rPr>
    </w:pPr>
    <w:r w:rsidRPr="0046445C">
      <w:rPr>
        <w:rFonts w:ascii="Arial" w:hAnsi="Arial" w:cs="Arial"/>
        <w:sz w:val="13"/>
        <w:szCs w:val="13"/>
      </w:rPr>
      <w:t xml:space="preserve">Nazwa Deloitte odnosi się do jednej lub kilku jednostek Deloitte </w:t>
    </w:r>
    <w:proofErr w:type="spellStart"/>
    <w:r w:rsidRPr="0046445C">
      <w:rPr>
        <w:rFonts w:ascii="Arial" w:hAnsi="Arial" w:cs="Arial"/>
        <w:sz w:val="13"/>
        <w:szCs w:val="13"/>
      </w:rPr>
      <w:t>Touche</w:t>
    </w:r>
    <w:proofErr w:type="spellEnd"/>
    <w:r w:rsidRPr="0046445C">
      <w:rPr>
        <w:rFonts w:ascii="Arial" w:hAnsi="Arial" w:cs="Arial"/>
        <w:sz w:val="13"/>
        <w:szCs w:val="13"/>
      </w:rPr>
      <w:t xml:space="preserve"> </w:t>
    </w:r>
    <w:proofErr w:type="spellStart"/>
    <w:r w:rsidRPr="0046445C">
      <w:rPr>
        <w:rFonts w:ascii="Arial" w:hAnsi="Arial" w:cs="Arial"/>
        <w:sz w:val="13"/>
        <w:szCs w:val="13"/>
      </w:rPr>
      <w:t>Tohmatsu</w:t>
    </w:r>
    <w:proofErr w:type="spellEnd"/>
    <w:r w:rsidRPr="0046445C">
      <w:rPr>
        <w:rFonts w:ascii="Arial" w:hAnsi="Arial" w:cs="Arial"/>
        <w:sz w:val="13"/>
        <w:szCs w:val="13"/>
      </w:rPr>
      <w:t xml:space="preserve"> Limited, („DTTL”) i jej firm członkowskich oraz ich jednostek stowarzyszonych (zwanych łącznie „organizacją Deloitte”). DTTL (zwana również „Deloitte Global”), jej firmy członkowskie i podmioty z nimi powiązane są prawnie odrębnymi, niezależnymi podmiotami, które nie mogą podejmować decyzji ani zobowiązań za inne podmioty wobec osób trzecich. DTTL, jej firmy członkowskie i podmioty z nimi powiązane ponoszą odpowiedzialność wyłącznie za własne działania i zaniechania, a nie za działania i zaniechania innych firm członkowskich. DTTL nie świadczy usług na rzecz klientów. Więcej informacji o Deloitte Polska: </w:t>
    </w:r>
    <w:hyperlink r:id="rId1" w:history="1">
      <w:r w:rsidRPr="00071CFE">
        <w:rPr>
          <w:rStyle w:val="Hipercze"/>
          <w:rFonts w:ascii="Arial" w:hAnsi="Arial" w:cs="Arial"/>
          <w:sz w:val="13"/>
          <w:szCs w:val="13"/>
        </w:rPr>
        <w:t>www.deloitte.com/pl/onas</w:t>
      </w:r>
    </w:hyperlink>
  </w:p>
  <w:p w14:paraId="5BD01659" w14:textId="77777777" w:rsidR="0046445C" w:rsidRDefault="0046445C" w:rsidP="0046445C">
    <w:pPr>
      <w:pStyle w:val="Amember"/>
      <w:ind w:right="-7"/>
      <w:rPr>
        <w:rFonts w:ascii="Arial" w:hAnsi="Arial" w:cs="Arial"/>
        <w:sz w:val="13"/>
        <w:szCs w:val="13"/>
      </w:rPr>
    </w:pPr>
  </w:p>
  <w:p w14:paraId="6EF176BC" w14:textId="28CE335D" w:rsidR="0046445C" w:rsidRDefault="0046445C" w:rsidP="0046445C">
    <w:pPr>
      <w:pStyle w:val="Amember"/>
      <w:ind w:right="-7"/>
      <w:rPr>
        <w:rFonts w:ascii="Arial" w:hAnsi="Arial" w:cs="Arial"/>
        <w:sz w:val="13"/>
        <w:szCs w:val="13"/>
      </w:rPr>
    </w:pPr>
    <w:r w:rsidRPr="0046445C">
      <w:rPr>
        <w:rFonts w:ascii="Arial" w:hAnsi="Arial" w:cs="Arial"/>
        <w:sz w:val="13"/>
        <w:szCs w:val="13"/>
      </w:rPr>
      <w:t xml:space="preserve">Deloitte świadczy najwyższej jakości usługi rewizji finansowej, doradztwa gospodarczego i podatkowego niemal 90 procent firm z rankingu </w:t>
    </w:r>
    <w:proofErr w:type="spellStart"/>
    <w:r w:rsidRPr="0046445C">
      <w:rPr>
        <w:rFonts w:ascii="Arial" w:hAnsi="Arial" w:cs="Arial"/>
        <w:sz w:val="13"/>
        <w:szCs w:val="13"/>
      </w:rPr>
      <w:t>Fortune</w:t>
    </w:r>
    <w:proofErr w:type="spellEnd"/>
    <w:r w:rsidRPr="0046445C">
      <w:rPr>
        <w:rFonts w:ascii="Arial" w:hAnsi="Arial" w:cs="Arial"/>
        <w:sz w:val="13"/>
        <w:szCs w:val="13"/>
      </w:rPr>
      <w:t xml:space="preserve"> Global 500® i tysiącom spółek prywatnych. Nasi specjaliści działają w wielu branżach kształtujących dzisiejszy rynek, wypracowując wymierne, trwałe wyniki, które zwiększają zaufanie publiczne do rynków kapitałowych, inspirują klientów do podejmowania ambitnych decyzji biznesowych i wspierają rozwój gospodarczy i społeczny. Czerpiąc z ponad 180 lat doświadczenia zdobytego na rynku, Deloitte prowadzi działalność w ponad 150 krajach na całym świecie. Aby dowiedzieć się, w jaki sposób </w:t>
    </w:r>
    <w:r>
      <w:rPr>
        <w:rFonts w:ascii="Arial" w:hAnsi="Arial" w:cs="Arial"/>
        <w:sz w:val="13"/>
        <w:szCs w:val="13"/>
      </w:rPr>
      <w:t>niemal</w:t>
    </w:r>
    <w:r w:rsidRPr="0046445C">
      <w:rPr>
        <w:rFonts w:ascii="Arial" w:hAnsi="Arial" w:cs="Arial"/>
        <w:sz w:val="13"/>
        <w:szCs w:val="13"/>
      </w:rPr>
      <w:t xml:space="preserve"> </w:t>
    </w:r>
    <w:r>
      <w:rPr>
        <w:rFonts w:ascii="Arial" w:hAnsi="Arial" w:cs="Arial"/>
        <w:sz w:val="13"/>
        <w:szCs w:val="13"/>
      </w:rPr>
      <w:t>50</w:t>
    </w:r>
    <w:r w:rsidRPr="0046445C">
      <w:rPr>
        <w:rFonts w:ascii="Arial" w:hAnsi="Arial" w:cs="Arial"/>
        <w:sz w:val="13"/>
        <w:szCs w:val="13"/>
      </w:rPr>
      <w:t>0 tysięcy naszych pracowników wywiera pozytywny wpływ na środowisko i otoczenie, w którym żyją i pracują, zachęcamy do odwiedzenia strony </w:t>
    </w:r>
    <w:hyperlink r:id="rId2" w:tgtFrame="_blank" w:history="1">
      <w:r w:rsidRPr="0046445C">
        <w:rPr>
          <w:rStyle w:val="Hipercze"/>
          <w:rFonts w:ascii="Arial" w:hAnsi="Arial" w:cs="Arial"/>
          <w:sz w:val="13"/>
          <w:szCs w:val="13"/>
        </w:rPr>
        <w:t>www.deloitte.com</w:t>
      </w:r>
    </w:hyperlink>
    <w:r w:rsidRPr="0046445C">
      <w:rPr>
        <w:rFonts w:ascii="Arial" w:hAnsi="Arial" w:cs="Arial"/>
        <w:sz w:val="13"/>
        <w:szCs w:val="13"/>
      </w:rPr>
      <w:t>. </w:t>
    </w:r>
  </w:p>
  <w:p w14:paraId="00A6B06D" w14:textId="6B12D02F" w:rsidR="00FD45A7" w:rsidRPr="00CA48E9" w:rsidRDefault="00FD45A7" w:rsidP="0046445C">
    <w:pPr>
      <w:pStyle w:val="Amember"/>
      <w:ind w:right="-7"/>
      <w:rPr>
        <w:rFonts w:ascii="Arial" w:hAnsi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2F073" w14:textId="77777777" w:rsidR="00E27C79" w:rsidRDefault="00E27C79" w:rsidP="00B90A90">
      <w:pPr>
        <w:spacing w:line="240" w:lineRule="auto"/>
      </w:pPr>
      <w:r>
        <w:separator/>
      </w:r>
    </w:p>
  </w:footnote>
  <w:footnote w:type="continuationSeparator" w:id="0">
    <w:p w14:paraId="134ABD99" w14:textId="77777777" w:rsidR="00E27C79" w:rsidRDefault="00E27C79" w:rsidP="00B90A90">
      <w:pPr>
        <w:spacing w:line="240" w:lineRule="auto"/>
      </w:pPr>
      <w:r>
        <w:continuationSeparator/>
      </w:r>
    </w:p>
  </w:footnote>
  <w:footnote w:type="continuationNotice" w:id="1">
    <w:p w14:paraId="15F8C051" w14:textId="77777777" w:rsidR="00E27C79" w:rsidRDefault="00E27C7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B591C" w14:textId="77777777" w:rsidR="00FD45A7" w:rsidRDefault="001111D6" w:rsidP="0070135B">
    <w:pPr>
      <w:pStyle w:val="Legalentity"/>
      <w:spacing w:after="140" w:line="240" w:lineRule="auto"/>
      <w:rPr>
        <w:sz w:val="18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27CA93AE" wp14:editId="21903D3D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30680" cy="304800"/>
          <wp:effectExtent l="0" t="0" r="7620" b="0"/>
          <wp:wrapNone/>
          <wp:docPr id="1" name="Picture 3" descr="DEL_PRI_GREY_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L_PRI_GREY_M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68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624104"/>
    <w:multiLevelType w:val="hybridMultilevel"/>
    <w:tmpl w:val="155E11DC"/>
    <w:lvl w:ilvl="0" w:tplc="84925ADC">
      <w:start w:val="1"/>
      <w:numFmt w:val="decimal"/>
      <w:lvlText w:val="%1)"/>
      <w:lvlJc w:val="left"/>
      <w:pPr>
        <w:ind w:left="1020" w:hanging="360"/>
      </w:pPr>
    </w:lvl>
    <w:lvl w:ilvl="1" w:tplc="0492CD12">
      <w:start w:val="1"/>
      <w:numFmt w:val="decimal"/>
      <w:lvlText w:val="%2)"/>
      <w:lvlJc w:val="left"/>
      <w:pPr>
        <w:ind w:left="1020" w:hanging="360"/>
      </w:pPr>
    </w:lvl>
    <w:lvl w:ilvl="2" w:tplc="BBAC280A">
      <w:start w:val="1"/>
      <w:numFmt w:val="decimal"/>
      <w:lvlText w:val="%3)"/>
      <w:lvlJc w:val="left"/>
      <w:pPr>
        <w:ind w:left="1020" w:hanging="360"/>
      </w:pPr>
    </w:lvl>
    <w:lvl w:ilvl="3" w:tplc="885A88B0">
      <w:start w:val="1"/>
      <w:numFmt w:val="decimal"/>
      <w:lvlText w:val="%4)"/>
      <w:lvlJc w:val="left"/>
      <w:pPr>
        <w:ind w:left="1020" w:hanging="360"/>
      </w:pPr>
    </w:lvl>
    <w:lvl w:ilvl="4" w:tplc="4D66C324">
      <w:start w:val="1"/>
      <w:numFmt w:val="decimal"/>
      <w:lvlText w:val="%5)"/>
      <w:lvlJc w:val="left"/>
      <w:pPr>
        <w:ind w:left="1020" w:hanging="360"/>
      </w:pPr>
    </w:lvl>
    <w:lvl w:ilvl="5" w:tplc="B680BA0E">
      <w:start w:val="1"/>
      <w:numFmt w:val="decimal"/>
      <w:lvlText w:val="%6)"/>
      <w:lvlJc w:val="left"/>
      <w:pPr>
        <w:ind w:left="1020" w:hanging="360"/>
      </w:pPr>
    </w:lvl>
    <w:lvl w:ilvl="6" w:tplc="271A672C">
      <w:start w:val="1"/>
      <w:numFmt w:val="decimal"/>
      <w:lvlText w:val="%7)"/>
      <w:lvlJc w:val="left"/>
      <w:pPr>
        <w:ind w:left="1020" w:hanging="360"/>
      </w:pPr>
    </w:lvl>
    <w:lvl w:ilvl="7" w:tplc="8B4EC5DA">
      <w:start w:val="1"/>
      <w:numFmt w:val="decimal"/>
      <w:lvlText w:val="%8)"/>
      <w:lvlJc w:val="left"/>
      <w:pPr>
        <w:ind w:left="1020" w:hanging="360"/>
      </w:pPr>
    </w:lvl>
    <w:lvl w:ilvl="8" w:tplc="BABA18D8">
      <w:start w:val="1"/>
      <w:numFmt w:val="decimal"/>
      <w:lvlText w:val="%9)"/>
      <w:lvlJc w:val="left"/>
      <w:pPr>
        <w:ind w:left="1020" w:hanging="360"/>
      </w:pPr>
    </w:lvl>
  </w:abstractNum>
  <w:num w:numId="1" w16cid:durableId="1279022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3A9"/>
    <w:rsid w:val="000002DD"/>
    <w:rsid w:val="00000BFD"/>
    <w:rsid w:val="00003E56"/>
    <w:rsid w:val="0001032A"/>
    <w:rsid w:val="00012D05"/>
    <w:rsid w:val="000142A0"/>
    <w:rsid w:val="00014FD9"/>
    <w:rsid w:val="00015923"/>
    <w:rsid w:val="0002422C"/>
    <w:rsid w:val="00024A58"/>
    <w:rsid w:val="00025A83"/>
    <w:rsid w:val="00031E2D"/>
    <w:rsid w:val="00033BB1"/>
    <w:rsid w:val="00034272"/>
    <w:rsid w:val="00034E4A"/>
    <w:rsid w:val="0003629F"/>
    <w:rsid w:val="00041EDD"/>
    <w:rsid w:val="00042E8A"/>
    <w:rsid w:val="00043480"/>
    <w:rsid w:val="00043594"/>
    <w:rsid w:val="00050064"/>
    <w:rsid w:val="000515C7"/>
    <w:rsid w:val="000565FD"/>
    <w:rsid w:val="000607A4"/>
    <w:rsid w:val="000660FF"/>
    <w:rsid w:val="00066235"/>
    <w:rsid w:val="000701D3"/>
    <w:rsid w:val="00070CBF"/>
    <w:rsid w:val="000729A5"/>
    <w:rsid w:val="000776E6"/>
    <w:rsid w:val="00083A61"/>
    <w:rsid w:val="00090437"/>
    <w:rsid w:val="00091CEB"/>
    <w:rsid w:val="00096222"/>
    <w:rsid w:val="00097AED"/>
    <w:rsid w:val="000A1ACC"/>
    <w:rsid w:val="000A49EC"/>
    <w:rsid w:val="000A520C"/>
    <w:rsid w:val="000A648E"/>
    <w:rsid w:val="000B213E"/>
    <w:rsid w:val="000B4047"/>
    <w:rsid w:val="000C2893"/>
    <w:rsid w:val="000C36CD"/>
    <w:rsid w:val="000C3C26"/>
    <w:rsid w:val="000C48DA"/>
    <w:rsid w:val="000C60CC"/>
    <w:rsid w:val="000D172D"/>
    <w:rsid w:val="000D2638"/>
    <w:rsid w:val="000D2C28"/>
    <w:rsid w:val="000D4B8E"/>
    <w:rsid w:val="000E3773"/>
    <w:rsid w:val="000E6632"/>
    <w:rsid w:val="000E6838"/>
    <w:rsid w:val="000F0713"/>
    <w:rsid w:val="000F0A89"/>
    <w:rsid w:val="000F298B"/>
    <w:rsid w:val="000F52C4"/>
    <w:rsid w:val="00101990"/>
    <w:rsid w:val="00101FE8"/>
    <w:rsid w:val="0010255E"/>
    <w:rsid w:val="00102E4A"/>
    <w:rsid w:val="00104EFA"/>
    <w:rsid w:val="001076E4"/>
    <w:rsid w:val="001111D6"/>
    <w:rsid w:val="00113586"/>
    <w:rsid w:val="00113B1B"/>
    <w:rsid w:val="00113D3E"/>
    <w:rsid w:val="001200DF"/>
    <w:rsid w:val="00121316"/>
    <w:rsid w:val="0012741C"/>
    <w:rsid w:val="001317F9"/>
    <w:rsid w:val="001344CA"/>
    <w:rsid w:val="00137213"/>
    <w:rsid w:val="00146288"/>
    <w:rsid w:val="0015074D"/>
    <w:rsid w:val="00156F6A"/>
    <w:rsid w:val="00160BFC"/>
    <w:rsid w:val="00161B09"/>
    <w:rsid w:val="00164F70"/>
    <w:rsid w:val="00165396"/>
    <w:rsid w:val="00170D09"/>
    <w:rsid w:val="00170F26"/>
    <w:rsid w:val="001710FE"/>
    <w:rsid w:val="00174B85"/>
    <w:rsid w:val="00177ECD"/>
    <w:rsid w:val="001804F6"/>
    <w:rsid w:val="001827EA"/>
    <w:rsid w:val="0018315F"/>
    <w:rsid w:val="00183981"/>
    <w:rsid w:val="001848CC"/>
    <w:rsid w:val="00185D54"/>
    <w:rsid w:val="00186775"/>
    <w:rsid w:val="00190DEC"/>
    <w:rsid w:val="001951C8"/>
    <w:rsid w:val="0019565A"/>
    <w:rsid w:val="001A2BA5"/>
    <w:rsid w:val="001A34F9"/>
    <w:rsid w:val="001A610F"/>
    <w:rsid w:val="001B0F8E"/>
    <w:rsid w:val="001B1808"/>
    <w:rsid w:val="001B1B19"/>
    <w:rsid w:val="001B270D"/>
    <w:rsid w:val="001B300B"/>
    <w:rsid w:val="001B3952"/>
    <w:rsid w:val="001B3AEE"/>
    <w:rsid w:val="001B641D"/>
    <w:rsid w:val="001C37ED"/>
    <w:rsid w:val="001C6192"/>
    <w:rsid w:val="001C61D5"/>
    <w:rsid w:val="001D10FA"/>
    <w:rsid w:val="001D4DFE"/>
    <w:rsid w:val="001D5318"/>
    <w:rsid w:val="001D6F83"/>
    <w:rsid w:val="001E0BAF"/>
    <w:rsid w:val="001E2222"/>
    <w:rsid w:val="001E223C"/>
    <w:rsid w:val="001E2AA8"/>
    <w:rsid w:val="001E2D51"/>
    <w:rsid w:val="001E356E"/>
    <w:rsid w:val="001E43F0"/>
    <w:rsid w:val="001E5BA3"/>
    <w:rsid w:val="001E696C"/>
    <w:rsid w:val="001F0781"/>
    <w:rsid w:val="001F1E7E"/>
    <w:rsid w:val="001F32B0"/>
    <w:rsid w:val="001F595D"/>
    <w:rsid w:val="002039E2"/>
    <w:rsid w:val="002061B9"/>
    <w:rsid w:val="00207D03"/>
    <w:rsid w:val="00211EC7"/>
    <w:rsid w:val="00221B24"/>
    <w:rsid w:val="00225642"/>
    <w:rsid w:val="00225D41"/>
    <w:rsid w:val="00226E63"/>
    <w:rsid w:val="00233238"/>
    <w:rsid w:val="00234A26"/>
    <w:rsid w:val="002363B6"/>
    <w:rsid w:val="002364CC"/>
    <w:rsid w:val="002364EA"/>
    <w:rsid w:val="00236EB0"/>
    <w:rsid w:val="00241533"/>
    <w:rsid w:val="00245099"/>
    <w:rsid w:val="00247D48"/>
    <w:rsid w:val="002502EA"/>
    <w:rsid w:val="00251BF1"/>
    <w:rsid w:val="00252D20"/>
    <w:rsid w:val="00253135"/>
    <w:rsid w:val="00256853"/>
    <w:rsid w:val="00256FAD"/>
    <w:rsid w:val="00265672"/>
    <w:rsid w:val="002700AD"/>
    <w:rsid w:val="00272405"/>
    <w:rsid w:val="002727EB"/>
    <w:rsid w:val="00272801"/>
    <w:rsid w:val="0027538E"/>
    <w:rsid w:val="00276857"/>
    <w:rsid w:val="0027720F"/>
    <w:rsid w:val="00277AFC"/>
    <w:rsid w:val="002809DB"/>
    <w:rsid w:val="0028187C"/>
    <w:rsid w:val="002825B1"/>
    <w:rsid w:val="0028493A"/>
    <w:rsid w:val="00285B3D"/>
    <w:rsid w:val="00293831"/>
    <w:rsid w:val="002939AE"/>
    <w:rsid w:val="00295207"/>
    <w:rsid w:val="00297DED"/>
    <w:rsid w:val="002A0A81"/>
    <w:rsid w:val="002A54F3"/>
    <w:rsid w:val="002A70F3"/>
    <w:rsid w:val="002B0B6E"/>
    <w:rsid w:val="002B1A42"/>
    <w:rsid w:val="002B22C6"/>
    <w:rsid w:val="002B4A23"/>
    <w:rsid w:val="002B5A0A"/>
    <w:rsid w:val="002B695E"/>
    <w:rsid w:val="002B7D0A"/>
    <w:rsid w:val="002C0552"/>
    <w:rsid w:val="002C1BBF"/>
    <w:rsid w:val="002C1D0C"/>
    <w:rsid w:val="002C44C5"/>
    <w:rsid w:val="002C585D"/>
    <w:rsid w:val="002D11BE"/>
    <w:rsid w:val="002D74EC"/>
    <w:rsid w:val="002E1589"/>
    <w:rsid w:val="002E2DC0"/>
    <w:rsid w:val="002E49BF"/>
    <w:rsid w:val="002E4E61"/>
    <w:rsid w:val="002E6175"/>
    <w:rsid w:val="002E6FD0"/>
    <w:rsid w:val="002F03DF"/>
    <w:rsid w:val="002F0A54"/>
    <w:rsid w:val="002F367F"/>
    <w:rsid w:val="002F3CA5"/>
    <w:rsid w:val="00300A85"/>
    <w:rsid w:val="0030418F"/>
    <w:rsid w:val="00304A54"/>
    <w:rsid w:val="0030531E"/>
    <w:rsid w:val="00310F2B"/>
    <w:rsid w:val="0031715E"/>
    <w:rsid w:val="0032134D"/>
    <w:rsid w:val="00327081"/>
    <w:rsid w:val="003270F3"/>
    <w:rsid w:val="00330D8A"/>
    <w:rsid w:val="00336A30"/>
    <w:rsid w:val="00340A29"/>
    <w:rsid w:val="003439C3"/>
    <w:rsid w:val="00343BC5"/>
    <w:rsid w:val="00343E6D"/>
    <w:rsid w:val="00344171"/>
    <w:rsid w:val="00347971"/>
    <w:rsid w:val="00350EFC"/>
    <w:rsid w:val="0035201C"/>
    <w:rsid w:val="0035229F"/>
    <w:rsid w:val="0035248C"/>
    <w:rsid w:val="00352CF6"/>
    <w:rsid w:val="00355EAB"/>
    <w:rsid w:val="00360F33"/>
    <w:rsid w:val="003635A9"/>
    <w:rsid w:val="00364798"/>
    <w:rsid w:val="00364E14"/>
    <w:rsid w:val="00365220"/>
    <w:rsid w:val="003743AB"/>
    <w:rsid w:val="00375A24"/>
    <w:rsid w:val="00375AB7"/>
    <w:rsid w:val="00381916"/>
    <w:rsid w:val="003820DA"/>
    <w:rsid w:val="003834DA"/>
    <w:rsid w:val="00383B9F"/>
    <w:rsid w:val="00384867"/>
    <w:rsid w:val="00392CA5"/>
    <w:rsid w:val="00395852"/>
    <w:rsid w:val="00397A3D"/>
    <w:rsid w:val="00397A6B"/>
    <w:rsid w:val="003A0306"/>
    <w:rsid w:val="003A11EE"/>
    <w:rsid w:val="003B2259"/>
    <w:rsid w:val="003B52AF"/>
    <w:rsid w:val="003B64F7"/>
    <w:rsid w:val="003C12E2"/>
    <w:rsid w:val="003C4349"/>
    <w:rsid w:val="003C441F"/>
    <w:rsid w:val="003D1038"/>
    <w:rsid w:val="003D33A9"/>
    <w:rsid w:val="003D3E03"/>
    <w:rsid w:val="003D4211"/>
    <w:rsid w:val="003D4E39"/>
    <w:rsid w:val="003D5325"/>
    <w:rsid w:val="003D5EB0"/>
    <w:rsid w:val="003D7ECB"/>
    <w:rsid w:val="003E0B52"/>
    <w:rsid w:val="003E1C2D"/>
    <w:rsid w:val="003E403F"/>
    <w:rsid w:val="003E4614"/>
    <w:rsid w:val="003E4EFB"/>
    <w:rsid w:val="003F1039"/>
    <w:rsid w:val="00402C07"/>
    <w:rsid w:val="00403FBD"/>
    <w:rsid w:val="00404308"/>
    <w:rsid w:val="00404A8F"/>
    <w:rsid w:val="004056DA"/>
    <w:rsid w:val="004076D6"/>
    <w:rsid w:val="00410847"/>
    <w:rsid w:val="00417913"/>
    <w:rsid w:val="004203FE"/>
    <w:rsid w:val="00420B38"/>
    <w:rsid w:val="00421A46"/>
    <w:rsid w:val="0042481B"/>
    <w:rsid w:val="00427B63"/>
    <w:rsid w:val="0043098A"/>
    <w:rsid w:val="00440757"/>
    <w:rsid w:val="0044265D"/>
    <w:rsid w:val="004428CE"/>
    <w:rsid w:val="00446EB7"/>
    <w:rsid w:val="00457CF3"/>
    <w:rsid w:val="00457F50"/>
    <w:rsid w:val="004604C7"/>
    <w:rsid w:val="00460F89"/>
    <w:rsid w:val="0046445C"/>
    <w:rsid w:val="00464A6A"/>
    <w:rsid w:val="00465D39"/>
    <w:rsid w:val="004719E8"/>
    <w:rsid w:val="00472CDA"/>
    <w:rsid w:val="00473C20"/>
    <w:rsid w:val="00474970"/>
    <w:rsid w:val="00474D34"/>
    <w:rsid w:val="0047615C"/>
    <w:rsid w:val="00481C3F"/>
    <w:rsid w:val="00482052"/>
    <w:rsid w:val="00486C07"/>
    <w:rsid w:val="00487B95"/>
    <w:rsid w:val="00491B61"/>
    <w:rsid w:val="00492881"/>
    <w:rsid w:val="00493377"/>
    <w:rsid w:val="00494AD7"/>
    <w:rsid w:val="004977FD"/>
    <w:rsid w:val="004A4C9D"/>
    <w:rsid w:val="004A5099"/>
    <w:rsid w:val="004A77AF"/>
    <w:rsid w:val="004B7E3E"/>
    <w:rsid w:val="004D1CBD"/>
    <w:rsid w:val="004D62D2"/>
    <w:rsid w:val="004E2658"/>
    <w:rsid w:val="004E2F0E"/>
    <w:rsid w:val="004E37E2"/>
    <w:rsid w:val="004E4052"/>
    <w:rsid w:val="004F7FE8"/>
    <w:rsid w:val="00500D9C"/>
    <w:rsid w:val="00502C16"/>
    <w:rsid w:val="00504461"/>
    <w:rsid w:val="00505559"/>
    <w:rsid w:val="00507748"/>
    <w:rsid w:val="0051368B"/>
    <w:rsid w:val="00517113"/>
    <w:rsid w:val="00522129"/>
    <w:rsid w:val="00523A1E"/>
    <w:rsid w:val="00523B84"/>
    <w:rsid w:val="00524485"/>
    <w:rsid w:val="0052470E"/>
    <w:rsid w:val="00531247"/>
    <w:rsid w:val="005330EE"/>
    <w:rsid w:val="0053398E"/>
    <w:rsid w:val="00534C32"/>
    <w:rsid w:val="00544A6C"/>
    <w:rsid w:val="00545774"/>
    <w:rsid w:val="00545836"/>
    <w:rsid w:val="00546935"/>
    <w:rsid w:val="00547ABB"/>
    <w:rsid w:val="005553CF"/>
    <w:rsid w:val="00557082"/>
    <w:rsid w:val="00561B06"/>
    <w:rsid w:val="005644B0"/>
    <w:rsid w:val="00565DA2"/>
    <w:rsid w:val="00565F4A"/>
    <w:rsid w:val="00572CA8"/>
    <w:rsid w:val="00574537"/>
    <w:rsid w:val="00575353"/>
    <w:rsid w:val="00575A45"/>
    <w:rsid w:val="00576D08"/>
    <w:rsid w:val="00581D72"/>
    <w:rsid w:val="00582BD3"/>
    <w:rsid w:val="0058635D"/>
    <w:rsid w:val="00586ABD"/>
    <w:rsid w:val="00587563"/>
    <w:rsid w:val="00591690"/>
    <w:rsid w:val="00592FFD"/>
    <w:rsid w:val="0059409C"/>
    <w:rsid w:val="00596B23"/>
    <w:rsid w:val="005A0610"/>
    <w:rsid w:val="005A2E6A"/>
    <w:rsid w:val="005A3A8D"/>
    <w:rsid w:val="005A530F"/>
    <w:rsid w:val="005A625F"/>
    <w:rsid w:val="005A6E25"/>
    <w:rsid w:val="005A7D75"/>
    <w:rsid w:val="005B06C8"/>
    <w:rsid w:val="005B25CF"/>
    <w:rsid w:val="005B4CDD"/>
    <w:rsid w:val="005C31B7"/>
    <w:rsid w:val="005C363E"/>
    <w:rsid w:val="005C40D5"/>
    <w:rsid w:val="005C76FE"/>
    <w:rsid w:val="005D2C80"/>
    <w:rsid w:val="005D3D16"/>
    <w:rsid w:val="005D517C"/>
    <w:rsid w:val="005D617A"/>
    <w:rsid w:val="005E040E"/>
    <w:rsid w:val="005E06FF"/>
    <w:rsid w:val="005E0E22"/>
    <w:rsid w:val="005E165C"/>
    <w:rsid w:val="005E1793"/>
    <w:rsid w:val="005E21E8"/>
    <w:rsid w:val="005E4DF2"/>
    <w:rsid w:val="005F3197"/>
    <w:rsid w:val="005F5A47"/>
    <w:rsid w:val="005F7DA1"/>
    <w:rsid w:val="00603FFC"/>
    <w:rsid w:val="00604030"/>
    <w:rsid w:val="00610532"/>
    <w:rsid w:val="00616477"/>
    <w:rsid w:val="00623E99"/>
    <w:rsid w:val="00624B92"/>
    <w:rsid w:val="006316A6"/>
    <w:rsid w:val="00631E59"/>
    <w:rsid w:val="00632917"/>
    <w:rsid w:val="00634A53"/>
    <w:rsid w:val="006366CF"/>
    <w:rsid w:val="00640959"/>
    <w:rsid w:val="006413CB"/>
    <w:rsid w:val="006413E8"/>
    <w:rsid w:val="00643B00"/>
    <w:rsid w:val="00646DD8"/>
    <w:rsid w:val="006475E7"/>
    <w:rsid w:val="006505C4"/>
    <w:rsid w:val="0065063E"/>
    <w:rsid w:val="00651180"/>
    <w:rsid w:val="0065384F"/>
    <w:rsid w:val="00653FA7"/>
    <w:rsid w:val="0065500F"/>
    <w:rsid w:val="00655E00"/>
    <w:rsid w:val="006641D3"/>
    <w:rsid w:val="00665A5B"/>
    <w:rsid w:val="006663A4"/>
    <w:rsid w:val="006705D6"/>
    <w:rsid w:val="00673F30"/>
    <w:rsid w:val="00676656"/>
    <w:rsid w:val="00677B05"/>
    <w:rsid w:val="00683744"/>
    <w:rsid w:val="00684CE7"/>
    <w:rsid w:val="00684DDC"/>
    <w:rsid w:val="0068666C"/>
    <w:rsid w:val="006876A4"/>
    <w:rsid w:val="00687F40"/>
    <w:rsid w:val="00690FBD"/>
    <w:rsid w:val="006A0223"/>
    <w:rsid w:val="006A0237"/>
    <w:rsid w:val="006A3C3C"/>
    <w:rsid w:val="006A626B"/>
    <w:rsid w:val="006A7506"/>
    <w:rsid w:val="006A7869"/>
    <w:rsid w:val="006C25BF"/>
    <w:rsid w:val="006C36EC"/>
    <w:rsid w:val="006C4D53"/>
    <w:rsid w:val="006C5BAB"/>
    <w:rsid w:val="006C6053"/>
    <w:rsid w:val="006C61C0"/>
    <w:rsid w:val="006D0456"/>
    <w:rsid w:val="006D32A1"/>
    <w:rsid w:val="006E0894"/>
    <w:rsid w:val="006E226A"/>
    <w:rsid w:val="006E3ED1"/>
    <w:rsid w:val="006E7FBE"/>
    <w:rsid w:val="006F0B63"/>
    <w:rsid w:val="00702F8A"/>
    <w:rsid w:val="00704210"/>
    <w:rsid w:val="00704833"/>
    <w:rsid w:val="007107DD"/>
    <w:rsid w:val="00716246"/>
    <w:rsid w:val="00716897"/>
    <w:rsid w:val="007172EF"/>
    <w:rsid w:val="00721A1D"/>
    <w:rsid w:val="007242BD"/>
    <w:rsid w:val="007251D7"/>
    <w:rsid w:val="0072555E"/>
    <w:rsid w:val="00725AF3"/>
    <w:rsid w:val="00726C6E"/>
    <w:rsid w:val="0073438D"/>
    <w:rsid w:val="00734763"/>
    <w:rsid w:val="007403CF"/>
    <w:rsid w:val="007433BB"/>
    <w:rsid w:val="0074406B"/>
    <w:rsid w:val="00753B00"/>
    <w:rsid w:val="00761BE8"/>
    <w:rsid w:val="00764960"/>
    <w:rsid w:val="007654CF"/>
    <w:rsid w:val="007674D1"/>
    <w:rsid w:val="0076760E"/>
    <w:rsid w:val="00771A86"/>
    <w:rsid w:val="00775A73"/>
    <w:rsid w:val="007764AE"/>
    <w:rsid w:val="00776973"/>
    <w:rsid w:val="00776B0A"/>
    <w:rsid w:val="00780CFD"/>
    <w:rsid w:val="00782D6B"/>
    <w:rsid w:val="00783317"/>
    <w:rsid w:val="00784586"/>
    <w:rsid w:val="00785BF8"/>
    <w:rsid w:val="00791876"/>
    <w:rsid w:val="00791E09"/>
    <w:rsid w:val="00791E49"/>
    <w:rsid w:val="00794369"/>
    <w:rsid w:val="007B65F4"/>
    <w:rsid w:val="007C1542"/>
    <w:rsid w:val="007C15D8"/>
    <w:rsid w:val="007C319A"/>
    <w:rsid w:val="007C3C40"/>
    <w:rsid w:val="007C60AB"/>
    <w:rsid w:val="007C683A"/>
    <w:rsid w:val="007C68B7"/>
    <w:rsid w:val="007D03B1"/>
    <w:rsid w:val="007D40BC"/>
    <w:rsid w:val="007E1ECC"/>
    <w:rsid w:val="007E2A18"/>
    <w:rsid w:val="007E4E79"/>
    <w:rsid w:val="007F086D"/>
    <w:rsid w:val="007F2152"/>
    <w:rsid w:val="007F250E"/>
    <w:rsid w:val="007F29D5"/>
    <w:rsid w:val="007F6181"/>
    <w:rsid w:val="0080258B"/>
    <w:rsid w:val="008027F8"/>
    <w:rsid w:val="00802F8F"/>
    <w:rsid w:val="00803D22"/>
    <w:rsid w:val="00806D9C"/>
    <w:rsid w:val="008101CA"/>
    <w:rsid w:val="0081082F"/>
    <w:rsid w:val="00815A15"/>
    <w:rsid w:val="00817C59"/>
    <w:rsid w:val="0082077F"/>
    <w:rsid w:val="00821D91"/>
    <w:rsid w:val="00822C07"/>
    <w:rsid w:val="00822DB7"/>
    <w:rsid w:val="008230ED"/>
    <w:rsid w:val="008306E5"/>
    <w:rsid w:val="00830FA8"/>
    <w:rsid w:val="008328F9"/>
    <w:rsid w:val="00834934"/>
    <w:rsid w:val="00834E07"/>
    <w:rsid w:val="008354BE"/>
    <w:rsid w:val="00837C57"/>
    <w:rsid w:val="008409E5"/>
    <w:rsid w:val="0084187C"/>
    <w:rsid w:val="00841F4D"/>
    <w:rsid w:val="0084263C"/>
    <w:rsid w:val="00843F3D"/>
    <w:rsid w:val="00852D9B"/>
    <w:rsid w:val="008567EE"/>
    <w:rsid w:val="008640DB"/>
    <w:rsid w:val="0086530C"/>
    <w:rsid w:val="00871BBB"/>
    <w:rsid w:val="00875ABC"/>
    <w:rsid w:val="00875D62"/>
    <w:rsid w:val="008815E0"/>
    <w:rsid w:val="00887491"/>
    <w:rsid w:val="0089122B"/>
    <w:rsid w:val="00894B3C"/>
    <w:rsid w:val="0089594E"/>
    <w:rsid w:val="0089766F"/>
    <w:rsid w:val="008A1332"/>
    <w:rsid w:val="008A1A4B"/>
    <w:rsid w:val="008A2D55"/>
    <w:rsid w:val="008A4E5E"/>
    <w:rsid w:val="008A53FC"/>
    <w:rsid w:val="008B1547"/>
    <w:rsid w:val="008B1A45"/>
    <w:rsid w:val="008B3FF6"/>
    <w:rsid w:val="008B42D2"/>
    <w:rsid w:val="008B6508"/>
    <w:rsid w:val="008B6972"/>
    <w:rsid w:val="008C2575"/>
    <w:rsid w:val="008C2A47"/>
    <w:rsid w:val="008C5D5B"/>
    <w:rsid w:val="008D1EC3"/>
    <w:rsid w:val="008D27C3"/>
    <w:rsid w:val="008D6A9E"/>
    <w:rsid w:val="008E020A"/>
    <w:rsid w:val="008E2368"/>
    <w:rsid w:val="008E4AEA"/>
    <w:rsid w:val="008E51EE"/>
    <w:rsid w:val="008E7A88"/>
    <w:rsid w:val="008F05C1"/>
    <w:rsid w:val="008F0EAE"/>
    <w:rsid w:val="008F1605"/>
    <w:rsid w:val="008F2004"/>
    <w:rsid w:val="008F2A0B"/>
    <w:rsid w:val="008F2C33"/>
    <w:rsid w:val="008F6F24"/>
    <w:rsid w:val="008F7D79"/>
    <w:rsid w:val="009000A7"/>
    <w:rsid w:val="009029E3"/>
    <w:rsid w:val="00905F8A"/>
    <w:rsid w:val="00907AB3"/>
    <w:rsid w:val="0091097E"/>
    <w:rsid w:val="00911B75"/>
    <w:rsid w:val="009148E6"/>
    <w:rsid w:val="00917BD4"/>
    <w:rsid w:val="009203D7"/>
    <w:rsid w:val="00923897"/>
    <w:rsid w:val="009261D4"/>
    <w:rsid w:val="00927C49"/>
    <w:rsid w:val="009336EF"/>
    <w:rsid w:val="00935C76"/>
    <w:rsid w:val="00935E39"/>
    <w:rsid w:val="009366A5"/>
    <w:rsid w:val="009417F9"/>
    <w:rsid w:val="009444C1"/>
    <w:rsid w:val="00947B37"/>
    <w:rsid w:val="00950B2E"/>
    <w:rsid w:val="009569E3"/>
    <w:rsid w:val="009601E8"/>
    <w:rsid w:val="00962AAD"/>
    <w:rsid w:val="009705A8"/>
    <w:rsid w:val="009728A3"/>
    <w:rsid w:val="00972D55"/>
    <w:rsid w:val="00973850"/>
    <w:rsid w:val="0097693E"/>
    <w:rsid w:val="009778BF"/>
    <w:rsid w:val="00980CC6"/>
    <w:rsid w:val="00981591"/>
    <w:rsid w:val="00982BA7"/>
    <w:rsid w:val="00986155"/>
    <w:rsid w:val="0098689C"/>
    <w:rsid w:val="00986E95"/>
    <w:rsid w:val="009925C6"/>
    <w:rsid w:val="00993976"/>
    <w:rsid w:val="00993E0D"/>
    <w:rsid w:val="009942E3"/>
    <w:rsid w:val="0099563A"/>
    <w:rsid w:val="00995AC3"/>
    <w:rsid w:val="00996F23"/>
    <w:rsid w:val="009977D4"/>
    <w:rsid w:val="009A0586"/>
    <w:rsid w:val="009A1947"/>
    <w:rsid w:val="009A55E6"/>
    <w:rsid w:val="009A5EE5"/>
    <w:rsid w:val="009A6437"/>
    <w:rsid w:val="009A68A9"/>
    <w:rsid w:val="009A6D31"/>
    <w:rsid w:val="009B2E4B"/>
    <w:rsid w:val="009B65DB"/>
    <w:rsid w:val="009C13A4"/>
    <w:rsid w:val="009C2B3C"/>
    <w:rsid w:val="009C5C8A"/>
    <w:rsid w:val="009C74E6"/>
    <w:rsid w:val="009C7E50"/>
    <w:rsid w:val="009D0AEE"/>
    <w:rsid w:val="009D0AF5"/>
    <w:rsid w:val="009D3D62"/>
    <w:rsid w:val="009E0DE3"/>
    <w:rsid w:val="009E3C79"/>
    <w:rsid w:val="009F4774"/>
    <w:rsid w:val="009F7087"/>
    <w:rsid w:val="00A10187"/>
    <w:rsid w:val="00A1191A"/>
    <w:rsid w:val="00A11A9E"/>
    <w:rsid w:val="00A127D5"/>
    <w:rsid w:val="00A179B3"/>
    <w:rsid w:val="00A2240F"/>
    <w:rsid w:val="00A22BD6"/>
    <w:rsid w:val="00A238A9"/>
    <w:rsid w:val="00A264C8"/>
    <w:rsid w:val="00A2679C"/>
    <w:rsid w:val="00A3097D"/>
    <w:rsid w:val="00A33823"/>
    <w:rsid w:val="00A338F9"/>
    <w:rsid w:val="00A40473"/>
    <w:rsid w:val="00A4448B"/>
    <w:rsid w:val="00A44ED4"/>
    <w:rsid w:val="00A51B63"/>
    <w:rsid w:val="00A533D0"/>
    <w:rsid w:val="00A60F55"/>
    <w:rsid w:val="00A630C0"/>
    <w:rsid w:val="00A631FC"/>
    <w:rsid w:val="00A63878"/>
    <w:rsid w:val="00A63B37"/>
    <w:rsid w:val="00A77942"/>
    <w:rsid w:val="00A8658B"/>
    <w:rsid w:val="00A873C9"/>
    <w:rsid w:val="00A907E8"/>
    <w:rsid w:val="00A94422"/>
    <w:rsid w:val="00A9489C"/>
    <w:rsid w:val="00A963D5"/>
    <w:rsid w:val="00A96CC9"/>
    <w:rsid w:val="00AA116A"/>
    <w:rsid w:val="00AA19D6"/>
    <w:rsid w:val="00AA2866"/>
    <w:rsid w:val="00AA3804"/>
    <w:rsid w:val="00AA5E5C"/>
    <w:rsid w:val="00AB3729"/>
    <w:rsid w:val="00AB57D3"/>
    <w:rsid w:val="00AB7D5C"/>
    <w:rsid w:val="00AC7F31"/>
    <w:rsid w:val="00AD2B24"/>
    <w:rsid w:val="00AD5AB5"/>
    <w:rsid w:val="00AD742B"/>
    <w:rsid w:val="00AD751C"/>
    <w:rsid w:val="00AE17C2"/>
    <w:rsid w:val="00AE3D73"/>
    <w:rsid w:val="00AE7859"/>
    <w:rsid w:val="00AF0189"/>
    <w:rsid w:val="00AF5D75"/>
    <w:rsid w:val="00B005B8"/>
    <w:rsid w:val="00B04B89"/>
    <w:rsid w:val="00B05426"/>
    <w:rsid w:val="00B11133"/>
    <w:rsid w:val="00B1352D"/>
    <w:rsid w:val="00B150E8"/>
    <w:rsid w:val="00B214A1"/>
    <w:rsid w:val="00B26D26"/>
    <w:rsid w:val="00B360FA"/>
    <w:rsid w:val="00B363B1"/>
    <w:rsid w:val="00B51546"/>
    <w:rsid w:val="00B5276A"/>
    <w:rsid w:val="00B61443"/>
    <w:rsid w:val="00B61DF0"/>
    <w:rsid w:val="00B632BB"/>
    <w:rsid w:val="00B64D25"/>
    <w:rsid w:val="00B70434"/>
    <w:rsid w:val="00B7194E"/>
    <w:rsid w:val="00B731A2"/>
    <w:rsid w:val="00B73250"/>
    <w:rsid w:val="00B75CF8"/>
    <w:rsid w:val="00B804B0"/>
    <w:rsid w:val="00B80BD5"/>
    <w:rsid w:val="00B81989"/>
    <w:rsid w:val="00B8428D"/>
    <w:rsid w:val="00B8455D"/>
    <w:rsid w:val="00B84FC8"/>
    <w:rsid w:val="00B90A90"/>
    <w:rsid w:val="00B94178"/>
    <w:rsid w:val="00B94214"/>
    <w:rsid w:val="00B95642"/>
    <w:rsid w:val="00B9648B"/>
    <w:rsid w:val="00B97BD4"/>
    <w:rsid w:val="00BA0EE3"/>
    <w:rsid w:val="00BA5605"/>
    <w:rsid w:val="00BA5D83"/>
    <w:rsid w:val="00BB5DF4"/>
    <w:rsid w:val="00BB66E6"/>
    <w:rsid w:val="00BB7D4C"/>
    <w:rsid w:val="00BC0A3E"/>
    <w:rsid w:val="00BC5B5A"/>
    <w:rsid w:val="00BD01E9"/>
    <w:rsid w:val="00BD413E"/>
    <w:rsid w:val="00BD4902"/>
    <w:rsid w:val="00BD6E77"/>
    <w:rsid w:val="00BD7EBE"/>
    <w:rsid w:val="00BD7F3B"/>
    <w:rsid w:val="00BE3A11"/>
    <w:rsid w:val="00BE464B"/>
    <w:rsid w:val="00BE641D"/>
    <w:rsid w:val="00BE6F2C"/>
    <w:rsid w:val="00BE7B7C"/>
    <w:rsid w:val="00BF13B7"/>
    <w:rsid w:val="00BF1B79"/>
    <w:rsid w:val="00BF3882"/>
    <w:rsid w:val="00BF4312"/>
    <w:rsid w:val="00BF7275"/>
    <w:rsid w:val="00BF72AD"/>
    <w:rsid w:val="00C00FCD"/>
    <w:rsid w:val="00C030F6"/>
    <w:rsid w:val="00C04AD4"/>
    <w:rsid w:val="00C07FD3"/>
    <w:rsid w:val="00C11B7E"/>
    <w:rsid w:val="00C157AB"/>
    <w:rsid w:val="00C1699F"/>
    <w:rsid w:val="00C16A90"/>
    <w:rsid w:val="00C232CE"/>
    <w:rsid w:val="00C25198"/>
    <w:rsid w:val="00C266A4"/>
    <w:rsid w:val="00C32024"/>
    <w:rsid w:val="00C34468"/>
    <w:rsid w:val="00C362E0"/>
    <w:rsid w:val="00C3754E"/>
    <w:rsid w:val="00C404CB"/>
    <w:rsid w:val="00C44346"/>
    <w:rsid w:val="00C454B6"/>
    <w:rsid w:val="00C469C2"/>
    <w:rsid w:val="00C46D53"/>
    <w:rsid w:val="00C55535"/>
    <w:rsid w:val="00C55AB2"/>
    <w:rsid w:val="00C5613F"/>
    <w:rsid w:val="00C561EE"/>
    <w:rsid w:val="00C573C5"/>
    <w:rsid w:val="00C5793F"/>
    <w:rsid w:val="00C6483B"/>
    <w:rsid w:val="00C64E57"/>
    <w:rsid w:val="00C66616"/>
    <w:rsid w:val="00C704FE"/>
    <w:rsid w:val="00C7160A"/>
    <w:rsid w:val="00C7625C"/>
    <w:rsid w:val="00C769DB"/>
    <w:rsid w:val="00C774FF"/>
    <w:rsid w:val="00C8345F"/>
    <w:rsid w:val="00C848DF"/>
    <w:rsid w:val="00C84DEF"/>
    <w:rsid w:val="00C8707C"/>
    <w:rsid w:val="00C87217"/>
    <w:rsid w:val="00C87D5C"/>
    <w:rsid w:val="00C91E32"/>
    <w:rsid w:val="00C92AB8"/>
    <w:rsid w:val="00C93F59"/>
    <w:rsid w:val="00C94B2E"/>
    <w:rsid w:val="00C95FA2"/>
    <w:rsid w:val="00C96D09"/>
    <w:rsid w:val="00C978A5"/>
    <w:rsid w:val="00CA0822"/>
    <w:rsid w:val="00CA3CB0"/>
    <w:rsid w:val="00CA48E9"/>
    <w:rsid w:val="00CA4C41"/>
    <w:rsid w:val="00CA5954"/>
    <w:rsid w:val="00CA6C10"/>
    <w:rsid w:val="00CA70B7"/>
    <w:rsid w:val="00CB0119"/>
    <w:rsid w:val="00CB0268"/>
    <w:rsid w:val="00CB4F3F"/>
    <w:rsid w:val="00CB7E13"/>
    <w:rsid w:val="00CD60F9"/>
    <w:rsid w:val="00CE1435"/>
    <w:rsid w:val="00CE3FA0"/>
    <w:rsid w:val="00CE4529"/>
    <w:rsid w:val="00CE5CA9"/>
    <w:rsid w:val="00CE6CC1"/>
    <w:rsid w:val="00CF7987"/>
    <w:rsid w:val="00CF7F76"/>
    <w:rsid w:val="00D0088D"/>
    <w:rsid w:val="00D0112B"/>
    <w:rsid w:val="00D011F9"/>
    <w:rsid w:val="00D02E4F"/>
    <w:rsid w:val="00D05940"/>
    <w:rsid w:val="00D076BF"/>
    <w:rsid w:val="00D1196E"/>
    <w:rsid w:val="00D11AA8"/>
    <w:rsid w:val="00D12227"/>
    <w:rsid w:val="00D1561E"/>
    <w:rsid w:val="00D15A76"/>
    <w:rsid w:val="00D15FDB"/>
    <w:rsid w:val="00D1688E"/>
    <w:rsid w:val="00D1773B"/>
    <w:rsid w:val="00D17A48"/>
    <w:rsid w:val="00D2143C"/>
    <w:rsid w:val="00D232B9"/>
    <w:rsid w:val="00D25BA9"/>
    <w:rsid w:val="00D26A3A"/>
    <w:rsid w:val="00D3031F"/>
    <w:rsid w:val="00D33D40"/>
    <w:rsid w:val="00D33DA2"/>
    <w:rsid w:val="00D5073E"/>
    <w:rsid w:val="00D50AAA"/>
    <w:rsid w:val="00D517E0"/>
    <w:rsid w:val="00D54ABF"/>
    <w:rsid w:val="00D550C6"/>
    <w:rsid w:val="00D57DB5"/>
    <w:rsid w:val="00D60174"/>
    <w:rsid w:val="00D609F6"/>
    <w:rsid w:val="00D6147F"/>
    <w:rsid w:val="00D61EC9"/>
    <w:rsid w:val="00D624C1"/>
    <w:rsid w:val="00D639A0"/>
    <w:rsid w:val="00D666D1"/>
    <w:rsid w:val="00D67182"/>
    <w:rsid w:val="00D7264C"/>
    <w:rsid w:val="00D727FF"/>
    <w:rsid w:val="00D73164"/>
    <w:rsid w:val="00D7588F"/>
    <w:rsid w:val="00D81A2F"/>
    <w:rsid w:val="00D8271F"/>
    <w:rsid w:val="00D83355"/>
    <w:rsid w:val="00D85882"/>
    <w:rsid w:val="00D86198"/>
    <w:rsid w:val="00D871F8"/>
    <w:rsid w:val="00D91AA6"/>
    <w:rsid w:val="00D929F8"/>
    <w:rsid w:val="00D93F57"/>
    <w:rsid w:val="00D96F86"/>
    <w:rsid w:val="00DA125D"/>
    <w:rsid w:val="00DA17F5"/>
    <w:rsid w:val="00DA3F57"/>
    <w:rsid w:val="00DA5DD4"/>
    <w:rsid w:val="00DA73FA"/>
    <w:rsid w:val="00DA79DF"/>
    <w:rsid w:val="00DB4C0D"/>
    <w:rsid w:val="00DC0FEA"/>
    <w:rsid w:val="00DC1AF8"/>
    <w:rsid w:val="00DC1DF0"/>
    <w:rsid w:val="00DC2A35"/>
    <w:rsid w:val="00DC79F5"/>
    <w:rsid w:val="00DD0B3F"/>
    <w:rsid w:val="00DD2101"/>
    <w:rsid w:val="00DD5B1F"/>
    <w:rsid w:val="00DD5DE4"/>
    <w:rsid w:val="00DD7641"/>
    <w:rsid w:val="00DE03B5"/>
    <w:rsid w:val="00DE0F9E"/>
    <w:rsid w:val="00DE131A"/>
    <w:rsid w:val="00DE5475"/>
    <w:rsid w:val="00DE5E1A"/>
    <w:rsid w:val="00DF09F3"/>
    <w:rsid w:val="00DF0FE3"/>
    <w:rsid w:val="00DF4843"/>
    <w:rsid w:val="00DF5E80"/>
    <w:rsid w:val="00E03AA5"/>
    <w:rsid w:val="00E05D94"/>
    <w:rsid w:val="00E06DC0"/>
    <w:rsid w:val="00E072DD"/>
    <w:rsid w:val="00E101A0"/>
    <w:rsid w:val="00E110B5"/>
    <w:rsid w:val="00E12FA6"/>
    <w:rsid w:val="00E136B6"/>
    <w:rsid w:val="00E150F9"/>
    <w:rsid w:val="00E15496"/>
    <w:rsid w:val="00E159DC"/>
    <w:rsid w:val="00E2152C"/>
    <w:rsid w:val="00E22167"/>
    <w:rsid w:val="00E26473"/>
    <w:rsid w:val="00E27C79"/>
    <w:rsid w:val="00E30568"/>
    <w:rsid w:val="00E316E5"/>
    <w:rsid w:val="00E42965"/>
    <w:rsid w:val="00E4334C"/>
    <w:rsid w:val="00E45693"/>
    <w:rsid w:val="00E46510"/>
    <w:rsid w:val="00E46AE4"/>
    <w:rsid w:val="00E52025"/>
    <w:rsid w:val="00E53DB8"/>
    <w:rsid w:val="00E55A9B"/>
    <w:rsid w:val="00E62BAA"/>
    <w:rsid w:val="00E707A2"/>
    <w:rsid w:val="00E7204A"/>
    <w:rsid w:val="00E73CB0"/>
    <w:rsid w:val="00E76B9D"/>
    <w:rsid w:val="00E80642"/>
    <w:rsid w:val="00E80F24"/>
    <w:rsid w:val="00E83149"/>
    <w:rsid w:val="00E83686"/>
    <w:rsid w:val="00E84BFB"/>
    <w:rsid w:val="00E875A0"/>
    <w:rsid w:val="00E87749"/>
    <w:rsid w:val="00E90133"/>
    <w:rsid w:val="00E90149"/>
    <w:rsid w:val="00E9161F"/>
    <w:rsid w:val="00E92FB3"/>
    <w:rsid w:val="00EA179A"/>
    <w:rsid w:val="00EA1A13"/>
    <w:rsid w:val="00EA262E"/>
    <w:rsid w:val="00EA2C9D"/>
    <w:rsid w:val="00EA5196"/>
    <w:rsid w:val="00EB12E7"/>
    <w:rsid w:val="00EC1FF0"/>
    <w:rsid w:val="00EC207D"/>
    <w:rsid w:val="00EC6742"/>
    <w:rsid w:val="00ED0166"/>
    <w:rsid w:val="00ED7859"/>
    <w:rsid w:val="00EE1DFF"/>
    <w:rsid w:val="00EE4545"/>
    <w:rsid w:val="00EE4D4D"/>
    <w:rsid w:val="00EF0B4C"/>
    <w:rsid w:val="00EF1E64"/>
    <w:rsid w:val="00F018B3"/>
    <w:rsid w:val="00F048B0"/>
    <w:rsid w:val="00F11DC6"/>
    <w:rsid w:val="00F176DF"/>
    <w:rsid w:val="00F21350"/>
    <w:rsid w:val="00F24901"/>
    <w:rsid w:val="00F2617B"/>
    <w:rsid w:val="00F2661D"/>
    <w:rsid w:val="00F27A80"/>
    <w:rsid w:val="00F31BE4"/>
    <w:rsid w:val="00F3328A"/>
    <w:rsid w:val="00F34425"/>
    <w:rsid w:val="00F34C78"/>
    <w:rsid w:val="00F350D9"/>
    <w:rsid w:val="00F356C8"/>
    <w:rsid w:val="00F368A3"/>
    <w:rsid w:val="00F36EC0"/>
    <w:rsid w:val="00F37F6F"/>
    <w:rsid w:val="00F456FF"/>
    <w:rsid w:val="00F47BC1"/>
    <w:rsid w:val="00F50481"/>
    <w:rsid w:val="00F517EF"/>
    <w:rsid w:val="00F55A35"/>
    <w:rsid w:val="00F561C0"/>
    <w:rsid w:val="00F57D7A"/>
    <w:rsid w:val="00F632B1"/>
    <w:rsid w:val="00F63F32"/>
    <w:rsid w:val="00F64D1A"/>
    <w:rsid w:val="00F67324"/>
    <w:rsid w:val="00F75AA1"/>
    <w:rsid w:val="00F8055A"/>
    <w:rsid w:val="00F81CC1"/>
    <w:rsid w:val="00F85B66"/>
    <w:rsid w:val="00F86223"/>
    <w:rsid w:val="00F9659A"/>
    <w:rsid w:val="00F96E8F"/>
    <w:rsid w:val="00FA22F6"/>
    <w:rsid w:val="00FA700D"/>
    <w:rsid w:val="00FA7F31"/>
    <w:rsid w:val="00FB2B34"/>
    <w:rsid w:val="00FB2F7B"/>
    <w:rsid w:val="00FB3C47"/>
    <w:rsid w:val="00FB4EE7"/>
    <w:rsid w:val="00FB6546"/>
    <w:rsid w:val="00FC117A"/>
    <w:rsid w:val="00FC3939"/>
    <w:rsid w:val="00FC47AE"/>
    <w:rsid w:val="00FC5C8A"/>
    <w:rsid w:val="00FD3275"/>
    <w:rsid w:val="00FD373A"/>
    <w:rsid w:val="00FD45A7"/>
    <w:rsid w:val="00FD795D"/>
    <w:rsid w:val="00FE0CE0"/>
    <w:rsid w:val="00FE270E"/>
    <w:rsid w:val="00FE4242"/>
    <w:rsid w:val="00FE6ACD"/>
    <w:rsid w:val="00FF00C5"/>
    <w:rsid w:val="00FF10B9"/>
    <w:rsid w:val="00FF5A56"/>
    <w:rsid w:val="00FF6CD7"/>
    <w:rsid w:val="00FF6D99"/>
    <w:rsid w:val="0A16BB65"/>
    <w:rsid w:val="0EE3AB33"/>
    <w:rsid w:val="19B996AF"/>
    <w:rsid w:val="27855996"/>
    <w:rsid w:val="5523FEF6"/>
    <w:rsid w:val="56D633FD"/>
    <w:rsid w:val="58214CFE"/>
    <w:rsid w:val="603D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E4032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0A90"/>
    <w:pPr>
      <w:tabs>
        <w:tab w:val="left" w:pos="284"/>
        <w:tab w:val="left" w:pos="567"/>
        <w:tab w:val="left" w:pos="851"/>
        <w:tab w:val="left" w:pos="1985"/>
        <w:tab w:val="left" w:pos="3119"/>
        <w:tab w:val="left" w:pos="4253"/>
        <w:tab w:val="right" w:pos="7655"/>
      </w:tabs>
      <w:spacing w:after="0" w:line="280" w:lineRule="exact"/>
    </w:pPr>
    <w:rPr>
      <w:rFonts w:ascii="Helvetica 45 Light" w:eastAsia="Times" w:hAnsi="Helvetica 45 Light" w:cs="Times New Roman"/>
      <w:kern w:val="0"/>
      <w:sz w:val="20"/>
      <w:szCs w:val="20"/>
      <w:lang w:eastAsia="en-GB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33A9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33A9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33A9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33A9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33A9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33A9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33A9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33A9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33A9"/>
    <w:pPr>
      <w:keepNext/>
      <w:keepLines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33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33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33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33A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33A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33A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33A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33A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33A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33A9"/>
    <w:p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D3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33A9"/>
    <w:pPr>
      <w:numPr>
        <w:ilvl w:val="1"/>
      </w:num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D33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33A9"/>
    <w:p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D33A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33A9"/>
    <w:p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D33A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33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33A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33A9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semiHidden/>
    <w:rsid w:val="00B90A90"/>
    <w:pPr>
      <w:tabs>
        <w:tab w:val="clear" w:pos="284"/>
        <w:tab w:val="clear" w:pos="567"/>
        <w:tab w:val="clear" w:pos="851"/>
        <w:tab w:val="clear" w:pos="7655"/>
      </w:tabs>
      <w:spacing w:line="160" w:lineRule="exact"/>
    </w:pPr>
    <w:rPr>
      <w:sz w:val="12"/>
    </w:rPr>
  </w:style>
  <w:style w:type="character" w:customStyle="1" w:styleId="StopkaZnak">
    <w:name w:val="Stopka Znak"/>
    <w:basedOn w:val="Domylnaczcionkaakapitu"/>
    <w:link w:val="Stopka"/>
    <w:semiHidden/>
    <w:rsid w:val="00B90A90"/>
    <w:rPr>
      <w:rFonts w:ascii="Helvetica 45 Light" w:eastAsia="Times" w:hAnsi="Helvetica 45 Light" w:cs="Times New Roman"/>
      <w:kern w:val="0"/>
      <w:sz w:val="12"/>
      <w:szCs w:val="20"/>
      <w:lang w:eastAsia="en-GB"/>
      <w14:ligatures w14:val="none"/>
    </w:rPr>
  </w:style>
  <w:style w:type="paragraph" w:styleId="Nagwek">
    <w:name w:val="header"/>
    <w:basedOn w:val="Normalny"/>
    <w:link w:val="NagwekZnak"/>
    <w:rsid w:val="00B90A90"/>
    <w:pPr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rsid w:val="00B90A90"/>
    <w:rPr>
      <w:rFonts w:ascii="Helvetica 45 Light" w:eastAsia="Times" w:hAnsi="Helvetica 45 Light" w:cs="Times New Roman"/>
      <w:kern w:val="0"/>
      <w:sz w:val="20"/>
      <w:szCs w:val="20"/>
      <w:lang w:eastAsia="en-GB"/>
      <w14:ligatures w14:val="none"/>
    </w:rPr>
  </w:style>
  <w:style w:type="paragraph" w:customStyle="1" w:styleId="Legalentity">
    <w:name w:val="Legal entity"/>
    <w:basedOn w:val="Normalny"/>
    <w:rsid w:val="00B90A90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after="90" w:line="180" w:lineRule="atLeast"/>
      <w:textAlignment w:val="center"/>
    </w:pPr>
    <w:rPr>
      <w:rFonts w:ascii="ArialMT" w:eastAsia="Times New Roman" w:hAnsi="ArialMT"/>
      <w:color w:val="000000"/>
      <w:sz w:val="15"/>
    </w:rPr>
  </w:style>
  <w:style w:type="character" w:styleId="Hipercze">
    <w:name w:val="Hyperlink"/>
    <w:rsid w:val="00B90A90"/>
    <w:rPr>
      <w:color w:val="0000FF"/>
      <w:u w:val="single"/>
    </w:rPr>
  </w:style>
  <w:style w:type="paragraph" w:customStyle="1" w:styleId="Fax">
    <w:name w:val="Fax"/>
    <w:basedOn w:val="Normalny"/>
    <w:rsid w:val="00B90A90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Garamond3LTStd" w:eastAsia="Times New Roman" w:hAnsi="Garamond3LTStd"/>
      <w:color w:val="000000"/>
      <w:sz w:val="56"/>
    </w:rPr>
  </w:style>
  <w:style w:type="paragraph" w:customStyle="1" w:styleId="Maintext">
    <w:name w:val="Main text"/>
    <w:basedOn w:val="Normalny"/>
    <w:rsid w:val="00B90A90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ascii="Times New Roman" w:eastAsia="Times New Roman" w:hAnsi="Times New Roman"/>
      <w:color w:val="000000"/>
    </w:rPr>
  </w:style>
  <w:style w:type="paragraph" w:customStyle="1" w:styleId="Amember">
    <w:name w:val="A member"/>
    <w:basedOn w:val="Normalny"/>
    <w:rsid w:val="00B90A90"/>
    <w:pPr>
      <w:widowControl w:val="0"/>
      <w:tabs>
        <w:tab w:val="clear" w:pos="284"/>
        <w:tab w:val="clear" w:pos="567"/>
        <w:tab w:val="clear" w:pos="851"/>
        <w:tab w:val="clear" w:pos="1985"/>
        <w:tab w:val="clear" w:pos="3119"/>
        <w:tab w:val="clear" w:pos="4253"/>
        <w:tab w:val="clear" w:pos="7655"/>
      </w:tabs>
      <w:suppressAutoHyphens/>
      <w:autoSpaceDE w:val="0"/>
      <w:autoSpaceDN w:val="0"/>
      <w:adjustRightInd w:val="0"/>
      <w:spacing w:line="160" w:lineRule="atLeast"/>
      <w:textAlignment w:val="center"/>
    </w:pPr>
    <w:rPr>
      <w:rFonts w:ascii="FrutigerNextPro-Light" w:eastAsia="Times New Roman" w:hAnsi="FrutigerNextPro-Light"/>
      <w:color w:val="000000"/>
      <w:sz w:val="14"/>
    </w:rPr>
  </w:style>
  <w:style w:type="paragraph" w:styleId="NormalnyWeb">
    <w:name w:val="Normal (Web)"/>
    <w:basedOn w:val="Normalny"/>
    <w:uiPriority w:val="99"/>
    <w:semiHidden/>
    <w:unhideWhenUsed/>
    <w:rsid w:val="00330D8A"/>
    <w:rPr>
      <w:rFonts w:ascii="Times New Roman" w:hAnsi="Times New Roman"/>
      <w:sz w:val="24"/>
      <w:szCs w:val="24"/>
    </w:rPr>
  </w:style>
  <w:style w:type="paragraph" w:styleId="Poprawka">
    <w:name w:val="Revision"/>
    <w:hidden/>
    <w:uiPriority w:val="99"/>
    <w:semiHidden/>
    <w:rsid w:val="00472CDA"/>
    <w:pPr>
      <w:spacing w:after="0" w:line="240" w:lineRule="auto"/>
    </w:pPr>
    <w:rPr>
      <w:rFonts w:ascii="Helvetica 45 Light" w:eastAsia="Times" w:hAnsi="Helvetica 45 Light" w:cs="Times New Roman"/>
      <w:kern w:val="0"/>
      <w:sz w:val="20"/>
      <w:szCs w:val="20"/>
      <w:lang w:eastAsia="en-GB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58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45836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45836"/>
    <w:rPr>
      <w:rFonts w:ascii="Helvetica 45 Light" w:eastAsia="Times" w:hAnsi="Helvetica 45 Light" w:cs="Times New Roman"/>
      <w:kern w:val="0"/>
      <w:sz w:val="20"/>
      <w:szCs w:val="20"/>
      <w:lang w:eastAsia="en-GB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58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5836"/>
    <w:rPr>
      <w:rFonts w:ascii="Helvetica 45 Light" w:eastAsia="Times" w:hAnsi="Helvetica 45 Light" w:cs="Times New Roman"/>
      <w:b/>
      <w:bCs/>
      <w:kern w:val="0"/>
      <w:sz w:val="20"/>
      <w:szCs w:val="20"/>
      <w:lang w:eastAsia="en-GB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2134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A48E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2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29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5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53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2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10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76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15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eloitte.com/de/de/Industries/industrial-construction/research/ai-in-manufacturing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edia@deloittece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eloitte.com/pl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2.deloitte.com/pl/pl.html" TargetMode="External"/><Relationship Id="rId1" Type="http://schemas.openxmlformats.org/officeDocument/2006/relationships/hyperlink" Target="http://www.deloitte.com/pl/ona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0ECFC-5DEF-4510-9F0D-E6A5399E0D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979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2026-10-13T15:02:00Z</dcterms:created>
  <dcterms:modified xsi:type="dcterms:W3CDTF">2026-10-13T15:03:00Z</dcterms:modified>
</cp:coreProperties>
</file>