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3CF29" w14:textId="65AABA99" w:rsidR="00934747" w:rsidRDefault="00C535FC">
      <w:pPr>
        <w:spacing w:before="240" w:after="240" w:line="300" w:lineRule="auto"/>
        <w:jc w:val="right"/>
        <w:rPr>
          <w:rFonts w:ascii="Calibri" w:eastAsia="Calibri" w:hAnsi="Calibri" w:cs="Calibri"/>
          <w:sz w:val="20"/>
          <w:szCs w:val="20"/>
        </w:rPr>
      </w:pPr>
      <w:r>
        <w:rPr>
          <w:rFonts w:ascii="Calibri" w:eastAsia="Calibri" w:hAnsi="Calibri" w:cs="Calibri"/>
          <w:sz w:val="20"/>
          <w:szCs w:val="20"/>
        </w:rPr>
        <w:t xml:space="preserve">Warszawa </w:t>
      </w:r>
      <w:r w:rsidR="0098164B">
        <w:rPr>
          <w:rFonts w:ascii="Calibri" w:eastAsia="Calibri" w:hAnsi="Calibri" w:cs="Calibri"/>
          <w:sz w:val="20"/>
          <w:szCs w:val="20"/>
        </w:rPr>
        <w:t>1</w:t>
      </w:r>
      <w:r w:rsidR="007B1C18">
        <w:rPr>
          <w:rFonts w:ascii="Calibri" w:eastAsia="Calibri" w:hAnsi="Calibri" w:cs="Calibri"/>
          <w:sz w:val="20"/>
          <w:szCs w:val="20"/>
        </w:rPr>
        <w:t>4</w:t>
      </w:r>
      <w:r w:rsidR="0098164B">
        <w:rPr>
          <w:rFonts w:ascii="Calibri" w:eastAsia="Calibri" w:hAnsi="Calibri" w:cs="Calibri"/>
          <w:sz w:val="20"/>
          <w:szCs w:val="20"/>
        </w:rPr>
        <w:t>.</w:t>
      </w:r>
      <w:r w:rsidR="00D42B15">
        <w:rPr>
          <w:rFonts w:ascii="Calibri" w:eastAsia="Calibri" w:hAnsi="Calibri" w:cs="Calibri"/>
          <w:sz w:val="20"/>
          <w:szCs w:val="20"/>
        </w:rPr>
        <w:t>10</w:t>
      </w:r>
      <w:r>
        <w:rPr>
          <w:rFonts w:ascii="Calibri" w:eastAsia="Calibri" w:hAnsi="Calibri" w:cs="Calibri"/>
          <w:sz w:val="20"/>
          <w:szCs w:val="20"/>
        </w:rPr>
        <w:t>.2026 r.</w:t>
      </w:r>
    </w:p>
    <w:p w14:paraId="1D5F2BAB" w14:textId="77777777" w:rsidR="00934747" w:rsidRDefault="00C535FC">
      <w:pPr>
        <w:spacing w:before="480" w:after="480" w:line="259" w:lineRule="auto"/>
        <w:jc w:val="both"/>
        <w:rPr>
          <w:rFonts w:ascii="Calibri" w:eastAsia="Calibri" w:hAnsi="Calibri" w:cs="Calibri"/>
          <w:color w:val="161616"/>
          <w:sz w:val="24"/>
          <w:szCs w:val="24"/>
        </w:rPr>
      </w:pPr>
      <w:r>
        <w:rPr>
          <w:rFonts w:ascii="Calibri" w:eastAsia="Calibri" w:hAnsi="Calibri" w:cs="Calibri"/>
          <w:color w:val="161616"/>
          <w:sz w:val="24"/>
          <w:szCs w:val="24"/>
        </w:rPr>
        <w:t>INFORMACJA PRASOWA</w:t>
      </w:r>
    </w:p>
    <w:p w14:paraId="671AF571" w14:textId="4271C9B9" w:rsidR="00934747" w:rsidRDefault="00C535FC" w:rsidP="008B3A29">
      <w:pPr>
        <w:spacing w:line="240" w:lineRule="auto"/>
        <w:jc w:val="both"/>
        <w:rPr>
          <w:rFonts w:ascii="Calibri" w:eastAsia="Calibri" w:hAnsi="Calibri" w:cs="Calibri"/>
          <w:b/>
          <w:bCs/>
          <w:sz w:val="28"/>
          <w:szCs w:val="28"/>
        </w:rPr>
      </w:pPr>
      <w:r>
        <w:rPr>
          <w:rFonts w:ascii="Calibri" w:eastAsia="Calibri" w:hAnsi="Calibri" w:cs="Calibri"/>
          <w:b/>
          <w:bCs/>
          <w:sz w:val="28"/>
          <w:szCs w:val="28"/>
        </w:rPr>
        <w:t>BIG InfoMonitor: Budownictwo kończy dobrą passę</w:t>
      </w:r>
      <w:r w:rsidR="007B1C18">
        <w:rPr>
          <w:rFonts w:ascii="Calibri" w:eastAsia="Calibri" w:hAnsi="Calibri" w:cs="Calibri"/>
          <w:b/>
          <w:bCs/>
          <w:sz w:val="28"/>
          <w:szCs w:val="28"/>
        </w:rPr>
        <w:t>?</w:t>
      </w:r>
      <w:r>
        <w:rPr>
          <w:rFonts w:ascii="Calibri" w:eastAsia="Calibri" w:hAnsi="Calibri" w:cs="Calibri"/>
          <w:b/>
          <w:bCs/>
          <w:sz w:val="28"/>
          <w:szCs w:val="28"/>
        </w:rPr>
        <w:t xml:space="preserve"> </w:t>
      </w:r>
      <w:r w:rsidR="00574864" w:rsidRPr="00574864">
        <w:rPr>
          <w:rFonts w:ascii="Calibri" w:eastAsia="Calibri" w:hAnsi="Calibri" w:cs="Calibri"/>
          <w:b/>
          <w:bCs/>
          <w:sz w:val="28"/>
          <w:szCs w:val="28"/>
        </w:rPr>
        <w:t xml:space="preserve">Zaległości firm rosną </w:t>
      </w:r>
      <w:r w:rsidR="00E142EC">
        <w:rPr>
          <w:rFonts w:ascii="Calibri" w:eastAsia="Calibri" w:hAnsi="Calibri" w:cs="Calibri"/>
          <w:b/>
          <w:bCs/>
          <w:sz w:val="28"/>
          <w:szCs w:val="28"/>
        </w:rPr>
        <w:t xml:space="preserve">co miesiąc </w:t>
      </w:r>
      <w:r w:rsidR="00574864" w:rsidRPr="00574864">
        <w:rPr>
          <w:rFonts w:ascii="Calibri" w:eastAsia="Calibri" w:hAnsi="Calibri" w:cs="Calibri"/>
          <w:b/>
          <w:bCs/>
          <w:sz w:val="28"/>
          <w:szCs w:val="28"/>
        </w:rPr>
        <w:t>średnio o 34 mln zł</w:t>
      </w:r>
    </w:p>
    <w:p w14:paraId="1046E458" w14:textId="77777777" w:rsidR="00934747" w:rsidRDefault="00934747" w:rsidP="008B3A29">
      <w:pPr>
        <w:spacing w:line="240" w:lineRule="auto"/>
        <w:jc w:val="both"/>
        <w:rPr>
          <w:rFonts w:ascii="Calibri" w:eastAsia="Calibri" w:hAnsi="Calibri" w:cs="Calibri"/>
          <w:b/>
          <w:bCs/>
          <w:sz w:val="28"/>
          <w:szCs w:val="28"/>
        </w:rPr>
      </w:pPr>
    </w:p>
    <w:p w14:paraId="186FE4A2" w14:textId="77777777" w:rsidR="00934747" w:rsidRDefault="00934747" w:rsidP="008B3A29">
      <w:pPr>
        <w:spacing w:line="240" w:lineRule="auto"/>
        <w:jc w:val="both"/>
        <w:rPr>
          <w:rFonts w:ascii="Calibri" w:eastAsia="Calibri" w:hAnsi="Calibri" w:cs="Calibri"/>
          <w:b/>
          <w:bCs/>
          <w:sz w:val="24"/>
          <w:szCs w:val="24"/>
          <w:lang w:val="pl-PL"/>
        </w:rPr>
      </w:pPr>
    </w:p>
    <w:p w14:paraId="67062CE5" w14:textId="29C70BE1" w:rsidR="008B3A29" w:rsidRDefault="008B3A29" w:rsidP="008B3A29">
      <w:pPr>
        <w:spacing w:line="240" w:lineRule="auto"/>
        <w:jc w:val="both"/>
        <w:rPr>
          <w:rFonts w:ascii="Calibri" w:eastAsia="Calibri" w:hAnsi="Calibri" w:cs="Calibri"/>
          <w:b/>
          <w:bCs/>
          <w:sz w:val="24"/>
          <w:szCs w:val="24"/>
        </w:rPr>
      </w:pPr>
      <w:r w:rsidRPr="008B3A29">
        <w:rPr>
          <w:rFonts w:ascii="Calibri" w:eastAsia="Calibri" w:hAnsi="Calibri" w:cs="Calibri"/>
          <w:b/>
          <w:bCs/>
          <w:sz w:val="24"/>
          <w:szCs w:val="24"/>
        </w:rPr>
        <w:t>Budownictwo łapie finansową zadyszkę. Jak wynika z najnowszych danych Rejestru Dłużników BIG InfoMonitor i informacji o opóźnionych zobowiązaniach kredytowych w bazie BIK, wartość przeterminowanych długów branży osiągnęła na koniec sierpnia 2026 r. 6,22 mld zł. To o ponad 409 mln zł (7 proc.) więcej niż rok wcześniej. Problemy z terminową spłatą zobowiązań ma ponad 51,5 tys. przedsiębiorstw budowlanych. Budownictwo jest dziś nie tylko trzecim sektorem gospodarki posiadającym najwyższe zaległości, ale także liderem pod względem liczby restrukturyzacji i bankructw.</w:t>
      </w:r>
    </w:p>
    <w:p w14:paraId="5A536B6D" w14:textId="77777777" w:rsidR="008B3A29" w:rsidRDefault="008B3A29" w:rsidP="008B3A29">
      <w:pPr>
        <w:spacing w:line="240" w:lineRule="auto"/>
        <w:jc w:val="both"/>
        <w:rPr>
          <w:rFonts w:ascii="Calibri" w:eastAsia="Calibri" w:hAnsi="Calibri" w:cs="Calibri"/>
          <w:b/>
          <w:bCs/>
          <w:sz w:val="24"/>
          <w:szCs w:val="24"/>
        </w:rPr>
      </w:pPr>
    </w:p>
    <w:p w14:paraId="17A2D719" w14:textId="77777777" w:rsidR="00934747" w:rsidRPr="008B3A29" w:rsidRDefault="00934747" w:rsidP="008B3A29">
      <w:pPr>
        <w:spacing w:line="240" w:lineRule="auto"/>
        <w:jc w:val="both"/>
        <w:rPr>
          <w:rFonts w:ascii="Calibri" w:eastAsia="Calibri" w:hAnsi="Calibri" w:cs="Calibri"/>
          <w:b/>
          <w:bCs/>
        </w:rPr>
      </w:pPr>
    </w:p>
    <w:p w14:paraId="5D228F0E" w14:textId="77777777" w:rsidR="00934747" w:rsidRPr="008B3A29" w:rsidRDefault="00C535FC" w:rsidP="008B3A29">
      <w:pPr>
        <w:spacing w:line="240" w:lineRule="auto"/>
        <w:jc w:val="both"/>
        <w:rPr>
          <w:rFonts w:ascii="Calibri" w:eastAsia="Calibri" w:hAnsi="Calibri" w:cs="Calibri"/>
          <w:b/>
          <w:bCs/>
        </w:rPr>
      </w:pPr>
      <w:r w:rsidRPr="008B3A29">
        <w:rPr>
          <w:rFonts w:ascii="Calibri" w:eastAsia="Calibri" w:hAnsi="Calibri" w:cs="Calibri"/>
          <w:b/>
          <w:bCs/>
        </w:rPr>
        <w:t>Kluczowe dane:</w:t>
      </w:r>
    </w:p>
    <w:p w14:paraId="11D6F60A" w14:textId="77777777" w:rsidR="00934747" w:rsidRPr="004E1115" w:rsidRDefault="00934747" w:rsidP="008B3A29">
      <w:pPr>
        <w:spacing w:line="240" w:lineRule="auto"/>
        <w:jc w:val="both"/>
        <w:rPr>
          <w:rFonts w:ascii="Calibri" w:eastAsia="Calibri" w:hAnsi="Calibri" w:cs="Calibri"/>
        </w:rPr>
      </w:pPr>
    </w:p>
    <w:p w14:paraId="766F3CD2" w14:textId="0B3E6C11" w:rsidR="00934747" w:rsidRPr="008B3A29" w:rsidRDefault="00C535FC" w:rsidP="008B3A29">
      <w:pPr>
        <w:numPr>
          <w:ilvl w:val="0"/>
          <w:numId w:val="1"/>
        </w:numPr>
        <w:jc w:val="both"/>
        <w:rPr>
          <w:rFonts w:ascii="Calibri" w:eastAsia="Calibri" w:hAnsi="Calibri" w:cs="Calibri"/>
          <w:b/>
          <w:bCs/>
        </w:rPr>
      </w:pPr>
      <w:r w:rsidRPr="008B3A29">
        <w:rPr>
          <w:rFonts w:ascii="Calibri" w:eastAsia="Calibri" w:hAnsi="Calibri" w:cs="Calibri"/>
          <w:b/>
          <w:bCs/>
        </w:rPr>
        <w:t xml:space="preserve">6,22 mld zł </w:t>
      </w:r>
      <w:r w:rsidRPr="008B3A29">
        <w:rPr>
          <w:rFonts w:ascii="Calibri" w:eastAsia="Calibri" w:hAnsi="Calibri" w:cs="Calibri"/>
        </w:rPr>
        <w:t xml:space="preserve">wyniosły w sierpniu 2026 przeterminowane zobowiązania firm budowlanych widoczne </w:t>
      </w:r>
      <w:r w:rsidR="0049611C" w:rsidRPr="008B3A29">
        <w:rPr>
          <w:rFonts w:ascii="Calibri" w:eastAsia="Calibri" w:hAnsi="Calibri" w:cs="Calibri"/>
        </w:rPr>
        <w:t>w Rejestrze</w:t>
      </w:r>
      <w:r w:rsidRPr="008B3A29">
        <w:rPr>
          <w:rFonts w:ascii="Calibri" w:eastAsia="Calibri" w:hAnsi="Calibri" w:cs="Calibri"/>
        </w:rPr>
        <w:t xml:space="preserve"> Dłużników BIG InfoMonitor i </w:t>
      </w:r>
      <w:r w:rsidR="001C696F" w:rsidRPr="008B3A29">
        <w:rPr>
          <w:rFonts w:ascii="Calibri" w:eastAsia="Calibri" w:hAnsi="Calibri" w:cs="Calibri"/>
        </w:rPr>
        <w:t xml:space="preserve">opóźnienia z </w:t>
      </w:r>
      <w:r w:rsidRPr="008B3A29">
        <w:rPr>
          <w:rFonts w:ascii="Calibri" w:eastAsia="Calibri" w:hAnsi="Calibri" w:cs="Calibri"/>
        </w:rPr>
        <w:t>baz</w:t>
      </w:r>
      <w:r w:rsidR="001C696F" w:rsidRPr="008B3A29">
        <w:rPr>
          <w:rFonts w:ascii="Calibri" w:eastAsia="Calibri" w:hAnsi="Calibri" w:cs="Calibri"/>
        </w:rPr>
        <w:t>y</w:t>
      </w:r>
      <w:r w:rsidRPr="008B3A29">
        <w:rPr>
          <w:rFonts w:ascii="Calibri" w:eastAsia="Calibri" w:hAnsi="Calibri" w:cs="Calibri"/>
        </w:rPr>
        <w:t xml:space="preserve"> BIK</w:t>
      </w:r>
      <w:r w:rsidR="00310EF7">
        <w:rPr>
          <w:rFonts w:ascii="Calibri" w:eastAsia="Calibri" w:hAnsi="Calibri" w:cs="Calibri"/>
        </w:rPr>
        <w:t>. T</w:t>
      </w:r>
      <w:r w:rsidRPr="008B3A29">
        <w:rPr>
          <w:rFonts w:ascii="Calibri" w:eastAsia="Calibri" w:hAnsi="Calibri" w:cs="Calibri"/>
        </w:rPr>
        <w:t xml:space="preserve">o o </w:t>
      </w:r>
      <w:r w:rsidR="00310EF7">
        <w:rPr>
          <w:rFonts w:ascii="Calibri" w:eastAsia="Calibri" w:hAnsi="Calibri" w:cs="Calibri"/>
        </w:rPr>
        <w:t xml:space="preserve">7 proc. więcej (409 mln zł) niż rok wcześniej </w:t>
      </w:r>
      <w:r w:rsidR="00CE7C63" w:rsidRPr="008B3A29">
        <w:rPr>
          <w:rFonts w:ascii="Calibri" w:eastAsia="Calibri" w:hAnsi="Calibri" w:cs="Calibri"/>
        </w:rPr>
        <w:t>–</w:t>
      </w:r>
      <w:r w:rsidRPr="008B3A29">
        <w:rPr>
          <w:rFonts w:ascii="Calibri" w:eastAsia="Calibri" w:hAnsi="Calibri" w:cs="Calibri"/>
        </w:rPr>
        <w:t xml:space="preserve"> średnio zaległości rosły</w:t>
      </w:r>
      <w:r w:rsidR="00310EF7">
        <w:rPr>
          <w:rFonts w:ascii="Calibri" w:eastAsia="Calibri" w:hAnsi="Calibri" w:cs="Calibri"/>
        </w:rPr>
        <w:t xml:space="preserve"> o</w:t>
      </w:r>
      <w:r w:rsidRPr="008B3A29">
        <w:rPr>
          <w:rFonts w:ascii="Calibri" w:eastAsia="Calibri" w:hAnsi="Calibri" w:cs="Calibri"/>
        </w:rPr>
        <w:t xml:space="preserve"> 34 mln zł miesięcznie;</w:t>
      </w:r>
    </w:p>
    <w:p w14:paraId="247D4086" w14:textId="74C472BB" w:rsidR="00934747" w:rsidRPr="008B3A29" w:rsidRDefault="00C535FC" w:rsidP="008B3A29">
      <w:pPr>
        <w:numPr>
          <w:ilvl w:val="0"/>
          <w:numId w:val="1"/>
        </w:numPr>
        <w:jc w:val="both"/>
        <w:rPr>
          <w:rFonts w:ascii="Calibri" w:eastAsia="Calibri" w:hAnsi="Calibri" w:cs="Calibri"/>
          <w:b/>
          <w:bCs/>
        </w:rPr>
      </w:pPr>
      <w:r w:rsidRPr="008B3A29">
        <w:rPr>
          <w:rFonts w:ascii="Calibri" w:eastAsia="Calibri" w:hAnsi="Calibri" w:cs="Calibri"/>
          <w:b/>
          <w:bCs/>
        </w:rPr>
        <w:t xml:space="preserve">11,44 proc. </w:t>
      </w:r>
      <w:r w:rsidRPr="008B3A29">
        <w:rPr>
          <w:rFonts w:ascii="Calibri" w:eastAsia="Calibri" w:hAnsi="Calibri" w:cs="Calibri"/>
        </w:rPr>
        <w:t xml:space="preserve">firm zajmujących </w:t>
      </w:r>
      <w:r w:rsidR="0049611C" w:rsidRPr="008B3A29">
        <w:rPr>
          <w:rFonts w:ascii="Calibri" w:eastAsia="Calibri" w:hAnsi="Calibri" w:cs="Calibri"/>
        </w:rPr>
        <w:t>się budową</w:t>
      </w:r>
      <w:r w:rsidRPr="008B3A29">
        <w:rPr>
          <w:rFonts w:ascii="Calibri" w:eastAsia="Calibri" w:hAnsi="Calibri" w:cs="Calibri"/>
        </w:rPr>
        <w:t xml:space="preserve"> dróg szynowych i kolei podziemnej ma problemy z terminową obsługą zobowiązań</w:t>
      </w:r>
      <w:r w:rsidR="000C7560">
        <w:rPr>
          <w:rFonts w:ascii="Calibri" w:eastAsia="Calibri" w:hAnsi="Calibri" w:cs="Calibri"/>
        </w:rPr>
        <w:t>. T</w:t>
      </w:r>
      <w:r w:rsidRPr="008B3A29">
        <w:rPr>
          <w:rFonts w:ascii="Calibri" w:eastAsia="Calibri" w:hAnsi="Calibri" w:cs="Calibri"/>
        </w:rPr>
        <w:t>o najgorszy wynik w całym sektorze budowlanym.</w:t>
      </w:r>
    </w:p>
    <w:p w14:paraId="0DE013ED" w14:textId="172BF657" w:rsidR="00DF04EA" w:rsidRPr="00310EF7" w:rsidRDefault="00DF04EA" w:rsidP="008B3A29">
      <w:pPr>
        <w:numPr>
          <w:ilvl w:val="0"/>
          <w:numId w:val="1"/>
        </w:numPr>
        <w:jc w:val="both"/>
        <w:rPr>
          <w:rFonts w:ascii="Calibri" w:eastAsia="Calibri" w:hAnsi="Calibri" w:cs="Calibri"/>
          <w:b/>
          <w:bCs/>
        </w:rPr>
      </w:pPr>
      <w:r w:rsidRPr="00310EF7">
        <w:rPr>
          <w:rFonts w:ascii="Calibri" w:eastAsia="Calibri" w:hAnsi="Calibri" w:cs="Calibri"/>
          <w:b/>
          <w:bCs/>
        </w:rPr>
        <w:t>6,2 proc.</w:t>
      </w:r>
      <w:r>
        <w:rPr>
          <w:rFonts w:ascii="Calibri" w:eastAsia="Calibri" w:hAnsi="Calibri" w:cs="Calibri"/>
          <w:b/>
          <w:bCs/>
        </w:rPr>
        <w:t xml:space="preserve"> r/r.</w:t>
      </w:r>
      <w:r w:rsidRPr="00310EF7">
        <w:rPr>
          <w:rFonts w:ascii="Calibri" w:eastAsia="Calibri" w:hAnsi="Calibri" w:cs="Calibri"/>
          <w:b/>
          <w:bCs/>
        </w:rPr>
        <w:t xml:space="preserve"> </w:t>
      </w:r>
      <w:r w:rsidRPr="00D83500">
        <w:rPr>
          <w:rFonts w:ascii="Calibri" w:eastAsia="Calibri" w:hAnsi="Calibri" w:cs="Calibri"/>
        </w:rPr>
        <w:t xml:space="preserve">– o tyle wzrosły w </w:t>
      </w:r>
      <w:r w:rsidR="00654450">
        <w:rPr>
          <w:rFonts w:ascii="Calibri" w:eastAsia="Calibri" w:hAnsi="Calibri" w:cs="Calibri"/>
        </w:rPr>
        <w:t>sierpniu</w:t>
      </w:r>
      <w:r w:rsidRPr="00D83500">
        <w:rPr>
          <w:rFonts w:ascii="Calibri" w:eastAsia="Calibri" w:hAnsi="Calibri" w:cs="Calibri"/>
        </w:rPr>
        <w:t xml:space="preserve"> 2026 r. ceny robót budowlanych. To najszybszy wzrost od maja 2024 r.;</w:t>
      </w:r>
    </w:p>
    <w:p w14:paraId="686929F6" w14:textId="77777777" w:rsidR="00DF04EA" w:rsidRPr="00D83500" w:rsidRDefault="00DF04EA" w:rsidP="008B3A29">
      <w:pPr>
        <w:numPr>
          <w:ilvl w:val="0"/>
          <w:numId w:val="1"/>
        </w:numPr>
        <w:pBdr>
          <w:top w:val="nil"/>
          <w:left w:val="nil"/>
          <w:bottom w:val="nil"/>
          <w:right w:val="nil"/>
          <w:between w:val="nil"/>
        </w:pBdr>
        <w:rPr>
          <w:rFonts w:ascii="Quattrocento Sans" w:eastAsia="Quattrocento Sans" w:hAnsi="Quattrocento Sans" w:cs="Quattrocento Sans"/>
          <w:color w:val="000000"/>
        </w:rPr>
      </w:pPr>
      <w:r w:rsidRPr="00D83500">
        <w:rPr>
          <w:rFonts w:ascii="Calibri" w:eastAsia="Calibri" w:hAnsi="Calibri" w:cs="Calibri"/>
          <w:b/>
          <w:bCs/>
          <w:color w:val="000000"/>
        </w:rPr>
        <w:t xml:space="preserve">3. miejsce pod względem liczby upadłości i 1. pod względem liczby restrukturyzacji </w:t>
      </w:r>
      <w:r w:rsidRPr="00D83500">
        <w:rPr>
          <w:rFonts w:ascii="Calibri" w:eastAsia="Calibri" w:hAnsi="Calibri" w:cs="Calibri"/>
          <w:color w:val="000000"/>
        </w:rPr>
        <w:t>zajęło budownictwo wśród branż w Polsce w I połowie 2026 r.;</w:t>
      </w:r>
    </w:p>
    <w:p w14:paraId="74210E72" w14:textId="77777777" w:rsidR="00934747" w:rsidRDefault="00934747" w:rsidP="008B3A29">
      <w:pPr>
        <w:jc w:val="both"/>
        <w:rPr>
          <w:rFonts w:ascii="Calibri" w:eastAsia="Calibri" w:hAnsi="Calibri" w:cs="Calibri"/>
          <w:b/>
          <w:bCs/>
          <w:sz w:val="24"/>
          <w:szCs w:val="24"/>
        </w:rPr>
      </w:pPr>
    </w:p>
    <w:p w14:paraId="304B9C93" w14:textId="77777777" w:rsidR="004348E7" w:rsidRDefault="004348E7" w:rsidP="008B3A29">
      <w:pPr>
        <w:jc w:val="both"/>
        <w:rPr>
          <w:rFonts w:ascii="Calibri" w:eastAsia="Calibri" w:hAnsi="Calibri" w:cs="Calibri"/>
          <w:lang w:val="pl-PL"/>
        </w:rPr>
      </w:pPr>
      <w:r w:rsidRPr="004348E7">
        <w:rPr>
          <w:rFonts w:ascii="Calibri" w:eastAsia="Calibri" w:hAnsi="Calibri" w:cs="Calibri"/>
          <w:lang w:val="pl-PL"/>
        </w:rPr>
        <w:t>Rosnące koszty realizacji inwestycji i problemy z płynnością finansową coraz mocniej odbijają się na kondycji przedsiębiorstw budowlanych. Według danych BIG InfoMonitor i BIK na koniec sierpnia 2026 r. łączna wartość ich przeterminowanych zobowiązań wyniosła 6,22 mld zł, wobec 5,81 mld zł rok wcześniej. Oznacza to wzrost o ponad 409 mln zł, czyli średnio o 34 mln zł miesięcznie w przeliczeniu na ostatnich 12 miesięcy.</w:t>
      </w:r>
    </w:p>
    <w:p w14:paraId="23D26BD9" w14:textId="77777777" w:rsidR="004348E7" w:rsidRDefault="004348E7" w:rsidP="008B3A29">
      <w:pPr>
        <w:jc w:val="both"/>
        <w:rPr>
          <w:rFonts w:ascii="Calibri" w:eastAsia="Calibri" w:hAnsi="Calibri" w:cs="Calibri"/>
          <w:lang w:val="pl-PL"/>
        </w:rPr>
      </w:pPr>
    </w:p>
    <w:p w14:paraId="3276E32A" w14:textId="44C50135" w:rsidR="004348E7" w:rsidRPr="008B3A29" w:rsidRDefault="004348E7" w:rsidP="008B3A29">
      <w:pPr>
        <w:jc w:val="both"/>
        <w:rPr>
          <w:rFonts w:ascii="Calibri" w:eastAsia="Calibri" w:hAnsi="Calibri" w:cs="Calibri"/>
          <w:b/>
          <w:bCs/>
          <w:lang w:val="pl-PL"/>
        </w:rPr>
      </w:pPr>
      <w:r>
        <w:rPr>
          <w:rFonts w:ascii="Calibri" w:eastAsia="Calibri" w:hAnsi="Calibri" w:cs="Calibri"/>
          <w:b/>
          <w:bCs/>
          <w:lang w:val="pl-PL"/>
        </w:rPr>
        <w:t>Coraz więcej</w:t>
      </w:r>
      <w:r w:rsidRPr="004348E7">
        <w:rPr>
          <w:rFonts w:ascii="Calibri" w:eastAsia="Calibri" w:hAnsi="Calibri" w:cs="Calibri"/>
          <w:b/>
          <w:bCs/>
          <w:lang w:val="pl-PL"/>
        </w:rPr>
        <w:t xml:space="preserve"> </w:t>
      </w:r>
      <w:r w:rsidR="00C7470B">
        <w:rPr>
          <w:rFonts w:ascii="Calibri" w:eastAsia="Calibri" w:hAnsi="Calibri" w:cs="Calibri"/>
          <w:b/>
          <w:bCs/>
          <w:lang w:val="pl-PL"/>
        </w:rPr>
        <w:t>przedsiębiorstw</w:t>
      </w:r>
      <w:r w:rsidRPr="004348E7">
        <w:rPr>
          <w:rFonts w:ascii="Calibri" w:eastAsia="Calibri" w:hAnsi="Calibri" w:cs="Calibri"/>
          <w:b/>
          <w:bCs/>
          <w:lang w:val="pl-PL"/>
        </w:rPr>
        <w:t xml:space="preserve"> </w:t>
      </w:r>
      <w:r w:rsidR="00FE2A7C">
        <w:rPr>
          <w:rFonts w:ascii="Calibri" w:eastAsia="Calibri" w:hAnsi="Calibri" w:cs="Calibri"/>
          <w:b/>
          <w:bCs/>
          <w:lang w:val="pl-PL"/>
        </w:rPr>
        <w:t>nie płaci</w:t>
      </w:r>
    </w:p>
    <w:p w14:paraId="2F4D32AB" w14:textId="54CCB59A" w:rsidR="004348E7" w:rsidRDefault="004348E7" w:rsidP="008B3A29">
      <w:pPr>
        <w:jc w:val="both"/>
        <w:rPr>
          <w:rFonts w:ascii="Calibri" w:eastAsia="Calibri" w:hAnsi="Calibri" w:cs="Calibri"/>
        </w:rPr>
      </w:pPr>
    </w:p>
    <w:p w14:paraId="649D586C" w14:textId="2530449F" w:rsidR="004348E7" w:rsidRPr="008B3A29" w:rsidRDefault="004348E7" w:rsidP="008B3A29">
      <w:pPr>
        <w:jc w:val="both"/>
        <w:rPr>
          <w:rFonts w:ascii="Calibri" w:eastAsia="Calibri" w:hAnsi="Calibri" w:cs="Calibri"/>
          <w:lang w:val="pl-PL"/>
        </w:rPr>
      </w:pPr>
      <w:r w:rsidRPr="004348E7">
        <w:rPr>
          <w:rFonts w:ascii="Calibri" w:eastAsia="Calibri" w:hAnsi="Calibri" w:cs="Calibri"/>
          <w:lang w:val="pl-PL"/>
        </w:rPr>
        <w:t xml:space="preserve">Niepokoi również zmiana liczby firm z zaległościami. W ciągu roku przybyło ich 1093, a odsetek przedsiębiorstw mających problemy z terminową obsługą zobowiązań zwiększył się z 4,61 do 4,71 </w:t>
      </w:r>
      <w:r w:rsidRPr="004348E7">
        <w:rPr>
          <w:rFonts w:ascii="Calibri" w:eastAsia="Calibri" w:hAnsi="Calibri" w:cs="Calibri"/>
          <w:lang w:val="pl-PL"/>
        </w:rPr>
        <w:lastRenderedPageBreak/>
        <w:t>proc. To pierwsze pogorszenie tego wskaźnika od 2021 roku, kiedy udział firm z zaległościami wynosił 5,4 proc. Choć sytuacja sektora pozostaje pod tym względem lepsza niż na początku dekady, dotychczasowy trend spadkowy został przerwany.</w:t>
      </w:r>
    </w:p>
    <w:p w14:paraId="73BC3B3E" w14:textId="77777777" w:rsidR="00934747" w:rsidRDefault="00934747" w:rsidP="008B3A29">
      <w:pPr>
        <w:jc w:val="both"/>
        <w:rPr>
          <w:rFonts w:ascii="Calibri" w:eastAsia="Calibri" w:hAnsi="Calibri" w:cs="Calibri"/>
        </w:rPr>
      </w:pPr>
    </w:p>
    <w:p w14:paraId="61102C8A" w14:textId="44336EBF" w:rsidR="00806D92" w:rsidRPr="00806D92" w:rsidRDefault="00806D92" w:rsidP="008B3A29">
      <w:pPr>
        <w:jc w:val="both"/>
        <w:rPr>
          <w:rFonts w:ascii="Calibri" w:eastAsia="Calibri" w:hAnsi="Calibri" w:cs="Calibri"/>
          <w:lang w:val="pl-PL"/>
        </w:rPr>
      </w:pPr>
      <w:r w:rsidRPr="0028158C">
        <w:rPr>
          <w:rFonts w:ascii="Calibri" w:eastAsia="Calibri" w:hAnsi="Calibri" w:cs="Calibri"/>
          <w:lang w:val="pl-PL"/>
        </w:rPr>
        <w:t xml:space="preserve">Budownictwo pozostaje przy tym jednym z najbardziej rozdrobnionych sektorów gospodarki. Według danych GUS 70 proc. z </w:t>
      </w:r>
      <w:r w:rsidR="006809F9" w:rsidRPr="008B3A29">
        <w:rPr>
          <w:rFonts w:ascii="Calibri" w:eastAsia="Calibri" w:hAnsi="Calibri" w:cs="Calibri"/>
          <w:lang w:val="pl-PL"/>
        </w:rPr>
        <w:t>niemal 800 tys.</w:t>
      </w:r>
      <w:r w:rsidRPr="0028158C">
        <w:rPr>
          <w:rFonts w:ascii="Calibri" w:eastAsia="Calibri" w:hAnsi="Calibri" w:cs="Calibri"/>
          <w:lang w:val="pl-PL"/>
        </w:rPr>
        <w:t xml:space="preserve"> zarejestrowanych przedsiębiorstw budowlanych prowadzi działalność w zakresie specjalistycznych robót budowlanych. Są wśród nich m.in. firmy instalacyjne, elektryczne i wykończeniowe, często pełniące funkcję podwykonawców. Na koniec sierpnia 2026 r. w tej grupie odnotowano blisko 150 tys. zawieszonych działalności. Jednocześnie w całej branży zarejestrowano w tym miesiącu 4596 nowych podmiotów, a wyrejestrowano 2760.</w:t>
      </w:r>
      <w:r w:rsidRPr="0028158C">
        <w:rPr>
          <w:rFonts w:ascii="Calibri" w:eastAsia="Calibri" w:hAnsi="Calibri" w:cs="Calibri"/>
        </w:rPr>
        <w:t xml:space="preserve"> Był to najwyższy przyrost spośród wszystkich sekcji polskiej gospodarki</w:t>
      </w:r>
      <w:r w:rsidR="006809F9" w:rsidRPr="008B3A29">
        <w:rPr>
          <w:rFonts w:ascii="Calibri" w:eastAsia="Calibri" w:hAnsi="Calibri" w:cs="Calibri"/>
          <w:vertAlign w:val="superscript"/>
        </w:rPr>
        <w:t>1</w:t>
      </w:r>
      <w:r w:rsidR="00207E2A" w:rsidRPr="0028158C">
        <w:rPr>
          <w:rFonts w:ascii="Calibri" w:eastAsia="Calibri" w:hAnsi="Calibri" w:cs="Calibri"/>
        </w:rPr>
        <w:t>.</w:t>
      </w:r>
    </w:p>
    <w:p w14:paraId="1BE78E49" w14:textId="77777777" w:rsidR="00934747" w:rsidRDefault="00934747" w:rsidP="008B3A29">
      <w:pPr>
        <w:jc w:val="both"/>
        <w:rPr>
          <w:rFonts w:ascii="Calibri" w:eastAsia="Calibri" w:hAnsi="Calibri" w:cs="Calibri"/>
        </w:rPr>
      </w:pPr>
    </w:p>
    <w:p w14:paraId="32CA9025" w14:textId="77777777" w:rsidR="00292256" w:rsidRPr="00292256" w:rsidRDefault="00292256" w:rsidP="008B3A29">
      <w:pPr>
        <w:jc w:val="both"/>
        <w:rPr>
          <w:rFonts w:ascii="Calibri" w:eastAsia="Calibri" w:hAnsi="Calibri" w:cs="Calibri"/>
          <w:b/>
          <w:bCs/>
          <w:lang w:val="pl-PL"/>
        </w:rPr>
      </w:pPr>
      <w:r w:rsidRPr="00292256">
        <w:rPr>
          <w:rFonts w:ascii="Calibri" w:eastAsia="Calibri" w:hAnsi="Calibri" w:cs="Calibri"/>
          <w:b/>
          <w:bCs/>
          <w:lang w:val="pl-PL"/>
        </w:rPr>
        <w:t>Najwięcej firm z zaległościami wśród wykonawców inwestycji kolejowych</w:t>
      </w:r>
    </w:p>
    <w:p w14:paraId="783636D9" w14:textId="2D14A85D" w:rsidR="00292256" w:rsidRDefault="00292256" w:rsidP="008B3A29">
      <w:pPr>
        <w:jc w:val="both"/>
        <w:rPr>
          <w:rFonts w:ascii="Calibri" w:eastAsia="Calibri" w:hAnsi="Calibri" w:cs="Calibri"/>
        </w:rPr>
      </w:pPr>
    </w:p>
    <w:p w14:paraId="058378E3" w14:textId="245CDC7E" w:rsidR="00292256" w:rsidRPr="00292256" w:rsidRDefault="00292256" w:rsidP="008B3A29">
      <w:pPr>
        <w:jc w:val="both"/>
        <w:rPr>
          <w:rFonts w:ascii="Calibri" w:eastAsia="Calibri" w:hAnsi="Calibri" w:cs="Calibri"/>
          <w:lang w:val="pl-PL"/>
        </w:rPr>
      </w:pPr>
      <w:r w:rsidRPr="00292256">
        <w:rPr>
          <w:rFonts w:ascii="Calibri" w:eastAsia="Calibri" w:hAnsi="Calibri" w:cs="Calibri"/>
          <w:lang w:val="pl-PL"/>
        </w:rPr>
        <w:t>Analiza poszczególnych rodzajów działalności budowlanej pokazuje znaczące różnice w skali problemów płatniczych. Najwyższy odsetek firm z zaległościami odnotowano wśród przedsiębiorstw zajmujących się budową dróg szynowych i kolei podziemnej (PKD 4212Z). Wyniósł on 11,44 proc., ponad dwukrotnie więcej niż średnia dla całej branży. Wysoki udział niesolidnych płatników występuje także wśród firm realizujących roboty związane z budową dróg i autostrad (PKD 4211Z) – 7,75 proc.</w:t>
      </w:r>
      <w:r>
        <w:rPr>
          <w:rFonts w:ascii="Calibri" w:eastAsia="Calibri" w:hAnsi="Calibri" w:cs="Calibri"/>
          <w:lang w:val="pl-PL"/>
        </w:rPr>
        <w:t xml:space="preserve"> </w:t>
      </w:r>
      <w:r w:rsidR="00AD6B93">
        <w:rPr>
          <w:rFonts w:ascii="Calibri" w:eastAsia="Calibri" w:hAnsi="Calibri" w:cs="Calibri"/>
          <w:lang w:val="pl-PL"/>
        </w:rPr>
        <w:t xml:space="preserve"> </w:t>
      </w:r>
      <w:r w:rsidRPr="00292256">
        <w:rPr>
          <w:rFonts w:ascii="Calibri" w:eastAsia="Calibri" w:hAnsi="Calibri" w:cs="Calibri"/>
          <w:lang w:val="pl-PL"/>
        </w:rPr>
        <w:t>Oba segmenty są silnie powiązane z dużymi inwestycjami infrastrukturalnymi. W ich przypadku szczególnego znaczenia nabierają terminowe rozliczenia poszczególnych etapów prac i zachowanie płynności w rozbudowanych łańcuchach podwykonawczych.</w:t>
      </w:r>
    </w:p>
    <w:p w14:paraId="05813BA6" w14:textId="77777777" w:rsidR="00934747" w:rsidRDefault="00934747" w:rsidP="008B3A29">
      <w:pPr>
        <w:jc w:val="both"/>
        <w:rPr>
          <w:rFonts w:ascii="Calibri" w:eastAsia="Calibri" w:hAnsi="Calibri" w:cs="Calibri"/>
        </w:rPr>
      </w:pPr>
    </w:p>
    <w:p w14:paraId="472AF1D5" w14:textId="2BB6D08C" w:rsidR="00292256" w:rsidRPr="008B3A29" w:rsidRDefault="00292256" w:rsidP="008B3A29">
      <w:pPr>
        <w:jc w:val="both"/>
        <w:rPr>
          <w:rFonts w:ascii="Calibri" w:eastAsia="Calibri" w:hAnsi="Calibri" w:cs="Calibri"/>
          <w:lang w:val="pl-PL"/>
        </w:rPr>
      </w:pPr>
      <w:r w:rsidRPr="00292256">
        <w:rPr>
          <w:rFonts w:ascii="Calibri" w:eastAsia="Calibri" w:hAnsi="Calibri" w:cs="Calibri"/>
          <w:lang w:val="pl-PL"/>
        </w:rPr>
        <w:t>W ujęciu wartościowym największy roczny przyrost zaległości wśród analizowanych rodzajów działalności odnotowano w przedsiębiorstwach realizujących projekty budowlane związane ze wznoszeniem budynków (PKD 4110Z). Ich przeterminowane zobowiązania wzrosły o 132,6 mln zł (11,2 proc.), osiągając 1,32 mld zł.</w:t>
      </w:r>
      <w:r>
        <w:rPr>
          <w:rFonts w:ascii="Calibri" w:eastAsia="Calibri" w:hAnsi="Calibri" w:cs="Calibri"/>
          <w:lang w:val="pl-PL"/>
        </w:rPr>
        <w:t xml:space="preserve"> </w:t>
      </w:r>
      <w:r w:rsidRPr="00292256">
        <w:rPr>
          <w:rFonts w:ascii="Calibri" w:eastAsia="Calibri" w:hAnsi="Calibri" w:cs="Calibri"/>
          <w:lang w:val="pl-PL"/>
        </w:rPr>
        <w:t>Jeszcze większą dynamikę wzrostu zanotowały firmy zajmujące się przygotowaniem terenu pod budowę (PKD 4312Z). Wartość ich zaległości zwiększyła się o 49,6 proc., czyli o 31,8 mln zł, do blisko 96 mln zł. Z kolei przedsiębiorstwa wykonujące roboty związane z budową dróg i autostrad odnotowały wzrost przeterminowanych zobowiązań o blisko 52 mln zł (14,6 proc.), do 409,2 mln zł.</w:t>
      </w:r>
    </w:p>
    <w:p w14:paraId="4C6A1BAA" w14:textId="77777777" w:rsidR="00934747" w:rsidRDefault="00934747" w:rsidP="008B3A29">
      <w:pPr>
        <w:jc w:val="both"/>
        <w:rPr>
          <w:rFonts w:ascii="Calibri" w:eastAsia="Calibri" w:hAnsi="Calibri" w:cs="Calibri"/>
        </w:rPr>
      </w:pPr>
    </w:p>
    <w:p w14:paraId="1DB41A95" w14:textId="764EC98B" w:rsidR="00934747" w:rsidRDefault="004E1115" w:rsidP="008B3A29">
      <w:pPr>
        <w:jc w:val="both"/>
        <w:rPr>
          <w:rFonts w:ascii="Calibri" w:eastAsia="Calibri" w:hAnsi="Calibri" w:cs="Calibri"/>
        </w:rPr>
      </w:pPr>
      <w:r>
        <w:rPr>
          <w:rFonts w:ascii="Calibri" w:eastAsia="Calibri" w:hAnsi="Calibri" w:cs="Calibri"/>
        </w:rPr>
        <w:t xml:space="preserve">– </w:t>
      </w:r>
      <w:r w:rsidR="00C535FC">
        <w:rPr>
          <w:rFonts w:ascii="Calibri" w:eastAsia="Calibri" w:hAnsi="Calibri" w:cs="Calibri"/>
          <w:i/>
          <w:iCs/>
        </w:rPr>
        <w:t>W ostatnich latach nastąpiło wyraźne odwrócenie relacji ryzyka płatniczego w budownictwie. Przedsiębiorstwa realizujące prace jako podwykonawcy przy projektach samorządowych i infrastrukturalnych coraz częściej oczekują na zapłatę dłużej niż firmy obsługujące inwestorów prywatnych. Jeszcze kilka lat temu kontrakty publiczne postrzegane były jako bardziej bezpieczne i przewidywalne ze względu na oparcie finansowania o środki publiczne. Obecnie przewaga ta w znacznym stopniu się już zatarł</w:t>
      </w:r>
      <w:r w:rsidR="00C535FC" w:rsidRPr="0049611C">
        <w:rPr>
          <w:rFonts w:ascii="Calibri" w:eastAsia="Calibri" w:hAnsi="Calibri" w:cs="Calibri"/>
          <w:i/>
          <w:iCs/>
        </w:rPr>
        <w:t xml:space="preserve">a. </w:t>
      </w:r>
      <w:r w:rsidR="00C535FC">
        <w:rPr>
          <w:rFonts w:ascii="Calibri" w:eastAsia="Calibri" w:hAnsi="Calibri" w:cs="Calibri"/>
          <w:i/>
          <w:iCs/>
        </w:rPr>
        <w:t>Długie łańcuchy podwykonawcze, wzrost kosztów realizacji projektów szczególnie związan</w:t>
      </w:r>
      <w:r w:rsidR="008B3A29">
        <w:rPr>
          <w:rFonts w:ascii="Calibri" w:eastAsia="Calibri" w:hAnsi="Calibri" w:cs="Calibri"/>
          <w:i/>
          <w:iCs/>
        </w:rPr>
        <w:t>ych</w:t>
      </w:r>
      <w:r w:rsidR="00C535FC">
        <w:rPr>
          <w:rFonts w:ascii="Calibri" w:eastAsia="Calibri" w:hAnsi="Calibri" w:cs="Calibri"/>
          <w:i/>
          <w:iCs/>
        </w:rPr>
        <w:t xml:space="preserve"> z wynagrodzeniami i kosztami materiałów budowlanych, presja na marże w celu wygrania przetargu niższą ceną oraz opóźnienia w rozliczaniu kolejnych etapów </w:t>
      </w:r>
      <w:r w:rsidR="00C535FC">
        <w:rPr>
          <w:rFonts w:ascii="Calibri" w:eastAsia="Calibri" w:hAnsi="Calibri" w:cs="Calibri"/>
          <w:i/>
          <w:iCs/>
        </w:rPr>
        <w:lastRenderedPageBreak/>
        <w:t>inwestycji powodują narastanie zatorów płatniczych. Paradoksalnie, to właśnie przedsiębiorstwa realizujące największe projekty infrastrukturalne wykazują obecnie najwyższą w branży budowlanej ekspozycję na opóźnienia w płatnościach i problemy z utrzymaniem płynności finansowej</w:t>
      </w:r>
      <w:r w:rsidR="00C535FC">
        <w:rPr>
          <w:rFonts w:ascii="Calibri" w:eastAsia="Calibri" w:hAnsi="Calibri" w:cs="Calibri"/>
        </w:rPr>
        <w:t xml:space="preserve"> – wskazuje </w:t>
      </w:r>
      <w:r w:rsidR="00C535FC">
        <w:rPr>
          <w:rFonts w:ascii="Calibri" w:eastAsia="Calibri" w:hAnsi="Calibri" w:cs="Calibri"/>
          <w:b/>
          <w:bCs/>
        </w:rPr>
        <w:t>dr hab. Waldemar Rogowski, główny analityk BIG InfoMonitor.</w:t>
      </w:r>
    </w:p>
    <w:p w14:paraId="216C8718" w14:textId="77777777" w:rsidR="00934747" w:rsidRDefault="00934747" w:rsidP="008B3A29">
      <w:pPr>
        <w:jc w:val="both"/>
        <w:rPr>
          <w:rFonts w:ascii="Calibri" w:eastAsia="Calibri" w:hAnsi="Calibri" w:cs="Calibri"/>
        </w:rPr>
      </w:pPr>
    </w:p>
    <w:p w14:paraId="2321BF60" w14:textId="77777777" w:rsidR="00AD6B93" w:rsidRPr="00AD6B93" w:rsidRDefault="00AD6B93" w:rsidP="008B3A29">
      <w:pPr>
        <w:jc w:val="both"/>
        <w:rPr>
          <w:rFonts w:ascii="Calibri" w:eastAsia="Calibri" w:hAnsi="Calibri" w:cs="Calibri"/>
          <w:b/>
          <w:bCs/>
          <w:lang w:val="pl-PL"/>
        </w:rPr>
      </w:pPr>
      <w:r w:rsidRPr="00AD6B93">
        <w:rPr>
          <w:rFonts w:ascii="Calibri" w:eastAsia="Calibri" w:hAnsi="Calibri" w:cs="Calibri"/>
          <w:b/>
          <w:bCs/>
          <w:lang w:val="pl-PL"/>
        </w:rPr>
        <w:t>Roboty wykończeniowe z niewielką poprawą</w:t>
      </w:r>
    </w:p>
    <w:p w14:paraId="76F74BDB" w14:textId="77777777" w:rsidR="00AD6B93" w:rsidRDefault="00AD6B93" w:rsidP="008B3A29">
      <w:pPr>
        <w:jc w:val="both"/>
        <w:rPr>
          <w:rFonts w:ascii="Calibri" w:eastAsia="Calibri" w:hAnsi="Calibri" w:cs="Calibri"/>
        </w:rPr>
      </w:pPr>
    </w:p>
    <w:p w14:paraId="4DC7E4F8" w14:textId="145324D9" w:rsidR="00AD6B93" w:rsidRDefault="00AD6B93" w:rsidP="008B3A29">
      <w:pPr>
        <w:jc w:val="both"/>
        <w:rPr>
          <w:rFonts w:ascii="Calibri" w:eastAsia="Calibri" w:hAnsi="Calibri" w:cs="Calibri"/>
          <w:lang w:val="pl-PL"/>
        </w:rPr>
      </w:pPr>
      <w:r w:rsidRPr="00AD6B93">
        <w:rPr>
          <w:rFonts w:ascii="Calibri" w:eastAsia="Calibri" w:hAnsi="Calibri" w:cs="Calibri"/>
          <w:lang w:val="pl-PL"/>
        </w:rPr>
        <w:t>Na tle pozostałych segmentów budownictwa pozytywnie wyróżniają się firmy realizujące roboty wykończeniowe (PKD 433). To jedyna duża grupa w sektorze, w której udział przedsiębiorstw z zaległościami nieznacznie spadł – z 3,76 do 3,72 proc. Zmniejszyła się również, o 152 podmioty, liczba firm mających problemy z terminowym regulowaniem zobowiązań. Na koniec sierpnia wynosiła 13</w:t>
      </w:r>
      <w:r>
        <w:rPr>
          <w:rFonts w:ascii="Calibri" w:eastAsia="Calibri" w:hAnsi="Calibri" w:cs="Calibri"/>
          <w:lang w:val="pl-PL"/>
        </w:rPr>
        <w:t> </w:t>
      </w:r>
      <w:r w:rsidRPr="00AD6B93">
        <w:rPr>
          <w:rFonts w:ascii="Calibri" w:eastAsia="Calibri" w:hAnsi="Calibri" w:cs="Calibri"/>
          <w:lang w:val="pl-PL"/>
        </w:rPr>
        <w:t>766.</w:t>
      </w:r>
    </w:p>
    <w:p w14:paraId="63160B5A" w14:textId="77777777" w:rsidR="00AD6B93" w:rsidRPr="00AD6B93" w:rsidRDefault="00AD6B93" w:rsidP="008B3A29">
      <w:pPr>
        <w:jc w:val="both"/>
        <w:rPr>
          <w:rFonts w:ascii="Calibri" w:eastAsia="Calibri" w:hAnsi="Calibri" w:cs="Calibri"/>
          <w:lang w:val="pl-PL"/>
        </w:rPr>
      </w:pPr>
    </w:p>
    <w:p w14:paraId="2D2D19CE" w14:textId="62B1147A" w:rsidR="00AD6B93" w:rsidRPr="00AD6B93" w:rsidRDefault="00AD6B93" w:rsidP="008B3A29">
      <w:pPr>
        <w:jc w:val="both"/>
        <w:rPr>
          <w:rFonts w:ascii="Calibri" w:eastAsia="Calibri" w:hAnsi="Calibri" w:cs="Calibri"/>
          <w:lang w:val="pl-PL"/>
        </w:rPr>
      </w:pPr>
      <w:r w:rsidRPr="00AD6B93">
        <w:rPr>
          <w:rFonts w:ascii="Calibri" w:eastAsia="Calibri" w:hAnsi="Calibri" w:cs="Calibri"/>
          <w:lang w:val="pl-PL"/>
        </w:rPr>
        <w:t>Poprawa jest jednak niewielka, a skala zaległości nadal pozostaje znacząca. Firmy realizujące prace wykończeniowe miały łącznie 525 mln zł przeterminowanych zobowiązań. To około jedna czwarta zaległości całej grupy przedsiębiorstw wykonujących specjalistyczne roboty budowlane (PKD 43), które na koniec sierpnia przekraczały 2,13 mld zł i dotyczyły 32 281 podmiotów.</w:t>
      </w:r>
      <w:r w:rsidR="00D844E8">
        <w:rPr>
          <w:rFonts w:ascii="Calibri" w:eastAsia="Calibri" w:hAnsi="Calibri" w:cs="Calibri"/>
          <w:lang w:val="pl-PL"/>
        </w:rPr>
        <w:t xml:space="preserve"> </w:t>
      </w:r>
      <w:r w:rsidRPr="00AD6B93">
        <w:rPr>
          <w:rFonts w:ascii="Calibri" w:eastAsia="Calibri" w:hAnsi="Calibri" w:cs="Calibri"/>
          <w:lang w:val="pl-PL"/>
        </w:rPr>
        <w:t>Relatywnie lepsza sytuacja firm wykończeniowych może wynikać z ich bezpośrednich relacji z klientem końcowym</w:t>
      </w:r>
      <w:r>
        <w:rPr>
          <w:rFonts w:ascii="Calibri" w:eastAsia="Calibri" w:hAnsi="Calibri" w:cs="Calibri"/>
          <w:lang w:val="pl-PL"/>
        </w:rPr>
        <w:t xml:space="preserve"> i szybszego obiegu gotówką</w:t>
      </w:r>
      <w:r w:rsidRPr="00AD6B93">
        <w:rPr>
          <w:rFonts w:ascii="Calibri" w:eastAsia="Calibri" w:hAnsi="Calibri" w:cs="Calibri"/>
          <w:lang w:val="pl-PL"/>
        </w:rPr>
        <w:t>. Nie oznacza to jednak, że segment ten pozostaje odporny na problemy płynnościowe.</w:t>
      </w:r>
    </w:p>
    <w:p w14:paraId="74EEEAE4" w14:textId="77777777" w:rsidR="00934747" w:rsidRDefault="00934747" w:rsidP="008B3A29">
      <w:pPr>
        <w:jc w:val="both"/>
        <w:rPr>
          <w:rFonts w:ascii="Calibri" w:eastAsia="Calibri" w:hAnsi="Calibri" w:cs="Calibri"/>
        </w:rPr>
      </w:pPr>
    </w:p>
    <w:p w14:paraId="0CB61821" w14:textId="77777777" w:rsidR="00934747" w:rsidRDefault="00C535FC" w:rsidP="008B3A29">
      <w:pPr>
        <w:jc w:val="both"/>
        <w:rPr>
          <w:rFonts w:ascii="Calibri" w:eastAsia="Calibri" w:hAnsi="Calibri" w:cs="Calibri"/>
          <w:b/>
          <w:bCs/>
        </w:rPr>
      </w:pPr>
      <w:r>
        <w:rPr>
          <w:rFonts w:ascii="Calibri" w:eastAsia="Calibri" w:hAnsi="Calibri" w:cs="Calibri"/>
          <w:b/>
          <w:bCs/>
        </w:rPr>
        <w:t>Sytuacja makroekonomiczna nie pomaga, ale rynek dojrzewa</w:t>
      </w:r>
    </w:p>
    <w:p w14:paraId="40C861A9" w14:textId="77777777" w:rsidR="00934747" w:rsidRDefault="00934747" w:rsidP="008B3A29">
      <w:pPr>
        <w:jc w:val="both"/>
        <w:rPr>
          <w:rFonts w:ascii="Calibri" w:eastAsia="Calibri" w:hAnsi="Calibri" w:cs="Calibri"/>
        </w:rPr>
      </w:pPr>
    </w:p>
    <w:p w14:paraId="625768A9" w14:textId="6F5B607A" w:rsidR="00934747" w:rsidRPr="008B3A29" w:rsidRDefault="00E651DE" w:rsidP="008B3A29">
      <w:pPr>
        <w:jc w:val="both"/>
        <w:rPr>
          <w:rFonts w:ascii="Calibri" w:eastAsia="Calibri" w:hAnsi="Calibri" w:cs="Calibri"/>
          <w:lang w:val="pl-PL"/>
        </w:rPr>
      </w:pPr>
      <w:r w:rsidRPr="00E651DE">
        <w:rPr>
          <w:rFonts w:ascii="Calibri" w:eastAsia="Calibri" w:hAnsi="Calibri" w:cs="Calibri"/>
          <w:lang w:val="pl-PL"/>
        </w:rPr>
        <w:t>Sytuacja w budownictwie pozostaje niejednoznaczna. Według danych GUS produkcja budowlano-montażowa wzrosła w sierpniu 2026 r. o 6,7 proc. rok do roku, po spadku o 2,3 proc. w lipcu.</w:t>
      </w:r>
      <w:r>
        <w:rPr>
          <w:rFonts w:ascii="Calibri" w:eastAsia="Calibri" w:hAnsi="Calibri" w:cs="Calibri"/>
          <w:lang w:val="pl-PL"/>
        </w:rPr>
        <w:t xml:space="preserve"> </w:t>
      </w:r>
      <w:r w:rsidR="00C535FC">
        <w:rPr>
          <w:rFonts w:ascii="Calibri" w:eastAsia="Calibri" w:hAnsi="Calibri" w:cs="Calibri"/>
        </w:rPr>
        <w:t xml:space="preserve">Jednocześnie ceny samych robót budowlanych zwiększyły się </w:t>
      </w:r>
      <w:r w:rsidR="00654450">
        <w:rPr>
          <w:rFonts w:ascii="Calibri" w:eastAsia="Calibri" w:hAnsi="Calibri" w:cs="Calibri"/>
        </w:rPr>
        <w:t xml:space="preserve">w sierpniu </w:t>
      </w:r>
      <w:r w:rsidR="00C535FC">
        <w:rPr>
          <w:rFonts w:ascii="Calibri" w:eastAsia="Calibri" w:hAnsi="Calibri" w:cs="Calibri"/>
        </w:rPr>
        <w:t>o 6,2 proc. r/r</w:t>
      </w:r>
      <w:r w:rsidR="00207E2A">
        <w:rPr>
          <w:rFonts w:ascii="Calibri" w:eastAsia="Calibri" w:hAnsi="Calibri" w:cs="Calibri"/>
        </w:rPr>
        <w:t>.</w:t>
      </w:r>
      <w:r w:rsidR="006809F9">
        <w:rPr>
          <w:rFonts w:ascii="Calibri" w:eastAsia="Calibri" w:hAnsi="Calibri" w:cs="Calibri"/>
          <w:vertAlign w:val="superscript"/>
        </w:rPr>
        <w:t>2</w:t>
      </w:r>
      <w:r w:rsidR="00207E2A">
        <w:rPr>
          <w:rFonts w:ascii="Calibri" w:eastAsia="Calibri" w:hAnsi="Calibri" w:cs="Calibri"/>
        </w:rPr>
        <w:t xml:space="preserve"> </w:t>
      </w:r>
      <w:r w:rsidR="00AD6B93">
        <w:rPr>
          <w:rFonts w:ascii="Calibri" w:eastAsia="Calibri" w:hAnsi="Calibri" w:cs="Calibri"/>
        </w:rPr>
        <w:t>–</w:t>
      </w:r>
      <w:r w:rsidR="00C535FC">
        <w:rPr>
          <w:rFonts w:ascii="Calibri" w:eastAsia="Calibri" w:hAnsi="Calibri" w:cs="Calibri"/>
        </w:rPr>
        <w:t xml:space="preserve"> najszybciej od maja 2024 r. Choć według </w:t>
      </w:r>
      <w:r w:rsidR="00F15840" w:rsidRPr="00F15840">
        <w:rPr>
          <w:rFonts w:ascii="Calibri" w:eastAsia="Calibri" w:hAnsi="Calibri" w:cs="Calibri"/>
        </w:rPr>
        <w:t>Instytut Rozwoju Gospodarczego Szkoły Głównej Handlowej w Warszawie (IRG SGH)</w:t>
      </w:r>
      <w:r w:rsidR="00C535FC">
        <w:rPr>
          <w:rFonts w:ascii="Calibri" w:eastAsia="Calibri" w:hAnsi="Calibri" w:cs="Calibri"/>
        </w:rPr>
        <w:t xml:space="preserve"> w trzecim kwartale poprawiła się koniunktura w branży, nakłady inwestycyjne i ogólna ocena sytuacji gospodarczej pozostają głęboko ujem</w:t>
      </w:r>
      <w:r w:rsidR="000C0319">
        <w:rPr>
          <w:rFonts w:ascii="Calibri" w:eastAsia="Calibri" w:hAnsi="Calibri" w:cs="Calibri"/>
        </w:rPr>
        <w:t>ne</w:t>
      </w:r>
      <w:r w:rsidR="006809F9">
        <w:rPr>
          <w:rFonts w:ascii="Calibri" w:eastAsia="Calibri" w:hAnsi="Calibri" w:cs="Calibri"/>
          <w:vertAlign w:val="superscript"/>
        </w:rPr>
        <w:t>3</w:t>
      </w:r>
      <w:r w:rsidR="000C0319">
        <w:rPr>
          <w:rFonts w:ascii="Calibri" w:eastAsia="Calibri" w:hAnsi="Calibri" w:cs="Calibri"/>
        </w:rPr>
        <w:t>.</w:t>
      </w:r>
      <w:r w:rsidR="00C535FC">
        <w:rPr>
          <w:rFonts w:ascii="Calibri" w:eastAsia="Calibri" w:hAnsi="Calibri" w:cs="Calibri"/>
        </w:rPr>
        <w:t xml:space="preserve"> W tym samym czasie budownictwo było trzecią najliczniejszą pod względem upadłości branżą w Polsce i miało największy udział w liczbie restrukturyzacji spośród wszystkich sektorów gospodarki</w:t>
      </w:r>
      <w:r w:rsidR="00207E2A">
        <w:rPr>
          <w:rFonts w:ascii="Calibri" w:eastAsia="Calibri" w:hAnsi="Calibri" w:cs="Calibri"/>
        </w:rPr>
        <w:t>.</w:t>
      </w:r>
      <w:r w:rsidR="006809F9">
        <w:rPr>
          <w:rFonts w:ascii="Calibri" w:eastAsia="Calibri" w:hAnsi="Calibri" w:cs="Calibri"/>
          <w:vertAlign w:val="superscript"/>
        </w:rPr>
        <w:t>4</w:t>
      </w:r>
    </w:p>
    <w:p w14:paraId="3C501649" w14:textId="77777777" w:rsidR="00D844E8" w:rsidRDefault="00D844E8" w:rsidP="008B3A29">
      <w:pPr>
        <w:jc w:val="both"/>
        <w:rPr>
          <w:rFonts w:ascii="Calibri" w:eastAsia="Calibri" w:hAnsi="Calibri" w:cs="Calibri"/>
        </w:rPr>
      </w:pPr>
    </w:p>
    <w:p w14:paraId="78E29247" w14:textId="71CE8E3E" w:rsidR="00934747" w:rsidRDefault="00C535FC" w:rsidP="008B3A29">
      <w:pPr>
        <w:jc w:val="both"/>
        <w:rPr>
          <w:rFonts w:ascii="Calibri" w:eastAsia="Calibri" w:hAnsi="Calibri" w:cs="Calibri"/>
        </w:rPr>
      </w:pPr>
      <w:r>
        <w:rPr>
          <w:rFonts w:ascii="Calibri" w:eastAsia="Calibri" w:hAnsi="Calibri" w:cs="Calibri"/>
        </w:rPr>
        <w:t xml:space="preserve">Z badania Skaner MŚP za trzeci kwartał 2026 r. realizowanego przez Instytut </w:t>
      </w:r>
      <w:proofErr w:type="spellStart"/>
      <w:r>
        <w:rPr>
          <w:rFonts w:ascii="Calibri" w:eastAsia="Calibri" w:hAnsi="Calibri" w:cs="Calibri"/>
        </w:rPr>
        <w:t>Keralla</w:t>
      </w:r>
      <w:proofErr w:type="spellEnd"/>
      <w:r>
        <w:rPr>
          <w:rFonts w:ascii="Calibri" w:eastAsia="Calibri" w:hAnsi="Calibri" w:cs="Calibri"/>
        </w:rPr>
        <w:t xml:space="preserve"> </w:t>
      </w:r>
      <w:proofErr w:type="spellStart"/>
      <w:r>
        <w:rPr>
          <w:rFonts w:ascii="Calibri" w:eastAsia="Calibri" w:hAnsi="Calibri" w:cs="Calibri"/>
        </w:rPr>
        <w:t>Research</w:t>
      </w:r>
      <w:proofErr w:type="spellEnd"/>
      <w:r>
        <w:rPr>
          <w:rFonts w:ascii="Calibri" w:eastAsia="Calibri" w:hAnsi="Calibri" w:cs="Calibri"/>
        </w:rPr>
        <w:t xml:space="preserve"> dla BIG InfoMonitor i BIK wynika jeszcze jedna prawidłowość. Firmy budowlane rzadziej niż inne branże przyznają, że ich klienci płacą po terminie, ale kiedy już tak się dzieje, mocniej odczuwają to w swojej kondycji finansowej niż firmy z pozostałych sektorów takich jak np. usługi, przemysł czy transport. Częściej niż gdziekolwiek indziej przyznają też, że same opóźniają płatności wobec własnych kontrahentów z powodu problemów z płynnością. Zator, który powstaje na jednym końcu łańcucha, w budownictwie łatwiej przenosi się na kolejne ogniwa.</w:t>
      </w:r>
    </w:p>
    <w:p w14:paraId="2A544D21" w14:textId="77777777" w:rsidR="00E72478" w:rsidRDefault="00E72478" w:rsidP="008B3A29">
      <w:pPr>
        <w:jc w:val="both"/>
        <w:rPr>
          <w:rFonts w:ascii="Calibri" w:eastAsia="Calibri" w:hAnsi="Calibri" w:cs="Calibri"/>
        </w:rPr>
      </w:pPr>
    </w:p>
    <w:p w14:paraId="27129A84" w14:textId="1C9A5938" w:rsidR="00934747" w:rsidRDefault="004E1115" w:rsidP="008B3A29">
      <w:pPr>
        <w:pBdr>
          <w:top w:val="nil"/>
          <w:left w:val="nil"/>
          <w:bottom w:val="nil"/>
          <w:right w:val="nil"/>
          <w:between w:val="nil"/>
        </w:pBdr>
        <w:jc w:val="both"/>
        <w:rPr>
          <w:rFonts w:ascii="Calibri" w:eastAsia="Calibri" w:hAnsi="Calibri" w:cs="Calibri"/>
          <w:b/>
          <w:bCs/>
        </w:rPr>
      </w:pPr>
      <w:r>
        <w:rPr>
          <w:rFonts w:ascii="Calibri" w:eastAsia="Calibri" w:hAnsi="Calibri" w:cs="Calibri"/>
          <w:i/>
          <w:iCs/>
          <w:color w:val="000000"/>
        </w:rPr>
        <w:lastRenderedPageBreak/>
        <w:t>–</w:t>
      </w:r>
      <w:r w:rsidR="00C535FC">
        <w:rPr>
          <w:rFonts w:ascii="Calibri" w:eastAsia="Calibri" w:hAnsi="Calibri" w:cs="Calibri"/>
          <w:i/>
          <w:iCs/>
          <w:color w:val="000000"/>
        </w:rPr>
        <w:t xml:space="preserve"> </w:t>
      </w:r>
      <w:r w:rsidR="00D844E8">
        <w:rPr>
          <w:rFonts w:ascii="Calibri" w:eastAsia="Calibri" w:hAnsi="Calibri" w:cs="Calibri"/>
          <w:i/>
          <w:iCs/>
          <w:color w:val="000000"/>
        </w:rPr>
        <w:t xml:space="preserve">Na uwagę zasługuje struktura oraz charakter obserwowanych procesów niewypłacalności. Wzrost liczby restrukturyzacji przewyższający dynamikę upadłości należy ocenić pozytywnie, ponieważ świadczy o rosnącej skłonności przedsiębiorców do podejmowania działań naprawczych na wczesnym etapie pogarszania się sytuacji finansowej. Można to interpretować jako przejaw dojrzewania rynku i wzrostu świadomości zarządzania ryzykiem finansowym. Szybka reakcja na napięcia finansowe może zwiększać szanse firmy na odzyskanie stabilności i utrzymanie się na rynku </w:t>
      </w:r>
      <w:r w:rsidR="00D970BF">
        <w:rPr>
          <w:rFonts w:ascii="Calibri" w:eastAsia="Calibri" w:hAnsi="Calibri" w:cs="Calibri"/>
          <w:i/>
          <w:iCs/>
        </w:rPr>
        <w:t xml:space="preserve">– </w:t>
      </w:r>
      <w:r w:rsidR="0049611C">
        <w:rPr>
          <w:rFonts w:ascii="Calibri" w:eastAsia="Calibri" w:hAnsi="Calibri" w:cs="Calibri"/>
        </w:rPr>
        <w:t>podkreśla</w:t>
      </w:r>
      <w:r w:rsidR="00D970BF" w:rsidRPr="00D970BF">
        <w:rPr>
          <w:rFonts w:ascii="Calibri" w:eastAsia="Calibri" w:hAnsi="Calibri" w:cs="Calibri"/>
        </w:rPr>
        <w:t xml:space="preserve"> </w:t>
      </w:r>
      <w:r w:rsidR="00D970BF" w:rsidRPr="00D970BF">
        <w:rPr>
          <w:rFonts w:ascii="Calibri" w:eastAsia="Calibri" w:hAnsi="Calibri" w:cs="Calibri"/>
          <w:b/>
          <w:bCs/>
        </w:rPr>
        <w:t>dr hab. Waldemar Rogowski, główny analityk BIG InfoMonito</w:t>
      </w:r>
      <w:r w:rsidR="00D844E8">
        <w:rPr>
          <w:rFonts w:ascii="Calibri" w:eastAsia="Calibri" w:hAnsi="Calibri" w:cs="Calibri"/>
          <w:b/>
          <w:bCs/>
        </w:rPr>
        <w:t>r.</w:t>
      </w:r>
    </w:p>
    <w:p w14:paraId="41E206DF" w14:textId="77777777" w:rsidR="00D43B19" w:rsidRDefault="00D43B19" w:rsidP="00D844E8">
      <w:pPr>
        <w:pBdr>
          <w:top w:val="nil"/>
          <w:left w:val="nil"/>
          <w:bottom w:val="nil"/>
          <w:right w:val="nil"/>
          <w:between w:val="nil"/>
        </w:pBdr>
        <w:spacing w:line="240" w:lineRule="auto"/>
        <w:jc w:val="both"/>
        <w:rPr>
          <w:rFonts w:ascii="Calibri" w:eastAsia="Calibri" w:hAnsi="Calibri" w:cs="Calibri"/>
          <w:i/>
          <w:iCs/>
          <w:color w:val="000000"/>
        </w:rPr>
      </w:pPr>
    </w:p>
    <w:p w14:paraId="3B902AE8" w14:textId="77777777" w:rsidR="00207E2A" w:rsidRDefault="00207E2A" w:rsidP="004E1115">
      <w:pPr>
        <w:pBdr>
          <w:top w:val="nil"/>
          <w:left w:val="nil"/>
          <w:bottom w:val="nil"/>
          <w:right w:val="nil"/>
          <w:between w:val="nil"/>
        </w:pBdr>
        <w:spacing w:line="240" w:lineRule="auto"/>
        <w:jc w:val="both"/>
        <w:rPr>
          <w:rFonts w:ascii="Calibri" w:eastAsia="Calibri" w:hAnsi="Calibri" w:cs="Calibri"/>
          <w:i/>
          <w:iCs/>
          <w:color w:val="000000"/>
        </w:rPr>
      </w:pPr>
    </w:p>
    <w:p w14:paraId="65484AB8" w14:textId="7C1C9EDB" w:rsidR="00721045" w:rsidRDefault="00207E2A" w:rsidP="00721045">
      <w:pPr>
        <w:pBdr>
          <w:top w:val="nil"/>
          <w:left w:val="nil"/>
          <w:bottom w:val="nil"/>
          <w:right w:val="nil"/>
          <w:between w:val="nil"/>
        </w:pBdr>
        <w:spacing w:line="240" w:lineRule="auto"/>
        <w:jc w:val="both"/>
        <w:rPr>
          <w:rFonts w:asciiTheme="majorHAnsi" w:eastAsia="Calibri" w:hAnsiTheme="majorHAnsi" w:cstheme="majorHAnsi"/>
          <w:sz w:val="20"/>
          <w:szCs w:val="20"/>
        </w:rPr>
      </w:pPr>
      <w:r w:rsidRPr="008B3A29">
        <w:rPr>
          <w:rFonts w:asciiTheme="majorHAnsi" w:hAnsiTheme="majorHAnsi" w:cstheme="majorHAnsi"/>
          <w:sz w:val="20"/>
          <w:szCs w:val="20"/>
          <w:vertAlign w:val="superscript"/>
        </w:rPr>
        <w:footnoteRef/>
      </w:r>
      <w:r w:rsidR="00721045" w:rsidRPr="008B3A29">
        <w:rPr>
          <w:rFonts w:asciiTheme="majorHAnsi" w:eastAsia="Calibri" w:hAnsiTheme="majorHAnsi" w:cstheme="majorHAnsi"/>
          <w:color w:val="1155CC"/>
          <w:sz w:val="20"/>
          <w:szCs w:val="20"/>
        </w:rPr>
        <w:t xml:space="preserve"> </w:t>
      </w:r>
      <w:hyperlink r:id="rId9" w:history="1">
        <w:r w:rsidR="00110C64" w:rsidRPr="00110C64">
          <w:rPr>
            <w:rStyle w:val="Hipercze"/>
            <w:rFonts w:asciiTheme="majorHAnsi" w:eastAsia="Calibri" w:hAnsiTheme="majorHAnsi" w:cstheme="majorHAnsi"/>
            <w:sz w:val="20"/>
            <w:szCs w:val="20"/>
          </w:rPr>
          <w:t>Miesięczna informacja o podmiotach gospodarki narodowej w rejestrze REGON - sierpień 2026</w:t>
        </w:r>
      </w:hyperlink>
    </w:p>
    <w:p w14:paraId="7E8A696F" w14:textId="7AA750D6" w:rsidR="00D21DC8" w:rsidRPr="008B3A29" w:rsidRDefault="006809F9" w:rsidP="00721045">
      <w:pPr>
        <w:pBdr>
          <w:top w:val="nil"/>
          <w:left w:val="nil"/>
          <w:bottom w:val="nil"/>
          <w:right w:val="nil"/>
          <w:between w:val="nil"/>
        </w:pBdr>
        <w:spacing w:line="240" w:lineRule="auto"/>
        <w:jc w:val="both"/>
        <w:rPr>
          <w:rFonts w:asciiTheme="majorHAnsi" w:eastAsia="Calibri" w:hAnsiTheme="majorHAnsi" w:cstheme="majorHAnsi"/>
          <w:sz w:val="20"/>
          <w:szCs w:val="20"/>
          <w:lang w:val="pl-PL"/>
        </w:rPr>
      </w:pPr>
      <w:r>
        <w:rPr>
          <w:rFonts w:asciiTheme="majorHAnsi" w:hAnsiTheme="majorHAnsi" w:cstheme="majorHAnsi"/>
          <w:sz w:val="20"/>
          <w:szCs w:val="20"/>
          <w:vertAlign w:val="superscript"/>
        </w:rPr>
        <w:t>2</w:t>
      </w:r>
      <w:r w:rsidR="00721045" w:rsidRPr="00D736C5">
        <w:rPr>
          <w:rFonts w:asciiTheme="majorHAnsi" w:eastAsia="Calibri" w:hAnsiTheme="majorHAnsi" w:cstheme="majorHAnsi"/>
          <w:color w:val="1155CC"/>
          <w:sz w:val="20"/>
          <w:szCs w:val="20"/>
        </w:rPr>
        <w:t xml:space="preserve"> </w:t>
      </w:r>
      <w:hyperlink r:id="rId10" w:history="1">
        <w:r w:rsidR="00E651DE" w:rsidRPr="00E651DE">
          <w:rPr>
            <w:rStyle w:val="Hipercze"/>
            <w:rFonts w:asciiTheme="majorHAnsi" w:eastAsia="Calibri" w:hAnsiTheme="majorHAnsi" w:cstheme="majorHAnsi"/>
            <w:sz w:val="20"/>
            <w:szCs w:val="20"/>
          </w:rPr>
          <w:t xml:space="preserve">Główny Urząd Statystyczny, </w:t>
        </w:r>
        <w:r w:rsidR="00E651DE" w:rsidRPr="00E651DE">
          <w:rPr>
            <w:rStyle w:val="Hipercze"/>
            <w:rFonts w:asciiTheme="majorHAnsi" w:eastAsia="Calibri" w:hAnsiTheme="majorHAnsi" w:cstheme="majorHAnsi"/>
            <w:sz w:val="20"/>
            <w:szCs w:val="20"/>
            <w:lang w:val="pl-PL"/>
          </w:rPr>
          <w:t>Dane za sierpień 2026 r. (wstępne)</w:t>
        </w:r>
      </w:hyperlink>
      <w:r w:rsidR="00D21DC8">
        <w:rPr>
          <w:rFonts w:asciiTheme="majorHAnsi" w:eastAsia="Calibri" w:hAnsiTheme="majorHAnsi" w:cstheme="majorHAnsi"/>
          <w:sz w:val="20"/>
          <w:szCs w:val="20"/>
        </w:rPr>
        <w:t xml:space="preserve">; </w:t>
      </w:r>
      <w:hyperlink r:id="rId11" w:history="1">
        <w:r w:rsidR="00D21DC8">
          <w:rPr>
            <w:rStyle w:val="Hipercze"/>
            <w:rFonts w:asciiTheme="majorHAnsi" w:eastAsia="Calibri" w:hAnsiTheme="majorHAnsi" w:cstheme="majorHAnsi"/>
            <w:sz w:val="20"/>
            <w:szCs w:val="20"/>
            <w:lang w:val="pl-PL"/>
          </w:rPr>
          <w:t>Ceny produkcji sprzedanej przemysłu oraz budowlano–montażowej</w:t>
        </w:r>
      </w:hyperlink>
      <w:r w:rsidR="00654450">
        <w:rPr>
          <w:rFonts w:asciiTheme="majorHAnsi" w:eastAsia="Calibri" w:hAnsiTheme="majorHAnsi" w:cstheme="majorHAnsi"/>
          <w:sz w:val="20"/>
          <w:szCs w:val="20"/>
          <w:lang w:val="pl-PL"/>
        </w:rPr>
        <w:t xml:space="preserve">; </w:t>
      </w:r>
    </w:p>
    <w:p w14:paraId="6947BCD4" w14:textId="788C145A" w:rsidR="00721045" w:rsidRPr="00D736C5" w:rsidRDefault="006809F9" w:rsidP="00721045">
      <w:pPr>
        <w:pBdr>
          <w:top w:val="nil"/>
          <w:left w:val="nil"/>
          <w:bottom w:val="nil"/>
          <w:right w:val="nil"/>
          <w:between w:val="nil"/>
        </w:pBdr>
        <w:spacing w:line="240" w:lineRule="auto"/>
        <w:jc w:val="both"/>
        <w:rPr>
          <w:rFonts w:asciiTheme="majorHAnsi" w:eastAsia="Calibri" w:hAnsiTheme="majorHAnsi" w:cstheme="majorHAnsi"/>
          <w:sz w:val="20"/>
          <w:szCs w:val="20"/>
        </w:rPr>
      </w:pPr>
      <w:r>
        <w:rPr>
          <w:rFonts w:asciiTheme="majorHAnsi" w:hAnsiTheme="majorHAnsi" w:cstheme="majorHAnsi"/>
          <w:sz w:val="20"/>
          <w:szCs w:val="20"/>
          <w:vertAlign w:val="superscript"/>
        </w:rPr>
        <w:t>3</w:t>
      </w:r>
      <w:r w:rsidR="00721045" w:rsidRPr="00D736C5">
        <w:rPr>
          <w:rFonts w:asciiTheme="majorHAnsi" w:eastAsia="Calibri" w:hAnsiTheme="majorHAnsi" w:cstheme="majorHAnsi"/>
          <w:color w:val="1155CC"/>
          <w:sz w:val="20"/>
          <w:szCs w:val="20"/>
        </w:rPr>
        <w:t xml:space="preserve"> </w:t>
      </w:r>
      <w:hyperlink r:id="rId12">
        <w:r w:rsidR="000C0319" w:rsidRPr="00D736C5">
          <w:rPr>
            <w:rFonts w:asciiTheme="majorHAnsi" w:eastAsia="Calibri" w:hAnsiTheme="majorHAnsi" w:cstheme="majorHAnsi"/>
            <w:color w:val="1155CC"/>
            <w:sz w:val="20"/>
            <w:szCs w:val="20"/>
            <w:u w:val="single"/>
            <w:shd w:val="clear" w:color="auto" w:fill="FCFCFB"/>
            <w:lang w:val="en-US"/>
          </w:rPr>
          <w:t xml:space="preserve">Informacja </w:t>
        </w:r>
        <w:proofErr w:type="spellStart"/>
        <w:r w:rsidR="000C0319" w:rsidRPr="00D736C5">
          <w:rPr>
            <w:rFonts w:asciiTheme="majorHAnsi" w:eastAsia="Calibri" w:hAnsiTheme="majorHAnsi" w:cstheme="majorHAnsi"/>
            <w:color w:val="1155CC"/>
            <w:sz w:val="20"/>
            <w:szCs w:val="20"/>
            <w:u w:val="single"/>
            <w:shd w:val="clear" w:color="auto" w:fill="FCFCFB"/>
            <w:lang w:val="en-US"/>
          </w:rPr>
          <w:t>sygnalna</w:t>
        </w:r>
        <w:proofErr w:type="spellEnd"/>
        <w:r w:rsidR="000C0319" w:rsidRPr="00D736C5">
          <w:rPr>
            <w:rFonts w:asciiTheme="majorHAnsi" w:eastAsia="Calibri" w:hAnsiTheme="majorHAnsi" w:cstheme="majorHAnsi"/>
            <w:color w:val="1155CC"/>
            <w:sz w:val="20"/>
            <w:szCs w:val="20"/>
            <w:u w:val="single"/>
            <w:shd w:val="clear" w:color="auto" w:fill="FCFCFB"/>
            <w:lang w:val="en-US"/>
          </w:rPr>
          <w:t xml:space="preserve"> IRG | </w:t>
        </w:r>
        <w:proofErr w:type="spellStart"/>
        <w:r w:rsidR="000C0319" w:rsidRPr="00D736C5">
          <w:rPr>
            <w:rFonts w:asciiTheme="majorHAnsi" w:eastAsia="Calibri" w:hAnsiTheme="majorHAnsi" w:cstheme="majorHAnsi"/>
            <w:color w:val="1155CC"/>
            <w:sz w:val="20"/>
            <w:szCs w:val="20"/>
            <w:u w:val="single"/>
            <w:shd w:val="clear" w:color="auto" w:fill="FCFCFB"/>
            <w:lang w:val="en-US"/>
          </w:rPr>
          <w:t>Koniunktura</w:t>
        </w:r>
        <w:proofErr w:type="spellEnd"/>
        <w:r w:rsidR="000C0319" w:rsidRPr="00D736C5">
          <w:rPr>
            <w:rFonts w:asciiTheme="majorHAnsi" w:eastAsia="Calibri" w:hAnsiTheme="majorHAnsi" w:cstheme="majorHAnsi"/>
            <w:color w:val="1155CC"/>
            <w:sz w:val="20"/>
            <w:szCs w:val="20"/>
            <w:u w:val="single"/>
            <w:shd w:val="clear" w:color="auto" w:fill="FCFCFB"/>
            <w:lang w:val="en-US"/>
          </w:rPr>
          <w:t xml:space="preserve"> w </w:t>
        </w:r>
        <w:proofErr w:type="spellStart"/>
        <w:r w:rsidR="000C0319" w:rsidRPr="00D736C5">
          <w:rPr>
            <w:rFonts w:asciiTheme="majorHAnsi" w:eastAsia="Calibri" w:hAnsiTheme="majorHAnsi" w:cstheme="majorHAnsi"/>
            <w:color w:val="1155CC"/>
            <w:sz w:val="20"/>
            <w:szCs w:val="20"/>
            <w:u w:val="single"/>
            <w:shd w:val="clear" w:color="auto" w:fill="FCFCFB"/>
            <w:lang w:val="en-US"/>
          </w:rPr>
          <w:t>budownictwie</w:t>
        </w:r>
        <w:proofErr w:type="spellEnd"/>
        <w:r w:rsidR="000C0319" w:rsidRPr="00D736C5">
          <w:rPr>
            <w:rFonts w:asciiTheme="majorHAnsi" w:eastAsia="Calibri" w:hAnsiTheme="majorHAnsi" w:cstheme="majorHAnsi"/>
            <w:color w:val="1155CC"/>
            <w:sz w:val="20"/>
            <w:szCs w:val="20"/>
            <w:u w:val="single"/>
            <w:shd w:val="clear" w:color="auto" w:fill="FCFCFB"/>
            <w:lang w:val="en-US"/>
          </w:rPr>
          <w:t xml:space="preserve"> (III </w:t>
        </w:r>
        <w:proofErr w:type="spellStart"/>
        <w:r w:rsidR="000C0319" w:rsidRPr="00D736C5">
          <w:rPr>
            <w:rFonts w:asciiTheme="majorHAnsi" w:eastAsia="Calibri" w:hAnsiTheme="majorHAnsi" w:cstheme="majorHAnsi"/>
            <w:color w:val="1155CC"/>
            <w:sz w:val="20"/>
            <w:szCs w:val="20"/>
            <w:u w:val="single"/>
            <w:shd w:val="clear" w:color="auto" w:fill="FCFCFB"/>
            <w:lang w:val="en-US"/>
          </w:rPr>
          <w:t>kwartał</w:t>
        </w:r>
        <w:proofErr w:type="spellEnd"/>
        <w:r w:rsidR="000C0319" w:rsidRPr="00D736C5">
          <w:rPr>
            <w:rFonts w:asciiTheme="majorHAnsi" w:eastAsia="Calibri" w:hAnsiTheme="majorHAnsi" w:cstheme="majorHAnsi"/>
            <w:color w:val="1155CC"/>
            <w:sz w:val="20"/>
            <w:szCs w:val="20"/>
            <w:u w:val="single"/>
            <w:shd w:val="clear" w:color="auto" w:fill="FCFCFB"/>
            <w:lang w:val="en-US"/>
          </w:rPr>
          <w:t xml:space="preserve"> 2026)</w:t>
        </w:r>
      </w:hyperlink>
    </w:p>
    <w:p w14:paraId="53EBA795" w14:textId="2FC9BE4B" w:rsidR="000C0319" w:rsidRDefault="006809F9" w:rsidP="00721045">
      <w:pPr>
        <w:pBdr>
          <w:top w:val="nil"/>
          <w:left w:val="nil"/>
          <w:bottom w:val="nil"/>
          <w:right w:val="nil"/>
          <w:between w:val="nil"/>
        </w:pBdr>
        <w:spacing w:line="240" w:lineRule="auto"/>
        <w:jc w:val="both"/>
        <w:rPr>
          <w:rFonts w:asciiTheme="majorHAnsi" w:eastAsia="Calibri" w:hAnsiTheme="majorHAnsi" w:cstheme="majorHAnsi"/>
          <w:sz w:val="20"/>
          <w:szCs w:val="20"/>
        </w:rPr>
      </w:pPr>
      <w:r>
        <w:rPr>
          <w:rFonts w:asciiTheme="majorHAnsi" w:eastAsia="Calibri" w:hAnsiTheme="majorHAnsi" w:cstheme="majorHAnsi"/>
          <w:sz w:val="20"/>
          <w:szCs w:val="20"/>
          <w:vertAlign w:val="superscript"/>
        </w:rPr>
        <w:t>4</w:t>
      </w:r>
      <w:r w:rsidR="000C0319" w:rsidRPr="000C0319">
        <w:rPr>
          <w:rFonts w:asciiTheme="majorHAnsi" w:eastAsia="Calibri" w:hAnsiTheme="majorHAnsi" w:cstheme="majorHAnsi"/>
          <w:sz w:val="20"/>
          <w:szCs w:val="20"/>
        </w:rPr>
        <w:t> </w:t>
      </w:r>
      <w:hyperlink r:id="rId13" w:history="1">
        <w:r w:rsidR="000C0319" w:rsidRPr="000C0319">
          <w:rPr>
            <w:rStyle w:val="Hipercze"/>
            <w:rFonts w:asciiTheme="majorHAnsi" w:eastAsia="Calibri" w:hAnsiTheme="majorHAnsi" w:cstheme="majorHAnsi"/>
            <w:sz w:val="20"/>
            <w:szCs w:val="20"/>
          </w:rPr>
          <w:t>Centralny Ośrodek Informacji Gospodarczej (upadłości firm, dane za czerwiec 2026)</w:t>
        </w:r>
      </w:hyperlink>
      <w:r w:rsidR="000C0319">
        <w:rPr>
          <w:rFonts w:asciiTheme="majorHAnsi" w:eastAsia="Calibri" w:hAnsiTheme="majorHAnsi" w:cstheme="majorHAnsi"/>
          <w:sz w:val="20"/>
          <w:szCs w:val="20"/>
        </w:rPr>
        <w:t xml:space="preserve">; </w:t>
      </w:r>
      <w:hyperlink r:id="rId14" w:history="1">
        <w:r w:rsidR="000C0319" w:rsidRPr="000C0319">
          <w:rPr>
            <w:rStyle w:val="Hipercze"/>
            <w:rFonts w:asciiTheme="majorHAnsi" w:eastAsia="Calibri" w:hAnsiTheme="majorHAnsi" w:cstheme="majorHAnsi"/>
            <w:sz w:val="20"/>
            <w:szCs w:val="20"/>
          </w:rPr>
          <w:t>Centralny Ośrodek Informacji Gospodarczej (restrukturyzacje firm, dane za czerwiec 2026)</w:t>
        </w:r>
      </w:hyperlink>
    </w:p>
    <w:p w14:paraId="2516E51D" w14:textId="77777777" w:rsidR="00207E2A" w:rsidRDefault="00207E2A">
      <w:pPr>
        <w:pBdr>
          <w:top w:val="nil"/>
          <w:left w:val="nil"/>
          <w:bottom w:val="nil"/>
          <w:right w:val="nil"/>
          <w:between w:val="nil"/>
        </w:pBdr>
        <w:spacing w:before="280" w:after="280" w:line="240" w:lineRule="auto"/>
        <w:jc w:val="both"/>
        <w:rPr>
          <w:rFonts w:ascii="Calibri" w:eastAsia="Calibri" w:hAnsi="Calibri" w:cs="Calibri"/>
          <w:color w:val="000000"/>
          <w:sz w:val="24"/>
          <w:szCs w:val="24"/>
        </w:rPr>
      </w:pPr>
    </w:p>
    <w:p w14:paraId="1AB4C164" w14:textId="77777777" w:rsidR="00934747" w:rsidRDefault="00C535FC">
      <w:pPr>
        <w:spacing w:line="300" w:lineRule="auto"/>
        <w:jc w:val="both"/>
        <w:rPr>
          <w:rFonts w:ascii="Calibri" w:eastAsia="Calibri" w:hAnsi="Calibri" w:cs="Calibri"/>
          <w:sz w:val="18"/>
          <w:szCs w:val="18"/>
        </w:rPr>
      </w:pPr>
      <w:r>
        <w:rPr>
          <w:rFonts w:ascii="Calibri" w:eastAsia="Calibri" w:hAnsi="Calibri" w:cs="Calibri"/>
          <w:b/>
          <w:bCs/>
          <w:sz w:val="18"/>
          <w:szCs w:val="18"/>
        </w:rPr>
        <w:t>BIG InfoMonitor</w:t>
      </w:r>
      <w:r>
        <w:rPr>
          <w:rFonts w:ascii="Calibri" w:eastAsia="Calibri" w:hAnsi="Calibri" w:cs="Calibri"/>
          <w:sz w:val="18"/>
          <w:szCs w:val="18"/>
        </w:rPr>
        <w:t xml:space="preserve">, spółka z Grupy BIK, już od 22 lat dostarcza rynkowi wiarygodne informacje o zadłużeniu osób fizycznych i firm. Pomaga w ten sposób w przeciwdziałaniu zatorom płatniczym i odzyskiwaniu należności. Spółka prowadzi rejestr dłużników, do którego na warunkach określonych w Ustawie o BIG, każdy może wpisać dłużnika – firmę lub konsumenta zalegającego z płatnościami. Oprócz zaległych długów BIG InfoMonitor gromadzi i udostępnia pozytywne informacje gospodarcze, czyli dane o terminowych płatnościach. Raporty z BIG InfoMonitor zawierają wiarygodne informacje o kondycji finansowej osób oraz firm i tym samym wspierają podmioty gospodarcze w dbaniu o płynność finansową.  BIG InfoMonitor posiada jedną z największych baz dłużników – zasoby rejestru obejmują ponad 114 mln informacji gospodarczych. Od początku działalności do rejestru dłużników BIG InfoMonitor wpisano blisko 42 mln zaległych zobowiązań o wartości 660 mld zł. Banki, firmy pożyczkowe i inne podmioty z rynku chętnie korzystają z raportów z BIG InfoMonitor w swoich procesach sprzedażowych. Badają w ten sposób wiarygodność płatniczą swoich klientów. Od początku działania BIG InfoMonitor udostępnił 363 mln raportów o wiarygodności płatniczej osób i firm. </w:t>
      </w:r>
    </w:p>
    <w:p w14:paraId="236BCEC1" w14:textId="685D8A30" w:rsidR="00934747" w:rsidRDefault="00C535FC">
      <w:pPr>
        <w:spacing w:line="300" w:lineRule="auto"/>
        <w:jc w:val="both"/>
        <w:rPr>
          <w:rFonts w:ascii="Calibri" w:eastAsia="Calibri" w:hAnsi="Calibri" w:cs="Calibri"/>
          <w:sz w:val="18"/>
          <w:szCs w:val="18"/>
        </w:rPr>
      </w:pPr>
      <w:r>
        <w:rPr>
          <w:rFonts w:ascii="Calibri" w:eastAsia="Calibri" w:hAnsi="Calibri" w:cs="Calibri"/>
          <w:sz w:val="18"/>
          <w:szCs w:val="18"/>
        </w:rPr>
        <w:t xml:space="preserve">Informacje o dłużnikach przekazują do BIG InfoMonitor m.in. dostawcy energii elektrycznej, gazu, wody i inne przedsiębiorstwa użyteczności publicznej, banki, firmy pożyczkowe, operatorzy telefonii stacjonarnej i komórkowej, firmy ubezpieczeniowe, faktoringowe, leasingowe, sektor MŚP i duże firmy, zarządcy nieruchomości, transport publiczny, sądy, gminy i urzędy miasta, a także osoby fizyczne. </w:t>
      </w:r>
    </w:p>
    <w:p w14:paraId="79E78924" w14:textId="77777777" w:rsidR="00934747" w:rsidRDefault="00C535FC">
      <w:pPr>
        <w:spacing w:line="300" w:lineRule="auto"/>
        <w:jc w:val="both"/>
        <w:rPr>
          <w:rFonts w:ascii="Calibri" w:eastAsia="Calibri" w:hAnsi="Calibri" w:cs="Calibri"/>
          <w:sz w:val="20"/>
          <w:szCs w:val="20"/>
        </w:rPr>
      </w:pPr>
      <w:r>
        <w:rPr>
          <w:rFonts w:ascii="Calibri" w:eastAsia="Calibri" w:hAnsi="Calibri" w:cs="Calibri"/>
          <w:sz w:val="18"/>
          <w:szCs w:val="18"/>
        </w:rPr>
        <w:t xml:space="preserve">BIG InfoMonitor umożliwia dostęp do baz: Biura Informacji Kredytowej i Związku Banków Polskich, dzięki czemu stanowi platformę wymiany informacji pomiędzy sektorem bankowym i pozostałymi sektorami gospodarki. Głównym akcjonariuszem BIG InfoMonitor jest Biuro Informacji Kredytowej. Więcej na </w:t>
      </w:r>
      <w:hyperlink r:id="rId15">
        <w:r w:rsidR="00934747">
          <w:rPr>
            <w:rFonts w:ascii="Calibri" w:eastAsia="Calibri" w:hAnsi="Calibri" w:cs="Calibri"/>
            <w:color w:val="0563C1"/>
            <w:sz w:val="18"/>
            <w:szCs w:val="18"/>
            <w:u w:val="single"/>
          </w:rPr>
          <w:t>www.big.pl</w:t>
        </w:r>
      </w:hyperlink>
    </w:p>
    <w:p w14:paraId="428531C6" w14:textId="77777777" w:rsidR="00934747" w:rsidRDefault="00934747">
      <w:pPr>
        <w:spacing w:line="300" w:lineRule="auto"/>
        <w:jc w:val="both"/>
        <w:rPr>
          <w:rFonts w:ascii="Calibri" w:eastAsia="Calibri" w:hAnsi="Calibri" w:cs="Calibri"/>
          <w:sz w:val="18"/>
          <w:szCs w:val="18"/>
        </w:rPr>
      </w:pPr>
    </w:p>
    <w:p w14:paraId="0AD350F9" w14:textId="77777777" w:rsidR="00934747" w:rsidRDefault="00C535FC">
      <w:pPr>
        <w:spacing w:line="240" w:lineRule="auto"/>
        <w:jc w:val="both"/>
        <w:rPr>
          <w:rFonts w:ascii="Calibri" w:eastAsia="Calibri" w:hAnsi="Calibri" w:cs="Calibri"/>
          <w:b/>
          <w:bCs/>
          <w:sz w:val="18"/>
          <w:szCs w:val="18"/>
        </w:rPr>
      </w:pPr>
      <w:r>
        <w:rPr>
          <w:rFonts w:ascii="Calibri" w:eastAsia="Calibri" w:hAnsi="Calibri" w:cs="Calibri"/>
          <w:b/>
          <w:bCs/>
          <w:sz w:val="18"/>
          <w:szCs w:val="18"/>
        </w:rPr>
        <w:t>Kontakt dla mediów:</w:t>
      </w:r>
    </w:p>
    <w:tbl>
      <w:tblPr>
        <w:tblStyle w:val="a"/>
        <w:tblW w:w="10455" w:type="dxa"/>
        <w:tblInd w:w="0" w:type="dxa"/>
        <w:tblLayout w:type="fixed"/>
        <w:tblLook w:val="0400" w:firstRow="0" w:lastRow="0" w:firstColumn="0" w:lastColumn="0" w:noHBand="0" w:noVBand="1"/>
      </w:tblPr>
      <w:tblGrid>
        <w:gridCol w:w="3779"/>
        <w:gridCol w:w="3338"/>
        <w:gridCol w:w="3338"/>
      </w:tblGrid>
      <w:tr w:rsidR="00934747" w14:paraId="638F7F2B" w14:textId="77777777">
        <w:trPr>
          <w:trHeight w:val="1440"/>
        </w:trPr>
        <w:tc>
          <w:tcPr>
            <w:tcW w:w="3779" w:type="dxa"/>
          </w:tcPr>
          <w:p w14:paraId="67D62457" w14:textId="77777777" w:rsidR="00934747" w:rsidRDefault="00C535FC">
            <w:pPr>
              <w:spacing w:line="240" w:lineRule="auto"/>
              <w:ind w:left="-108"/>
              <w:jc w:val="both"/>
              <w:rPr>
                <w:rFonts w:ascii="Calibri" w:eastAsia="Calibri" w:hAnsi="Calibri" w:cs="Calibri"/>
                <w:sz w:val="18"/>
                <w:szCs w:val="18"/>
              </w:rPr>
            </w:pPr>
            <w:r>
              <w:rPr>
                <w:rFonts w:ascii="Calibri" w:eastAsia="Calibri" w:hAnsi="Calibri" w:cs="Calibri"/>
                <w:sz w:val="18"/>
                <w:szCs w:val="18"/>
              </w:rPr>
              <w:t>Diana Borowiecka</w:t>
            </w:r>
          </w:p>
          <w:p w14:paraId="1D3D0D2D" w14:textId="77777777" w:rsidR="00934747" w:rsidRDefault="00C535FC">
            <w:pPr>
              <w:spacing w:line="240" w:lineRule="auto"/>
              <w:ind w:left="-108"/>
              <w:jc w:val="both"/>
              <w:rPr>
                <w:rFonts w:ascii="Calibri" w:eastAsia="Calibri" w:hAnsi="Calibri" w:cs="Calibri"/>
                <w:sz w:val="18"/>
                <w:szCs w:val="18"/>
              </w:rPr>
            </w:pPr>
            <w:r>
              <w:rPr>
                <w:rFonts w:ascii="Calibri" w:eastAsia="Calibri" w:hAnsi="Calibri" w:cs="Calibri"/>
                <w:sz w:val="18"/>
                <w:szCs w:val="18"/>
              </w:rPr>
              <w:t>Biuro PR i Komunikacji</w:t>
            </w:r>
          </w:p>
          <w:p w14:paraId="4A2F3C95" w14:textId="77777777" w:rsidR="00934747" w:rsidRDefault="00C535FC">
            <w:pPr>
              <w:spacing w:line="240" w:lineRule="auto"/>
              <w:ind w:left="-108"/>
              <w:jc w:val="both"/>
              <w:rPr>
                <w:rFonts w:ascii="Calibri" w:eastAsia="Calibri" w:hAnsi="Calibri" w:cs="Calibri"/>
                <w:sz w:val="18"/>
                <w:szCs w:val="18"/>
              </w:rPr>
            </w:pPr>
            <w:r>
              <w:rPr>
                <w:rFonts w:ascii="Calibri" w:eastAsia="Calibri" w:hAnsi="Calibri" w:cs="Calibri"/>
                <w:sz w:val="18"/>
                <w:szCs w:val="18"/>
              </w:rPr>
              <w:t>tel.: +48 22 486 56 46</w:t>
            </w:r>
          </w:p>
          <w:p w14:paraId="1133F3AD" w14:textId="77777777" w:rsidR="00934747" w:rsidRDefault="00C535FC">
            <w:pPr>
              <w:spacing w:line="240" w:lineRule="auto"/>
              <w:ind w:left="-108"/>
              <w:jc w:val="both"/>
              <w:rPr>
                <w:rFonts w:ascii="Calibri" w:eastAsia="Calibri" w:hAnsi="Calibri" w:cs="Calibri"/>
                <w:sz w:val="18"/>
                <w:szCs w:val="18"/>
              </w:rPr>
            </w:pPr>
            <w:r>
              <w:rPr>
                <w:rFonts w:ascii="Calibri" w:eastAsia="Calibri" w:hAnsi="Calibri" w:cs="Calibri"/>
                <w:sz w:val="18"/>
                <w:szCs w:val="18"/>
              </w:rPr>
              <w:t>kom.: + 48 607 146 583</w:t>
            </w:r>
          </w:p>
          <w:p w14:paraId="1117FBA2" w14:textId="77777777" w:rsidR="00934747" w:rsidRDefault="00C535FC">
            <w:pPr>
              <w:spacing w:line="240" w:lineRule="auto"/>
              <w:ind w:left="-108"/>
              <w:jc w:val="both"/>
              <w:rPr>
                <w:rFonts w:ascii="Calibri" w:eastAsia="Calibri" w:hAnsi="Calibri" w:cs="Calibri"/>
                <w:sz w:val="20"/>
                <w:szCs w:val="20"/>
              </w:rPr>
            </w:pPr>
            <w:r>
              <w:rPr>
                <w:rFonts w:ascii="Calibri" w:eastAsia="Calibri" w:hAnsi="Calibri" w:cs="Calibri"/>
                <w:sz w:val="18"/>
                <w:szCs w:val="18"/>
              </w:rPr>
              <w:t>diana.borowiecka@big.pl</w:t>
            </w:r>
          </w:p>
        </w:tc>
        <w:tc>
          <w:tcPr>
            <w:tcW w:w="3338" w:type="dxa"/>
          </w:tcPr>
          <w:p w14:paraId="601D29C6" w14:textId="77777777" w:rsidR="00934747" w:rsidRDefault="00934747">
            <w:pPr>
              <w:spacing w:line="240" w:lineRule="auto"/>
              <w:ind w:left="-108"/>
              <w:jc w:val="both"/>
              <w:rPr>
                <w:rFonts w:ascii="Calibri" w:eastAsia="Calibri" w:hAnsi="Calibri" w:cs="Calibri"/>
                <w:sz w:val="18"/>
                <w:szCs w:val="18"/>
              </w:rPr>
            </w:pPr>
          </w:p>
        </w:tc>
        <w:tc>
          <w:tcPr>
            <w:tcW w:w="3338" w:type="dxa"/>
          </w:tcPr>
          <w:p w14:paraId="59D88C69" w14:textId="77777777" w:rsidR="00934747" w:rsidRDefault="00934747">
            <w:pPr>
              <w:spacing w:line="240" w:lineRule="auto"/>
              <w:jc w:val="both"/>
              <w:rPr>
                <w:rFonts w:ascii="Calibri" w:eastAsia="Calibri" w:hAnsi="Calibri" w:cs="Calibri"/>
                <w:sz w:val="20"/>
                <w:szCs w:val="20"/>
              </w:rPr>
            </w:pPr>
          </w:p>
        </w:tc>
      </w:tr>
    </w:tbl>
    <w:p w14:paraId="130E8B76" w14:textId="77777777" w:rsidR="00934747" w:rsidRDefault="00934747">
      <w:pPr>
        <w:jc w:val="both"/>
        <w:rPr>
          <w:rFonts w:ascii="Calibri" w:eastAsia="Calibri" w:hAnsi="Calibri" w:cs="Calibri"/>
        </w:rPr>
      </w:pPr>
    </w:p>
    <w:p w14:paraId="3008E47E" w14:textId="77777777" w:rsidR="00934747" w:rsidRDefault="00934747">
      <w:pPr>
        <w:spacing w:after="160" w:line="360" w:lineRule="auto"/>
        <w:jc w:val="both"/>
        <w:rPr>
          <w:color w:val="000000"/>
        </w:rPr>
      </w:pPr>
    </w:p>
    <w:p w14:paraId="60327935" w14:textId="77777777" w:rsidR="00934747" w:rsidRDefault="00934747">
      <w:pPr>
        <w:spacing w:line="300" w:lineRule="auto"/>
        <w:rPr>
          <w:rFonts w:ascii="Calibri" w:eastAsia="Calibri" w:hAnsi="Calibri" w:cs="Calibri"/>
          <w:color w:val="161616"/>
          <w:sz w:val="20"/>
          <w:szCs w:val="20"/>
        </w:rPr>
      </w:pPr>
    </w:p>
    <w:p w14:paraId="0B60D261" w14:textId="77777777" w:rsidR="00934747" w:rsidRDefault="00934747">
      <w:pPr>
        <w:jc w:val="both"/>
        <w:rPr>
          <w:rFonts w:ascii="Calibri" w:eastAsia="Calibri" w:hAnsi="Calibri" w:cs="Calibri"/>
        </w:rPr>
      </w:pPr>
    </w:p>
    <w:sectPr w:rsidR="00934747">
      <w:headerReference w:type="even" r:id="rId16"/>
      <w:headerReference w:type="default" r:id="rId17"/>
      <w:footerReference w:type="even" r:id="rId18"/>
      <w:footerReference w:type="default" r:id="rId19"/>
      <w:headerReference w:type="first" r:id="rId20"/>
      <w:footerReference w:type="first" r:id="rId2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D1FDE" w14:textId="77777777" w:rsidR="00217F5E" w:rsidRDefault="00217F5E">
      <w:pPr>
        <w:spacing w:line="240" w:lineRule="auto"/>
      </w:pPr>
      <w:r>
        <w:separator/>
      </w:r>
    </w:p>
  </w:endnote>
  <w:endnote w:type="continuationSeparator" w:id="0">
    <w:p w14:paraId="403DCB1E" w14:textId="77777777" w:rsidR="00217F5E" w:rsidRDefault="00217F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109BA8CD-E8D5-4AD1-8E53-91D74799753B}"/>
    <w:embedBold r:id="rId2" w:fontKey="{EDE41C43-84A2-4C93-9B2B-24E4E5ED86CA}"/>
    <w:embedItalic r:id="rId3" w:fontKey="{19E66E33-BF41-4AF9-A568-DD906B242C60}"/>
  </w:font>
  <w:font w:name="Quattrocento Sans">
    <w:charset w:val="00"/>
    <w:family w:val="swiss"/>
    <w:pitch w:val="variable"/>
    <w:sig w:usb0="800000BF" w:usb1="4000005B" w:usb2="00000000" w:usb3="00000000" w:csb0="00000001" w:csb1="00000000"/>
    <w:embedRegular r:id="rId4" w:fontKey="{53C8C289-0EC9-4348-B9E0-DDB20E73AEB5}"/>
  </w:font>
  <w:font w:name="Aptos">
    <w:charset w:val="00"/>
    <w:family w:val="swiss"/>
    <w:pitch w:val="variable"/>
    <w:sig w:usb0="20000287" w:usb1="00000003" w:usb2="00000000" w:usb3="00000000" w:csb0="0000019F" w:csb1="00000000"/>
    <w:embedRegular r:id="rId5" w:fontKey="{A32A34E7-5AA3-4BF8-800A-1F1E07123316}"/>
  </w:font>
  <w:font w:name="Cambria">
    <w:panose1 w:val="02040503050406030204"/>
    <w:charset w:val="EE"/>
    <w:family w:val="roman"/>
    <w:pitch w:val="variable"/>
    <w:sig w:usb0="E00006FF" w:usb1="420024FF" w:usb2="02000000" w:usb3="00000000" w:csb0="0000019F" w:csb1="00000000"/>
    <w:embedRegular r:id="rId6" w:fontKey="{F35CF8DE-239D-4E7B-AB81-FFAACCD6A8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272C" w14:textId="77777777" w:rsidR="00934747" w:rsidRDefault="00C535FC">
    <w:pPr>
      <w:pBdr>
        <w:top w:val="nil"/>
        <w:left w:val="nil"/>
        <w:bottom w:val="nil"/>
        <w:right w:val="nil"/>
        <w:between w:val="nil"/>
      </w:pBdr>
      <w:tabs>
        <w:tab w:val="center" w:pos="4536"/>
        <w:tab w:val="right" w:pos="9072"/>
      </w:tabs>
      <w:spacing w:line="240" w:lineRule="auto"/>
      <w:rPr>
        <w:color w:val="000000"/>
      </w:rPr>
    </w:pPr>
    <w:r>
      <w:rPr>
        <w:noProof/>
      </w:rPr>
      <mc:AlternateContent>
        <mc:Choice Requires="wps">
          <w:drawing>
            <wp:anchor distT="0" distB="0" distL="0" distR="0" simplePos="0" relativeHeight="251661312" behindDoc="0" locked="0" layoutInCell="1" hidden="0" allowOverlap="1" wp14:anchorId="142DDB96" wp14:editId="3E4DB4F3">
              <wp:simplePos x="0" y="0"/>
              <wp:positionH relativeFrom="column">
                <wp:posOffset>3602673</wp:posOffset>
              </wp:positionH>
              <wp:positionV relativeFrom="paragraph">
                <wp:posOffset>-10071498</wp:posOffset>
              </wp:positionV>
              <wp:extent cx="1221105" cy="378460"/>
              <wp:effectExtent l="0" t="0" r="0" b="0"/>
              <wp:wrapNone/>
              <wp:docPr id="669145061" name="Prostokąt 669145061" descr="Informacje Jawne"/>
              <wp:cNvGraphicFramePr/>
              <a:graphic xmlns:a="http://schemas.openxmlformats.org/drawingml/2006/main">
                <a:graphicData uri="http://schemas.microsoft.com/office/word/2010/wordprocessingShape">
                  <wps:wsp>
                    <wps:cNvSpPr/>
                    <wps:spPr>
                      <a:xfrm>
                        <a:off x="4740210" y="3595533"/>
                        <a:ext cx="1211580" cy="368935"/>
                      </a:xfrm>
                      <a:prstGeom prst="rect">
                        <a:avLst/>
                      </a:prstGeom>
                      <a:noFill/>
                      <a:ln>
                        <a:noFill/>
                      </a:ln>
                    </wps:spPr>
                    <wps:txbx>
                      <w:txbxContent>
                        <w:p w14:paraId="16903847" w14:textId="77777777" w:rsidR="00934747" w:rsidRDefault="00C535FC">
                          <w:pPr>
                            <w:spacing w:line="275" w:lineRule="auto"/>
                            <w:textDirection w:val="btLr"/>
                          </w:pPr>
                          <w:r>
                            <w:rPr>
                              <w:rFonts w:ascii="Aptos" w:eastAsia="Aptos" w:hAnsi="Aptos" w:cs="Aptos"/>
                              <w:color w:val="008000"/>
                              <w:sz w:val="20"/>
                            </w:rPr>
                            <w:t>Informacje Jawne</w:t>
                          </w:r>
                        </w:p>
                      </w:txbxContent>
                    </wps:txbx>
                    <wps:bodyPr spcFirstLastPara="1" wrap="square" lIns="0" tIns="0" rIns="254000" bIns="190500" anchor="b" anchorCtr="0">
                      <a:noAutofit/>
                    </wps:bodyPr>
                  </wps:wsp>
                </a:graphicData>
              </a:graphic>
            </wp:anchor>
          </w:drawing>
        </mc:Choice>
        <mc:Fallback>
          <w:pict>
            <v:rect w14:anchorId="142DDB96" id="Prostokąt 669145061" o:spid="_x0000_s1026" alt="Informacje Jawne" style="position:absolute;margin-left:283.7pt;margin-top:-793.05pt;width:96.15pt;height:29.8pt;z-index:25166131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" filled="f" stroked="f">
              <v:textbox inset="0,0,20pt,15pt">
                <w:txbxContent>
                  <w:p w14:paraId="16903847" w14:textId="77777777" w:rsidR="00934747" w:rsidRDefault="00C535FC">
                    <w:pPr>
                      <w:spacing w:line="275" w:lineRule="auto"/>
                      <w:textDirection w:val="btLr"/>
                    </w:pPr>
                    <w:r>
                      <w:rPr>
                        <w:rFonts w:ascii="Aptos" w:eastAsia="Aptos" w:hAnsi="Aptos" w:cs="Aptos"/>
                        <w:color w:val="008000"/>
                        <w:sz w:val="20"/>
                      </w:rPr>
                      <w:t>Informacje Jawne</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F63C6" w14:textId="77777777" w:rsidR="00934747" w:rsidRDefault="00C535FC">
    <w:pPr>
      <w:pBdr>
        <w:top w:val="nil"/>
        <w:left w:val="nil"/>
        <w:bottom w:val="nil"/>
        <w:right w:val="nil"/>
        <w:between w:val="nil"/>
      </w:pBdr>
      <w:tabs>
        <w:tab w:val="center" w:pos="4536"/>
        <w:tab w:val="right" w:pos="9072"/>
      </w:tabs>
      <w:spacing w:line="240" w:lineRule="auto"/>
      <w:rPr>
        <w:color w:val="000000"/>
      </w:rPr>
    </w:pPr>
    <w:r>
      <w:rPr>
        <w:noProof/>
      </w:rPr>
      <mc:AlternateContent>
        <mc:Choice Requires="wps">
          <w:drawing>
            <wp:anchor distT="0" distB="0" distL="0" distR="0" simplePos="0" relativeHeight="251659264" behindDoc="0" locked="0" layoutInCell="1" hidden="0" allowOverlap="1" wp14:anchorId="4623B59A" wp14:editId="62FAC14A">
              <wp:simplePos x="0" y="0"/>
              <wp:positionH relativeFrom="column">
                <wp:posOffset>3602673</wp:posOffset>
              </wp:positionH>
              <wp:positionV relativeFrom="paragraph">
                <wp:posOffset>-10071498</wp:posOffset>
              </wp:positionV>
              <wp:extent cx="1221105" cy="378460"/>
              <wp:effectExtent l="0" t="0" r="0" b="0"/>
              <wp:wrapNone/>
              <wp:docPr id="669145062" name="Prostokąt 669145062" descr="Informacje Jawne"/>
              <wp:cNvGraphicFramePr/>
              <a:graphic xmlns:a="http://schemas.openxmlformats.org/drawingml/2006/main">
                <a:graphicData uri="http://schemas.microsoft.com/office/word/2010/wordprocessingShape">
                  <wps:wsp>
                    <wps:cNvSpPr/>
                    <wps:spPr>
                      <a:xfrm>
                        <a:off x="4740210" y="3595533"/>
                        <a:ext cx="1211580" cy="368935"/>
                      </a:xfrm>
                      <a:prstGeom prst="rect">
                        <a:avLst/>
                      </a:prstGeom>
                      <a:noFill/>
                      <a:ln>
                        <a:noFill/>
                      </a:ln>
                    </wps:spPr>
                    <wps:txbx>
                      <w:txbxContent>
                        <w:p w14:paraId="754BA6C4" w14:textId="77777777" w:rsidR="00934747" w:rsidRDefault="00C535FC">
                          <w:pPr>
                            <w:spacing w:line="275" w:lineRule="auto"/>
                            <w:textDirection w:val="btLr"/>
                          </w:pPr>
                          <w:r>
                            <w:rPr>
                              <w:rFonts w:ascii="Aptos" w:eastAsia="Aptos" w:hAnsi="Aptos" w:cs="Aptos"/>
                              <w:color w:val="008000"/>
                              <w:sz w:val="20"/>
                            </w:rPr>
                            <w:t>Informacje Jawne</w:t>
                          </w:r>
                        </w:p>
                      </w:txbxContent>
                    </wps:txbx>
                    <wps:bodyPr spcFirstLastPara="1" wrap="square" lIns="0" tIns="0" rIns="254000" bIns="190500" anchor="b" anchorCtr="0">
                      <a:noAutofit/>
                    </wps:bodyPr>
                  </wps:wsp>
                </a:graphicData>
              </a:graphic>
            </wp:anchor>
          </w:drawing>
        </mc:Choice>
        <mc:Fallback>
          <w:pict>
            <v:rect w14:anchorId="4623B59A" id="Prostokąt 669145062" o:spid="_x0000_s1027" alt="Informacje Jawne" style="position:absolute;margin-left:283.7pt;margin-top:-793.05pt;width:96.15pt;height:29.8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" filled="f" stroked="f">
              <v:textbox inset="0,0,20pt,15pt">
                <w:txbxContent>
                  <w:p w14:paraId="754BA6C4" w14:textId="77777777" w:rsidR="00934747" w:rsidRDefault="00C535FC">
                    <w:pPr>
                      <w:spacing w:line="275" w:lineRule="auto"/>
                      <w:textDirection w:val="btLr"/>
                    </w:pPr>
                    <w:r>
                      <w:rPr>
                        <w:rFonts w:ascii="Aptos" w:eastAsia="Aptos" w:hAnsi="Aptos" w:cs="Aptos"/>
                        <w:color w:val="008000"/>
                        <w:sz w:val="20"/>
                      </w:rPr>
                      <w:t>Informacje Jawne</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61E1" w14:textId="77777777" w:rsidR="00934747" w:rsidRDefault="00C535FC">
    <w:pPr>
      <w:pBdr>
        <w:top w:val="nil"/>
        <w:left w:val="nil"/>
        <w:bottom w:val="nil"/>
        <w:right w:val="nil"/>
        <w:between w:val="nil"/>
      </w:pBdr>
      <w:tabs>
        <w:tab w:val="center" w:pos="4536"/>
        <w:tab w:val="right" w:pos="9072"/>
      </w:tabs>
      <w:spacing w:line="240" w:lineRule="auto"/>
      <w:rPr>
        <w:color w:val="000000"/>
      </w:rPr>
    </w:pPr>
    <w:r>
      <w:rPr>
        <w:noProof/>
      </w:rPr>
      <mc:AlternateContent>
        <mc:Choice Requires="wps">
          <w:drawing>
            <wp:anchor distT="0" distB="0" distL="0" distR="0" simplePos="0" relativeHeight="251660288" behindDoc="0" locked="0" layoutInCell="1" hidden="0" allowOverlap="1" wp14:anchorId="48D626BF" wp14:editId="5A9958AF">
              <wp:simplePos x="0" y="0"/>
              <wp:positionH relativeFrom="column">
                <wp:posOffset>3602673</wp:posOffset>
              </wp:positionH>
              <wp:positionV relativeFrom="paragraph">
                <wp:posOffset>-10071498</wp:posOffset>
              </wp:positionV>
              <wp:extent cx="1221105" cy="378460"/>
              <wp:effectExtent l="0" t="0" r="0" b="0"/>
              <wp:wrapNone/>
              <wp:docPr id="669145060" name="Prostokąt 669145060" descr="Informacje Jawne"/>
              <wp:cNvGraphicFramePr/>
              <a:graphic xmlns:a="http://schemas.openxmlformats.org/drawingml/2006/main">
                <a:graphicData uri="http://schemas.microsoft.com/office/word/2010/wordprocessingShape">
                  <wps:wsp>
                    <wps:cNvSpPr/>
                    <wps:spPr>
                      <a:xfrm>
                        <a:off x="4740210" y="3595533"/>
                        <a:ext cx="1211580" cy="368935"/>
                      </a:xfrm>
                      <a:prstGeom prst="rect">
                        <a:avLst/>
                      </a:prstGeom>
                      <a:noFill/>
                      <a:ln>
                        <a:noFill/>
                      </a:ln>
                    </wps:spPr>
                    <wps:txbx>
                      <w:txbxContent>
                        <w:p w14:paraId="0B750FCF" w14:textId="77777777" w:rsidR="00934747" w:rsidRDefault="00C535FC">
                          <w:pPr>
                            <w:spacing w:line="275" w:lineRule="auto"/>
                            <w:textDirection w:val="btLr"/>
                          </w:pPr>
                          <w:r>
                            <w:rPr>
                              <w:rFonts w:ascii="Aptos" w:eastAsia="Aptos" w:hAnsi="Aptos" w:cs="Aptos"/>
                              <w:color w:val="008000"/>
                              <w:sz w:val="20"/>
                            </w:rPr>
                            <w:t>Informacje Jawne</w:t>
                          </w:r>
                        </w:p>
                      </w:txbxContent>
                    </wps:txbx>
                    <wps:bodyPr spcFirstLastPara="1" wrap="square" lIns="0" tIns="0" rIns="254000" bIns="190500" anchor="b" anchorCtr="0">
                      <a:noAutofit/>
                    </wps:bodyPr>
                  </wps:wsp>
                </a:graphicData>
              </a:graphic>
            </wp:anchor>
          </w:drawing>
        </mc:Choice>
        <mc:Fallback>
          <w:pict>
            <v:rect w14:anchorId="48D626BF" id="Prostokąt 669145060" o:spid="_x0000_s1028" alt="Informacje Jawne" style="position:absolute;margin-left:283.7pt;margin-top:-793.05pt;width:96.15pt;height:29.8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" filled="f" stroked="f">
              <v:textbox inset="0,0,20pt,15pt">
                <w:txbxContent>
                  <w:p w14:paraId="0B750FCF" w14:textId="77777777" w:rsidR="00934747" w:rsidRDefault="00C535FC">
                    <w:pPr>
                      <w:spacing w:line="275" w:lineRule="auto"/>
                      <w:textDirection w:val="btLr"/>
                    </w:pPr>
                    <w:r>
                      <w:rPr>
                        <w:rFonts w:ascii="Aptos" w:eastAsia="Aptos" w:hAnsi="Aptos" w:cs="Aptos"/>
                        <w:color w:val="008000"/>
                        <w:sz w:val="20"/>
                      </w:rPr>
                      <w:t>Informacje Jawne</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949CD" w14:textId="77777777" w:rsidR="00217F5E" w:rsidRDefault="00217F5E">
      <w:pPr>
        <w:spacing w:line="240" w:lineRule="auto"/>
      </w:pPr>
      <w:r>
        <w:separator/>
      </w:r>
    </w:p>
  </w:footnote>
  <w:footnote w:type="continuationSeparator" w:id="0">
    <w:p w14:paraId="3605DCF3" w14:textId="77777777" w:rsidR="00217F5E" w:rsidRDefault="00217F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B60EA" w14:textId="77777777" w:rsidR="00934747" w:rsidRDefault="00934747">
    <w:pPr>
      <w:pBdr>
        <w:top w:val="nil"/>
        <w:left w:val="nil"/>
        <w:bottom w:val="nil"/>
        <w:right w:val="nil"/>
        <w:between w:val="nil"/>
      </w:pBdr>
      <w:tabs>
        <w:tab w:val="center" w:pos="4536"/>
        <w:tab w:val="right" w:pos="9072"/>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329B5" w14:textId="77777777" w:rsidR="00934747" w:rsidRDefault="00C535FC">
    <w:r>
      <w:rPr>
        <w:noProof/>
      </w:rPr>
      <w:drawing>
        <wp:anchor distT="0" distB="0" distL="0" distR="0" simplePos="0" relativeHeight="251658240" behindDoc="0" locked="0" layoutInCell="1" hidden="0" allowOverlap="1" wp14:anchorId="6DA7A4C9" wp14:editId="536992B4">
          <wp:simplePos x="0" y="0"/>
          <wp:positionH relativeFrom="column">
            <wp:posOffset>0</wp:posOffset>
          </wp:positionH>
          <wp:positionV relativeFrom="paragraph">
            <wp:posOffset>0</wp:posOffset>
          </wp:positionV>
          <wp:extent cx="2266950" cy="1197584"/>
          <wp:effectExtent l="0" t="0" r="0" b="0"/>
          <wp:wrapTopAndBottom distT="0" distB="0"/>
          <wp:docPr id="66914506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66950" cy="1197584"/>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995E2" w14:textId="77777777" w:rsidR="00934747" w:rsidRDefault="00934747">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50E5C"/>
    <w:multiLevelType w:val="multilevel"/>
    <w:tmpl w:val="F274F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24555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747"/>
    <w:rsid w:val="000C0319"/>
    <w:rsid w:val="000C456A"/>
    <w:rsid w:val="000C7560"/>
    <w:rsid w:val="00110C64"/>
    <w:rsid w:val="00147871"/>
    <w:rsid w:val="001B5C83"/>
    <w:rsid w:val="001C696F"/>
    <w:rsid w:val="001E04FC"/>
    <w:rsid w:val="00207E2A"/>
    <w:rsid w:val="002147C6"/>
    <w:rsid w:val="00217F5E"/>
    <w:rsid w:val="0028158C"/>
    <w:rsid w:val="00292256"/>
    <w:rsid w:val="002B613D"/>
    <w:rsid w:val="00310EF7"/>
    <w:rsid w:val="00333563"/>
    <w:rsid w:val="003B5B46"/>
    <w:rsid w:val="003F5C45"/>
    <w:rsid w:val="004348E7"/>
    <w:rsid w:val="00453711"/>
    <w:rsid w:val="0049611C"/>
    <w:rsid w:val="004A7EC5"/>
    <w:rsid w:val="004C0EB1"/>
    <w:rsid w:val="004E1115"/>
    <w:rsid w:val="00574864"/>
    <w:rsid w:val="0064036E"/>
    <w:rsid w:val="00654450"/>
    <w:rsid w:val="006809F9"/>
    <w:rsid w:val="00690487"/>
    <w:rsid w:val="00693165"/>
    <w:rsid w:val="006A76D3"/>
    <w:rsid w:val="00721045"/>
    <w:rsid w:val="00774435"/>
    <w:rsid w:val="00797A21"/>
    <w:rsid w:val="007B1C18"/>
    <w:rsid w:val="007C04B1"/>
    <w:rsid w:val="00806D92"/>
    <w:rsid w:val="008321CD"/>
    <w:rsid w:val="00871E0B"/>
    <w:rsid w:val="008872E2"/>
    <w:rsid w:val="008B3A29"/>
    <w:rsid w:val="008B3FB3"/>
    <w:rsid w:val="008F444F"/>
    <w:rsid w:val="00903959"/>
    <w:rsid w:val="00934747"/>
    <w:rsid w:val="00943A02"/>
    <w:rsid w:val="00944A33"/>
    <w:rsid w:val="0098164B"/>
    <w:rsid w:val="009E3021"/>
    <w:rsid w:val="009E6668"/>
    <w:rsid w:val="009F0266"/>
    <w:rsid w:val="00A11B43"/>
    <w:rsid w:val="00A1405D"/>
    <w:rsid w:val="00AD6B93"/>
    <w:rsid w:val="00B10452"/>
    <w:rsid w:val="00B87EC6"/>
    <w:rsid w:val="00B96499"/>
    <w:rsid w:val="00C044FF"/>
    <w:rsid w:val="00C12CE2"/>
    <w:rsid w:val="00C360EB"/>
    <w:rsid w:val="00C53597"/>
    <w:rsid w:val="00C535FC"/>
    <w:rsid w:val="00C7470B"/>
    <w:rsid w:val="00CE3BB5"/>
    <w:rsid w:val="00CE7C63"/>
    <w:rsid w:val="00D20C89"/>
    <w:rsid w:val="00D21DC8"/>
    <w:rsid w:val="00D42B15"/>
    <w:rsid w:val="00D43B19"/>
    <w:rsid w:val="00D53EDB"/>
    <w:rsid w:val="00D721D9"/>
    <w:rsid w:val="00D724A9"/>
    <w:rsid w:val="00D844E8"/>
    <w:rsid w:val="00D970BF"/>
    <w:rsid w:val="00DC7BEE"/>
    <w:rsid w:val="00DF04EA"/>
    <w:rsid w:val="00E142EC"/>
    <w:rsid w:val="00E651DE"/>
    <w:rsid w:val="00E6780B"/>
    <w:rsid w:val="00E72478"/>
    <w:rsid w:val="00F15840"/>
    <w:rsid w:val="00FE2A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4B539"/>
  <w15:docId w15:val="{4249A077-E298-4BAA-9BCA-B53176A2A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Stopka">
    <w:name w:val="footer"/>
    <w:link w:val="StopkaZnak"/>
    <w:uiPriority w:val="99"/>
    <w:unhideWhenUsed/>
    <w:rsid w:val="00C137BB"/>
    <w:pPr>
      <w:tabs>
        <w:tab w:val="center" w:pos="4536"/>
        <w:tab w:val="right" w:pos="9072"/>
      </w:tabs>
      <w:spacing w:line="240" w:lineRule="auto"/>
    </w:pPr>
  </w:style>
  <w:style w:type="character" w:customStyle="1" w:styleId="StopkaZnak">
    <w:name w:val="Stopka Znak"/>
    <w:basedOn w:val="Domylnaczcionkaakapitu"/>
    <w:link w:val="Stopka"/>
    <w:uiPriority w:val="99"/>
    <w:rsid w:val="00C137BB"/>
  </w:style>
  <w:style w:type="paragraph" w:styleId="Poprawka">
    <w:name w:val="Revision"/>
    <w:hidden/>
    <w:uiPriority w:val="99"/>
    <w:semiHidden/>
    <w:rsid w:val="00AD1601"/>
    <w:pPr>
      <w:spacing w:line="240" w:lineRule="auto"/>
    </w:pPr>
  </w:style>
  <w:style w:type="character" w:styleId="Odwoaniedokomentarza">
    <w:name w:val="annotation reference"/>
    <w:basedOn w:val="Domylnaczcionkaakapitu"/>
    <w:uiPriority w:val="99"/>
    <w:semiHidden/>
    <w:unhideWhenUsed/>
    <w:rsid w:val="00B22B1D"/>
    <w:rPr>
      <w:sz w:val="16"/>
      <w:szCs w:val="16"/>
    </w:rPr>
  </w:style>
  <w:style w:type="paragraph" w:styleId="Tekstkomentarza">
    <w:name w:val="annotation text"/>
    <w:link w:val="TekstkomentarzaZnak"/>
    <w:uiPriority w:val="99"/>
    <w:unhideWhenUsed/>
    <w:rsid w:val="00B22B1D"/>
    <w:pPr>
      <w:spacing w:line="240" w:lineRule="auto"/>
    </w:pPr>
    <w:rPr>
      <w:sz w:val="20"/>
      <w:szCs w:val="20"/>
    </w:rPr>
  </w:style>
  <w:style w:type="character" w:customStyle="1" w:styleId="TekstkomentarzaZnak">
    <w:name w:val="Tekst komentarza Znak"/>
    <w:basedOn w:val="Domylnaczcionkaakapitu"/>
    <w:link w:val="Tekstkomentarza"/>
    <w:uiPriority w:val="99"/>
    <w:rsid w:val="00B22B1D"/>
    <w:rPr>
      <w:sz w:val="20"/>
      <w:szCs w:val="20"/>
    </w:rPr>
  </w:style>
  <w:style w:type="paragraph" w:styleId="Tematkomentarza">
    <w:name w:val="annotation subject"/>
    <w:basedOn w:val="Tekstkomentarza"/>
    <w:next w:val="Tekstkomentarza"/>
    <w:link w:val="TematkomentarzaZnak"/>
    <w:uiPriority w:val="99"/>
    <w:semiHidden/>
    <w:unhideWhenUsed/>
    <w:rsid w:val="00B22B1D"/>
    <w:rPr>
      <w:b/>
      <w:bCs/>
    </w:rPr>
  </w:style>
  <w:style w:type="character" w:customStyle="1" w:styleId="TematkomentarzaZnak">
    <w:name w:val="Temat komentarza Znak"/>
    <w:basedOn w:val="TekstkomentarzaZnak"/>
    <w:link w:val="Tematkomentarza"/>
    <w:uiPriority w:val="99"/>
    <w:semiHidden/>
    <w:rsid w:val="00B22B1D"/>
    <w:rPr>
      <w:b/>
      <w:bCs/>
      <w:sz w:val="20"/>
      <w:szCs w:val="20"/>
    </w:rPr>
  </w:style>
  <w:style w:type="paragraph" w:styleId="NormalnyWeb">
    <w:name w:val="Normal (Web)"/>
    <w:uiPriority w:val="99"/>
    <w:unhideWhenUsed/>
    <w:rsid w:val="002A48E0"/>
    <w:pPr>
      <w:spacing w:before="100" w:beforeAutospacing="1" w:after="100" w:afterAutospacing="1" w:line="240" w:lineRule="auto"/>
    </w:pPr>
    <w:rPr>
      <w:rFonts w:ascii="Times New Roman" w:eastAsia="Times New Roman" w:hAnsi="Times New Roman" w:cs="Times New Roman"/>
      <w:sz w:val="24"/>
      <w:szCs w:val="24"/>
      <w:lang w:val="pl-PL"/>
    </w:rPr>
  </w:style>
  <w:style w:type="character" w:styleId="Pogrubienie">
    <w:name w:val="Strong"/>
    <w:basedOn w:val="Domylnaczcionkaakapitu"/>
    <w:uiPriority w:val="22"/>
    <w:qFormat/>
    <w:rsid w:val="002A48E0"/>
    <w:rPr>
      <w:b/>
      <w:bCs/>
    </w:rPr>
  </w:style>
  <w:style w:type="paragraph" w:styleId="Nagwek">
    <w:name w:val="header"/>
    <w:link w:val="NagwekZnak"/>
    <w:uiPriority w:val="99"/>
    <w:unhideWhenUsed/>
    <w:rsid w:val="004278FC"/>
    <w:pPr>
      <w:tabs>
        <w:tab w:val="center" w:pos="4536"/>
        <w:tab w:val="right" w:pos="9072"/>
      </w:tabs>
      <w:spacing w:line="240" w:lineRule="auto"/>
    </w:pPr>
  </w:style>
  <w:style w:type="character" w:customStyle="1" w:styleId="NagwekZnak">
    <w:name w:val="Nagłówek Znak"/>
    <w:basedOn w:val="Domylnaczcionkaakapitu"/>
    <w:link w:val="Nagwek"/>
    <w:uiPriority w:val="99"/>
    <w:rsid w:val="004278FC"/>
  </w:style>
  <w:style w:type="paragraph" w:styleId="Akapitzlist">
    <w:name w:val="List Paragraph"/>
    <w:uiPriority w:val="34"/>
    <w:qFormat/>
    <w:rsid w:val="00D335B3"/>
    <w:pPr>
      <w:ind w:left="720"/>
      <w:contextualSpacing/>
    </w:pPr>
  </w:style>
  <w:style w:type="paragraph" w:styleId="Podtytu">
    <w:name w:val="Subtitle"/>
    <w:basedOn w:val="Normalny"/>
    <w:next w:val="Normalny"/>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character" w:styleId="Hipercze">
    <w:name w:val="Hyperlink"/>
    <w:basedOn w:val="Domylnaczcionkaakapitu"/>
    <w:uiPriority w:val="99"/>
    <w:unhideWhenUsed/>
    <w:rsid w:val="004E1115"/>
    <w:rPr>
      <w:color w:val="0000FF" w:themeColor="hyperlink"/>
      <w:u w:val="single"/>
    </w:rPr>
  </w:style>
  <w:style w:type="character" w:styleId="Nierozpoznanawzmianka">
    <w:name w:val="Unresolved Mention"/>
    <w:basedOn w:val="Domylnaczcionkaakapitu"/>
    <w:uiPriority w:val="99"/>
    <w:semiHidden/>
    <w:unhideWhenUsed/>
    <w:rsid w:val="004E1115"/>
    <w:rPr>
      <w:color w:val="605E5C"/>
      <w:shd w:val="clear" w:color="auto" w:fill="E1DFDD"/>
    </w:rPr>
  </w:style>
  <w:style w:type="character" w:styleId="UyteHipercze">
    <w:name w:val="FollowedHyperlink"/>
    <w:basedOn w:val="Domylnaczcionkaakapitu"/>
    <w:uiPriority w:val="99"/>
    <w:semiHidden/>
    <w:unhideWhenUsed/>
    <w:rsid w:val="004E11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ig.com.pl/2026-upadlosci-firm_czerwiec.php"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gazeta.sgh.waw.pl/nauka-w-sgh/informacja-sygnalna-irg-koniunktura-w-budownictwie-iii-kwartal-202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sgk.stat.gov.pl/Ceny_produkcji_sprzedanej_przemyslu_oraz_budowlano-montazowej.html" TargetMode="External"/><Relationship Id="rId5" Type="http://schemas.openxmlformats.org/officeDocument/2006/relationships/settings" Target="settings.xml"/><Relationship Id="rId15" Type="http://schemas.openxmlformats.org/officeDocument/2006/relationships/hyperlink" Target="http://www.big.pl" TargetMode="External"/><Relationship Id="rId23" Type="http://schemas.openxmlformats.org/officeDocument/2006/relationships/theme" Target="theme/theme1.xml"/><Relationship Id="rId10" Type="http://schemas.openxmlformats.org/officeDocument/2006/relationships/hyperlink" Target="https://ssgk.stat.gov.pl/Budownictwo.html"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stat.gov.pl/obszary-tematyczne/podmioty-gospodarcze-wyniki-finansowe/zmiany-strukturalne-grup-podmiotow/miesieczna-informacja-o-podmiotach-gospodarki-narodowej-w-rejestrze-regon-sierpien-2026,4,116.html" TargetMode="External"/><Relationship Id="rId14" Type="http://schemas.openxmlformats.org/officeDocument/2006/relationships/hyperlink" Target="https://www.coig.com.pl/2026-restrukturyzacje-firm_czerwiec.php"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W2upYpS3bnRHEYzou+gyWULQ+A==">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EC20B61-47AB-4E60-A449-DFFE60603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5</Pages>
  <Words>1687</Words>
  <Characters>10125</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Rogowski Waldemar</dc:creator>
  <cp:lastModifiedBy>Borowiecka Diana</cp:lastModifiedBy>
  <cp:revision>53</cp:revision>
  <dcterms:created xsi:type="dcterms:W3CDTF">2026-09-30T10:14:00Z</dcterms:created>
  <dcterms:modified xsi:type="dcterms:W3CDTF">2026-10-13T09:32:00Z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26d6cd57,d3220ea,27e257e3</vt:lpwstr>
  </property>
  <property fmtid="{D5CDD505-2E9C-101B-9397-08002B2CF9AE}" pid="3" name="ClassificationContentMarkingFooterFontProps">
    <vt:lpwstr>#008000,10,Aptos</vt:lpwstr>
  </property>
  <property fmtid="{D5CDD505-2E9C-101B-9397-08002B2CF9AE}" pid="4" name="ClassificationContentMarkingFooterText">
    <vt:lpwstr>Informacje Jawne</vt:lpwstr>
  </property>
  <property fmtid="{D5CDD505-2E9C-101B-9397-08002B2CF9AE}" pid="5" name="MSIP_Label_1391a466-f120-4668-a5e5-7af4d8a99d82_Enabled">
    <vt:lpwstr>true</vt:lpwstr>
  </property>
  <property fmtid="{D5CDD505-2E9C-101B-9397-08002B2CF9AE}" pid="6" name="MSIP_Label_1391a466-f120-4668-a5e5-7af4d8a99d82_SetDate">
    <vt:lpwstr>2026-09-28T10:03:54Z</vt:lpwstr>
  </property>
  <property fmtid="{D5CDD505-2E9C-101B-9397-08002B2CF9AE}" pid="7" name="MSIP_Label_1391a466-f120-4668-a5e5-7af4d8a99d82_Method">
    <vt:lpwstr>Privileged</vt:lpwstr>
  </property>
  <property fmtid="{D5CDD505-2E9C-101B-9397-08002B2CF9AE}" pid="8" name="MSIP_Label_1391a466-f120-4668-a5e5-7af4d8a99d82_Name">
    <vt:lpwstr>Grupa BIK-Jawne</vt:lpwstr>
  </property>
  <property fmtid="{D5CDD505-2E9C-101B-9397-08002B2CF9AE}" pid="9" name="MSIP_Label_1391a466-f120-4668-a5e5-7af4d8a99d82_SiteId">
    <vt:lpwstr>f2871815-01ea-45c0-a64b-82e189df602c</vt:lpwstr>
  </property>
  <property fmtid="{D5CDD505-2E9C-101B-9397-08002B2CF9AE}" pid="10" name="MSIP_Label_1391a466-f120-4668-a5e5-7af4d8a99d82_ActionId">
    <vt:lpwstr>bd3f64c8-08d7-4495-b8bd-8307a48dd97f</vt:lpwstr>
  </property>
  <property fmtid="{D5CDD505-2E9C-101B-9397-08002B2CF9AE}" pid="11" name="MSIP_Label_1391a466-f120-4668-a5e5-7af4d8a99d82_ContentBits">
    <vt:lpwstr>2</vt:lpwstr>
  </property>
  <property fmtid="{D5CDD505-2E9C-101B-9397-08002B2CF9AE}" pid="12" name="MSIP_Label_1391a466-f120-4668-a5e5-7af4d8a99d82_Tag">
    <vt:lpwstr>10, 0, 1, 1</vt:lpwstr>
  </property>
</Properties>
</file>