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5CE7" w14:textId="77777777" w:rsidR="00784137" w:rsidRPr="00B32B49" w:rsidRDefault="00784137" w:rsidP="00784137">
      <w:pPr>
        <w:spacing w:after="0"/>
        <w:ind w:left="0" w:right="0"/>
      </w:pPr>
      <w:r w:rsidRPr="00B32B49">
        <w:t>INFORMACJA PRASOWA</w:t>
      </w:r>
    </w:p>
    <w:p w14:paraId="6F08F969" w14:textId="77777777" w:rsidR="00784137" w:rsidRDefault="00784137" w:rsidP="00784137">
      <w:pPr>
        <w:pStyle w:val="Podpis"/>
        <w:spacing w:before="0" w:after="0" w:line="276" w:lineRule="auto"/>
        <w:ind w:left="0" w:right="0"/>
        <w:rPr>
          <w:bCs w:val="0"/>
        </w:rPr>
      </w:pPr>
    </w:p>
    <w:p w14:paraId="333CB970" w14:textId="77777777" w:rsidR="00784137" w:rsidRPr="0019651A" w:rsidRDefault="00784137" w:rsidP="00784137">
      <w:pPr>
        <w:spacing w:before="0" w:after="0"/>
        <w:ind w:left="0" w:right="0"/>
        <w:jc w:val="center"/>
        <w:rPr>
          <w:rFonts w:ascii="Calibri" w:hAnsi="Calibri" w:cs="Calibri"/>
          <w:b/>
          <w:bCs/>
        </w:rPr>
      </w:pPr>
      <w:r w:rsidRPr="00AF2FDD">
        <w:rPr>
          <w:rFonts w:ascii="Calibri" w:hAnsi="Calibri" w:cs="Calibri"/>
          <w:b/>
          <w:bCs/>
        </w:rPr>
        <w:t>Czy dżuma powraca i stanowi dziś zagrożenie dla Polski? Pięć pytań do eksperta</w:t>
      </w:r>
      <w:r>
        <w:rPr>
          <w:rFonts w:ascii="Calibri" w:hAnsi="Calibri" w:cs="Calibri"/>
          <w:b/>
          <w:bCs/>
        </w:rPr>
        <w:t>.</w:t>
      </w:r>
    </w:p>
    <w:p w14:paraId="3BA2BAFB" w14:textId="77777777" w:rsidR="00784137" w:rsidRPr="00AF2FDD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632E6F">
        <w:rPr>
          <w:rFonts w:ascii="Calibri" w:hAnsi="Calibri" w:cs="Calibri"/>
          <w:b/>
          <w:bCs/>
        </w:rPr>
        <w:t xml:space="preserve">O dżumie ponownie zrobiło się głośno za sprawą doniesień z rosyjskiego instytutu </w:t>
      </w:r>
      <w:proofErr w:type="spellStart"/>
      <w:r w:rsidRPr="00632E6F">
        <w:rPr>
          <w:rFonts w:ascii="Calibri" w:hAnsi="Calibri" w:cs="Calibri"/>
          <w:b/>
          <w:bCs/>
        </w:rPr>
        <w:t>przeciwdżumowego</w:t>
      </w:r>
      <w:proofErr w:type="spellEnd"/>
      <w:r w:rsidRPr="00632E6F">
        <w:rPr>
          <w:rFonts w:ascii="Calibri" w:hAnsi="Calibri" w:cs="Calibri"/>
          <w:b/>
          <w:bCs/>
        </w:rPr>
        <w:t xml:space="preserve">. Choroba, kojarzona przede wszystkim z epidemiami sprzed wieków, nigdy jednak całkowicie nie zniknęła. Czy może stanowić zagrożenie dla Polski, jak można się nią zarazić i czy współczesna medycyna potrafi ją skutecznie leczyć? Odpowiada </w:t>
      </w:r>
      <w:r>
        <w:rPr>
          <w:rFonts w:ascii="Calibri" w:hAnsi="Calibri" w:cs="Calibri"/>
          <w:b/>
          <w:bCs/>
        </w:rPr>
        <w:t xml:space="preserve">prof. </w:t>
      </w:r>
      <w:r w:rsidRPr="00632E6F">
        <w:rPr>
          <w:rFonts w:ascii="Calibri" w:hAnsi="Calibri" w:cs="Calibri"/>
          <w:b/>
          <w:bCs/>
        </w:rPr>
        <w:t>dr hab. n. med. Ernest Kuchar, pediatra i ekspert chorób zakaźnych Grupy LUX MED.</w:t>
      </w:r>
      <w:r>
        <w:rPr>
          <w:rFonts w:ascii="Calibri" w:hAnsi="Calibri" w:cs="Calibri"/>
          <w:b/>
          <w:bCs/>
        </w:rPr>
        <w:br/>
      </w:r>
    </w:p>
    <w:p w14:paraId="6CEBF8FC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632E6F">
        <w:rPr>
          <w:rFonts w:ascii="Calibri" w:hAnsi="Calibri" w:cs="Calibri"/>
          <w:b/>
          <w:bCs/>
        </w:rPr>
        <w:t>1. Czy dżuma rzeczywiście powraca?</w:t>
      </w:r>
    </w:p>
    <w:p w14:paraId="33BBD887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Należy zaznaczyć, że d</w:t>
      </w:r>
      <w:r w:rsidRPr="00632E6F">
        <w:rPr>
          <w:rFonts w:ascii="Calibri" w:hAnsi="Calibri" w:cs="Calibri"/>
        </w:rPr>
        <w:t>żuma nigdy nie zniknęła, jest chorobą endemiczną</w:t>
      </w:r>
      <w:r>
        <w:rPr>
          <w:rFonts w:ascii="Calibri" w:hAnsi="Calibri" w:cs="Calibri"/>
        </w:rPr>
        <w:t xml:space="preserve"> w kilku rejonach świata</w:t>
      </w:r>
      <w:r w:rsidRPr="00632E6F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w tym w Azji Środkowej, </w:t>
      </w:r>
      <w:r w:rsidRPr="00632E6F">
        <w:rPr>
          <w:rFonts w:ascii="Calibri" w:hAnsi="Calibri" w:cs="Calibri"/>
        </w:rPr>
        <w:t xml:space="preserve">a nie historyczną. Z punktu widzenia </w:t>
      </w:r>
      <w:r>
        <w:rPr>
          <w:rFonts w:ascii="Calibri" w:hAnsi="Calibri" w:cs="Calibri"/>
        </w:rPr>
        <w:t>źródła i rezerwuaru</w:t>
      </w:r>
      <w:r w:rsidRPr="00632E6F">
        <w:rPr>
          <w:rFonts w:ascii="Calibri" w:hAnsi="Calibri" w:cs="Calibri"/>
        </w:rPr>
        <w:t xml:space="preserve"> jest chorobą odzwierzęcą. </w:t>
      </w:r>
      <w:proofErr w:type="spellStart"/>
      <w:r w:rsidRPr="00632E6F">
        <w:rPr>
          <w:rFonts w:ascii="Calibri" w:hAnsi="Calibri" w:cs="Calibri"/>
        </w:rPr>
        <w:t>Yersinia</w:t>
      </w:r>
      <w:proofErr w:type="spellEnd"/>
      <w:r w:rsidRPr="00632E6F">
        <w:rPr>
          <w:rFonts w:ascii="Calibri" w:hAnsi="Calibri" w:cs="Calibri"/>
        </w:rPr>
        <w:t xml:space="preserve"> </w:t>
      </w:r>
      <w:proofErr w:type="spellStart"/>
      <w:r w:rsidRPr="00632E6F">
        <w:rPr>
          <w:rFonts w:ascii="Calibri" w:hAnsi="Calibri" w:cs="Calibri"/>
        </w:rPr>
        <w:t>pestis</w:t>
      </w:r>
      <w:proofErr w:type="spellEnd"/>
      <w:r w:rsidRPr="00632E6F">
        <w:rPr>
          <w:rFonts w:ascii="Calibri" w:hAnsi="Calibri" w:cs="Calibri"/>
        </w:rPr>
        <w:t xml:space="preserve"> utrzymuje się w stabilnych ogniskach przyrodniczych (tzw. cyklu </w:t>
      </w:r>
      <w:proofErr w:type="spellStart"/>
      <w:r w:rsidRPr="00632E6F">
        <w:rPr>
          <w:rFonts w:ascii="Calibri" w:hAnsi="Calibri" w:cs="Calibri"/>
        </w:rPr>
        <w:t>sylwatycznym</w:t>
      </w:r>
      <w:proofErr w:type="spellEnd"/>
      <w:r w:rsidRPr="00632E6F">
        <w:rPr>
          <w:rFonts w:ascii="Calibri" w:hAnsi="Calibri" w:cs="Calibri"/>
        </w:rPr>
        <w:t>) w Afryce, Azji i obu Amerykach, krążąc między gryzoniami a ich pchłami.</w:t>
      </w:r>
      <w:r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t xml:space="preserve">W latach 2014–2024 przypadki lub ogniska </w:t>
      </w:r>
      <w:proofErr w:type="spellStart"/>
      <w:r>
        <w:rPr>
          <w:rFonts w:ascii="Calibri" w:hAnsi="Calibri" w:cs="Calibri"/>
        </w:rPr>
        <w:t>zachorowań</w:t>
      </w:r>
      <w:proofErr w:type="spellEnd"/>
      <w:r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t>zgłosiło 11 krajów; zdecydowanie najbardziej dotknięty jest Madagaskar (zwykle 100–500 przypadków rocznie, a w wyjątkowym roku 2017: 2676 przypadków i 238 zgonów), dalej Demokratyczna Republika Konga, Uganda, Peru oraz zachodnie stany USA (średnio ok. 5 przypadków rocznie, głównie w Arizonie, Kolorado i Nowym Meksyku).</w:t>
      </w:r>
    </w:p>
    <w:p w14:paraId="486E8BFC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</w:rPr>
      </w:pPr>
    </w:p>
    <w:p w14:paraId="53FD0D53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632E6F">
        <w:rPr>
          <w:rFonts w:ascii="Calibri" w:hAnsi="Calibri" w:cs="Calibri"/>
          <w:b/>
          <w:bCs/>
        </w:rPr>
        <w:t xml:space="preserve">2. Czy doniesienia z rosyjskiego instytutu </w:t>
      </w:r>
      <w:proofErr w:type="spellStart"/>
      <w:r w:rsidRPr="00632E6F">
        <w:rPr>
          <w:rFonts w:ascii="Calibri" w:hAnsi="Calibri" w:cs="Calibri"/>
          <w:b/>
          <w:bCs/>
        </w:rPr>
        <w:t>przeciwdżumowego</w:t>
      </w:r>
      <w:proofErr w:type="spellEnd"/>
      <w:r w:rsidRPr="00632E6F">
        <w:rPr>
          <w:rFonts w:ascii="Calibri" w:hAnsi="Calibri" w:cs="Calibri"/>
          <w:b/>
          <w:bCs/>
        </w:rPr>
        <w:t xml:space="preserve"> mają realne znaczenie dla Polski? Czy istnieje ryzyko przywiezienia choroby przez podróżnych?</w:t>
      </w:r>
    </w:p>
    <w:p w14:paraId="2DF50DA2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</w:rPr>
      </w:pPr>
      <w:r w:rsidRPr="00632E6F">
        <w:rPr>
          <w:rFonts w:ascii="Calibri" w:hAnsi="Calibri" w:cs="Calibri"/>
        </w:rPr>
        <w:t>Dla Polski jako kraju – praktycznie żadne. To zdarzenie o charakterze lokalnym, a nie epidemicznym. Zakażenia dżumą nabyte w laboratorium to znane, choć rzadkie zagrożenie zawodowe.</w:t>
      </w:r>
      <w:r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t xml:space="preserve">Ryzyko </w:t>
      </w:r>
      <w:r>
        <w:rPr>
          <w:rFonts w:ascii="Calibri" w:hAnsi="Calibri" w:cs="Calibri"/>
        </w:rPr>
        <w:t xml:space="preserve">rozprzestrzeniania się choroby </w:t>
      </w:r>
      <w:r w:rsidRPr="00632E6F">
        <w:rPr>
          <w:rFonts w:ascii="Calibri" w:hAnsi="Calibri" w:cs="Calibri"/>
        </w:rPr>
        <w:t>jest skrajnie niskie. Składa się na to kilka niezależnych powodów wynikających z samej biologii choroby.</w:t>
      </w:r>
      <w:r>
        <w:rPr>
          <w:rFonts w:ascii="Calibri" w:hAnsi="Calibri" w:cs="Calibri"/>
        </w:rPr>
        <w:t xml:space="preserve"> Jest to przede wszystkim niska zaraźliwość (jedyną postacią przenoszoną z człowieka na człowieka jest dżuma płucna, która przenosi się drogą kropelkową, ale nie powietrzną) i krótki okres wylęgania (wynosi od kilku godzin do 2–3 dni, maks. ok. 6 dni).</w:t>
      </w:r>
      <w:r w:rsidRPr="00632E6F">
        <w:rPr>
          <w:rFonts w:ascii="Calibri" w:hAnsi="Calibri" w:cs="Calibri"/>
        </w:rPr>
        <w:t xml:space="preserve"> </w:t>
      </w:r>
      <w:r w:rsidRPr="00AF2FDD">
        <w:rPr>
          <w:rFonts w:ascii="Calibri" w:hAnsi="Calibri" w:cs="Calibri"/>
        </w:rPr>
        <w:t>Transmisja zachodzi przez duże kropelki wydzielin dróg oddechowych, które nie utrzymują się długo w powietrzu. Do zakażenia potrzebny jest bliski kontakt (poniżej ok. 1,8 m), najczęściej wśród opiekunów lub domowników chorego.</w:t>
      </w:r>
      <w:r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t>Oznacza to, że osoba zakażona najprawdopodobniej stałaby się ciężko chora przed zakończeniem podróży międzynarodowej lub w jej trakcie, a nie dopiero po kilku dniach od przyjazdu.</w:t>
      </w:r>
      <w:r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t xml:space="preserve">Nie udokumentowano </w:t>
      </w:r>
      <w:r>
        <w:rPr>
          <w:rFonts w:ascii="Calibri" w:hAnsi="Calibri" w:cs="Calibri"/>
        </w:rPr>
        <w:t xml:space="preserve">także </w:t>
      </w:r>
      <w:r w:rsidRPr="00632E6F">
        <w:rPr>
          <w:rFonts w:ascii="Calibri" w:hAnsi="Calibri" w:cs="Calibri"/>
        </w:rPr>
        <w:t>przenoszenia dżumy płucnej przez osoby bez</w:t>
      </w:r>
      <w:r>
        <w:rPr>
          <w:rFonts w:ascii="Calibri" w:hAnsi="Calibri" w:cs="Calibri"/>
        </w:rPr>
        <w:t>objawowe</w:t>
      </w:r>
      <w:r w:rsidRPr="00632E6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Warto też podkreślić, że w</w:t>
      </w:r>
      <w:r w:rsidRPr="00632E6F">
        <w:rPr>
          <w:rFonts w:ascii="Calibri" w:hAnsi="Calibri" w:cs="Calibri"/>
        </w:rPr>
        <w:t xml:space="preserve"> </w:t>
      </w:r>
      <w:r w:rsidRPr="00632E6F">
        <w:rPr>
          <w:rFonts w:ascii="Calibri" w:hAnsi="Calibri" w:cs="Calibri"/>
        </w:rPr>
        <w:lastRenderedPageBreak/>
        <w:t xml:space="preserve">Europie nie istnieją naturalne rezerwuary dżumy, nawet gdyby pojedynczy przypadek dotarł, nie ma tu warunków ekologicznych (gleba, gryzonie) do zadomowienia się </w:t>
      </w:r>
      <w:r>
        <w:rPr>
          <w:rFonts w:ascii="Calibri" w:hAnsi="Calibri" w:cs="Calibri"/>
        </w:rPr>
        <w:t xml:space="preserve">groźnej </w:t>
      </w:r>
      <w:r w:rsidRPr="00632E6F">
        <w:rPr>
          <w:rFonts w:ascii="Calibri" w:hAnsi="Calibri" w:cs="Calibri"/>
        </w:rPr>
        <w:t>bakterii.</w:t>
      </w:r>
    </w:p>
    <w:p w14:paraId="2D18C995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</w:rPr>
      </w:pPr>
    </w:p>
    <w:p w14:paraId="2AFA28C7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632E6F">
        <w:rPr>
          <w:rFonts w:ascii="Calibri" w:hAnsi="Calibri" w:cs="Calibri"/>
          <w:b/>
          <w:bCs/>
        </w:rPr>
        <w:t>3. Jak</w:t>
      </w:r>
      <w:r>
        <w:rPr>
          <w:rFonts w:ascii="Calibri" w:hAnsi="Calibri" w:cs="Calibri"/>
          <w:b/>
          <w:bCs/>
        </w:rPr>
        <w:t xml:space="preserve"> w takim razie</w:t>
      </w:r>
      <w:r w:rsidRPr="00632E6F">
        <w:rPr>
          <w:rFonts w:ascii="Calibri" w:hAnsi="Calibri" w:cs="Calibri"/>
          <w:b/>
          <w:bCs/>
        </w:rPr>
        <w:t xml:space="preserve"> można zarazić się dżumą? Czy choroba przenosi się między ludźmi?</w:t>
      </w:r>
    </w:p>
    <w:p w14:paraId="59FB375A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</w:rPr>
      </w:pPr>
      <w:r w:rsidRPr="00AF2FDD">
        <w:rPr>
          <w:rFonts w:ascii="Calibri" w:hAnsi="Calibri" w:cs="Calibri"/>
        </w:rPr>
        <w:t>Do zakażenia pałeczką dżumy (</w:t>
      </w:r>
      <w:proofErr w:type="spellStart"/>
      <w:r w:rsidRPr="00AF2FDD">
        <w:rPr>
          <w:rFonts w:ascii="Calibri" w:hAnsi="Calibri" w:cs="Calibri"/>
          <w:i/>
          <w:iCs/>
        </w:rPr>
        <w:t>Yersinia</w:t>
      </w:r>
      <w:proofErr w:type="spellEnd"/>
      <w:r w:rsidRPr="00AF2FDD">
        <w:rPr>
          <w:rFonts w:ascii="Calibri" w:hAnsi="Calibri" w:cs="Calibri"/>
          <w:i/>
          <w:iCs/>
        </w:rPr>
        <w:t xml:space="preserve"> </w:t>
      </w:r>
      <w:proofErr w:type="spellStart"/>
      <w:r w:rsidRPr="00AF2FDD">
        <w:rPr>
          <w:rFonts w:ascii="Calibri" w:hAnsi="Calibri" w:cs="Calibri"/>
          <w:i/>
          <w:iCs/>
        </w:rPr>
        <w:t>pestis</w:t>
      </w:r>
      <w:proofErr w:type="spellEnd"/>
      <w:r w:rsidRPr="00AF2FDD">
        <w:rPr>
          <w:rFonts w:ascii="Calibri" w:hAnsi="Calibri" w:cs="Calibri"/>
        </w:rPr>
        <w:t>) dochodzi najczęściej w wyniku ukąszenia zakażonej pchły</w:t>
      </w:r>
      <w:r>
        <w:rPr>
          <w:rFonts w:ascii="Calibri" w:hAnsi="Calibri" w:cs="Calibri"/>
        </w:rPr>
        <w:t xml:space="preserve">, </w:t>
      </w:r>
      <w:r w:rsidRPr="00AF2FDD">
        <w:rPr>
          <w:rFonts w:ascii="Calibri" w:hAnsi="Calibri" w:cs="Calibri"/>
        </w:rPr>
        <w:t>przede wszystkim pchły szczurzej</w:t>
      </w:r>
      <w:r>
        <w:rPr>
          <w:rFonts w:ascii="Calibri" w:hAnsi="Calibri" w:cs="Calibri"/>
        </w:rPr>
        <w:t>,</w:t>
      </w:r>
      <w:r w:rsidRPr="00AF2FDD">
        <w:rPr>
          <w:rFonts w:ascii="Calibri" w:hAnsi="Calibri" w:cs="Calibri"/>
        </w:rPr>
        <w:t xml:space="preserve"> co prowadzi do najpowszechniejszej postaci dymieniczej</w:t>
      </w:r>
      <w:r>
        <w:rPr>
          <w:rFonts w:ascii="Calibri" w:hAnsi="Calibri" w:cs="Calibri"/>
        </w:rPr>
        <w:t xml:space="preserve"> (nazwa pochodzi od powiększonych, zropiałych obwodowych węzłów chłonnych)</w:t>
      </w:r>
      <w:r w:rsidRPr="00AF2FDD">
        <w:rPr>
          <w:rFonts w:ascii="Calibri" w:hAnsi="Calibri" w:cs="Calibri"/>
        </w:rPr>
        <w:t xml:space="preserve">. Choć głównym rezerwuarem patogenu pozostają dzikie zwierzęta, źródłem infekcji dla człowieka może być także bezpośredni kontakt z </w:t>
      </w:r>
      <w:r>
        <w:rPr>
          <w:rFonts w:ascii="Calibri" w:hAnsi="Calibri" w:cs="Calibri"/>
        </w:rPr>
        <w:t>zakażonymi</w:t>
      </w:r>
      <w:r w:rsidRPr="00AF2FDD">
        <w:rPr>
          <w:rFonts w:ascii="Calibri" w:hAnsi="Calibri" w:cs="Calibri"/>
        </w:rPr>
        <w:t xml:space="preserve"> tkankami (co dotyczy m.in. myśliwych czy weterynarzy), rzadziej spożycie skażonego surowego mięsa (np. w regionach Azji Centralnej). </w:t>
      </w:r>
      <w:bookmarkStart w:id="0" w:name="OLE_LINK1"/>
      <w:r w:rsidRPr="00AF2FDD">
        <w:rPr>
          <w:rFonts w:ascii="Calibri" w:hAnsi="Calibri" w:cs="Calibri"/>
        </w:rPr>
        <w:t>Jedyną postacią przenoszoną z człowieka na człowieka jest dżuma płucna</w:t>
      </w:r>
      <w:bookmarkEnd w:id="0"/>
      <w:r w:rsidRPr="00AF2FDD">
        <w:rPr>
          <w:rFonts w:ascii="Calibri" w:hAnsi="Calibri" w:cs="Calibri"/>
        </w:rPr>
        <w:t xml:space="preserve">. Postacie dymienicza i </w:t>
      </w:r>
      <w:proofErr w:type="spellStart"/>
      <w:r w:rsidRPr="00AF2FDD">
        <w:rPr>
          <w:rFonts w:ascii="Calibri" w:hAnsi="Calibri" w:cs="Calibri"/>
        </w:rPr>
        <w:t>posocznicowa</w:t>
      </w:r>
      <w:proofErr w:type="spellEnd"/>
      <w:r w:rsidRPr="00AF2FDD">
        <w:rPr>
          <w:rFonts w:ascii="Calibri" w:hAnsi="Calibri" w:cs="Calibri"/>
        </w:rPr>
        <w:t xml:space="preserve"> nie są zaraźliwe </w:t>
      </w:r>
      <w:r>
        <w:rPr>
          <w:rFonts w:ascii="Calibri" w:hAnsi="Calibri" w:cs="Calibri"/>
        </w:rPr>
        <w:t xml:space="preserve">bezpośrednio </w:t>
      </w:r>
      <w:r w:rsidRPr="00AF2FDD">
        <w:rPr>
          <w:rFonts w:ascii="Calibri" w:hAnsi="Calibri" w:cs="Calibri"/>
        </w:rPr>
        <w:t xml:space="preserve">między ludźmi. </w:t>
      </w:r>
    </w:p>
    <w:p w14:paraId="15876877" w14:textId="77777777" w:rsidR="00784137" w:rsidRPr="00AF2FDD" w:rsidRDefault="00784137" w:rsidP="00784137">
      <w:pPr>
        <w:spacing w:before="0" w:after="0"/>
        <w:ind w:left="0" w:right="0"/>
        <w:rPr>
          <w:rFonts w:ascii="Calibri" w:hAnsi="Calibri" w:cs="Calibri"/>
        </w:rPr>
      </w:pPr>
    </w:p>
    <w:p w14:paraId="06BF5EDF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632E6F">
        <w:rPr>
          <w:rFonts w:ascii="Calibri" w:hAnsi="Calibri" w:cs="Calibri"/>
          <w:b/>
          <w:bCs/>
        </w:rPr>
        <w:t>4. Czy dżuma nadal jest chorobą śmiertelną? Jak wygląda jej leczenie?</w:t>
      </w:r>
    </w:p>
    <w:p w14:paraId="76A748FB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</w:rPr>
      </w:pPr>
      <w:r w:rsidRPr="00AF2FDD">
        <w:rPr>
          <w:rFonts w:ascii="Calibri" w:hAnsi="Calibri" w:cs="Calibri"/>
        </w:rPr>
        <w:t xml:space="preserve">Nieleczona dżuma pozostaje zabójcza, ale rokowanie zmieniło się radykalnie dzięki wprowadzeniu antybiotyków. W erze </w:t>
      </w:r>
      <w:proofErr w:type="spellStart"/>
      <w:r w:rsidRPr="00AF2FDD">
        <w:rPr>
          <w:rFonts w:ascii="Calibri" w:hAnsi="Calibri" w:cs="Calibri"/>
        </w:rPr>
        <w:t>przedantybiotykowej</w:t>
      </w:r>
      <w:proofErr w:type="spellEnd"/>
      <w:r w:rsidRPr="00AF2FDD">
        <w:rPr>
          <w:rFonts w:ascii="Calibri" w:hAnsi="Calibri" w:cs="Calibri"/>
        </w:rPr>
        <w:t xml:space="preserve"> umierało ponad 75% chorych na postać dymieniczą i niemal wszyscy na postać płucną. Jeśli chodzi o tę drugą, śmiertelność nieleczonej posta</w:t>
      </w:r>
      <w:r>
        <w:rPr>
          <w:rFonts w:ascii="Calibri" w:hAnsi="Calibri" w:cs="Calibri"/>
        </w:rPr>
        <w:t>ci</w:t>
      </w:r>
      <w:r w:rsidRPr="00AF2FDD">
        <w:rPr>
          <w:rFonts w:ascii="Calibri" w:hAnsi="Calibri" w:cs="Calibri"/>
        </w:rPr>
        <w:t xml:space="preserve"> płucnej jest bliska 100%, przy leczeniu nadal wynosi ponad 50% w trudnych warunkach, jednak przeżywalność sięga około 80% przy wczesnym, właściwym leczeniu. Samo leczenie opiera się na kilku skutecznych klasach antybiotyków, przy czym decydujące znaczenie ma szybkie rozpoznanie i wczesne włączenie właściwego leku</w:t>
      </w:r>
      <w:r>
        <w:rPr>
          <w:rFonts w:ascii="Calibri" w:hAnsi="Calibri" w:cs="Calibri"/>
        </w:rPr>
        <w:t xml:space="preserve">. </w:t>
      </w:r>
      <w:r w:rsidRPr="00AF2FDD">
        <w:rPr>
          <w:rFonts w:ascii="Calibri" w:hAnsi="Calibri" w:cs="Calibri"/>
        </w:rPr>
        <w:t>Leki zatwierdzone przez FDA do</w:t>
      </w:r>
      <w:r>
        <w:rPr>
          <w:rFonts w:ascii="Calibri" w:hAnsi="Calibri" w:cs="Calibri"/>
        </w:rPr>
        <w:t xml:space="preserve"> </w:t>
      </w:r>
      <w:r w:rsidRPr="00AF2FDD">
        <w:rPr>
          <w:rFonts w:ascii="Calibri" w:hAnsi="Calibri" w:cs="Calibri"/>
        </w:rPr>
        <w:t>leczeni</w:t>
      </w:r>
      <w:r>
        <w:rPr>
          <w:rFonts w:ascii="Calibri" w:hAnsi="Calibri" w:cs="Calibri"/>
        </w:rPr>
        <w:t>a</w:t>
      </w:r>
      <w:r w:rsidRPr="00AF2FDD">
        <w:rPr>
          <w:rFonts w:ascii="Calibri" w:hAnsi="Calibri" w:cs="Calibri"/>
        </w:rPr>
        <w:t xml:space="preserve"> dżumy to streptomycyna, </w:t>
      </w:r>
      <w:proofErr w:type="spellStart"/>
      <w:r w:rsidRPr="00AF2FDD">
        <w:rPr>
          <w:rFonts w:ascii="Calibri" w:hAnsi="Calibri" w:cs="Calibri"/>
        </w:rPr>
        <w:t>cyprofloksacyna</w:t>
      </w:r>
      <w:proofErr w:type="spellEnd"/>
      <w:r w:rsidRPr="00AF2FDD">
        <w:rPr>
          <w:rFonts w:ascii="Calibri" w:hAnsi="Calibri" w:cs="Calibri"/>
        </w:rPr>
        <w:t xml:space="preserve">, </w:t>
      </w:r>
      <w:proofErr w:type="spellStart"/>
      <w:r w:rsidRPr="00AF2FDD">
        <w:rPr>
          <w:rFonts w:ascii="Calibri" w:hAnsi="Calibri" w:cs="Calibri"/>
        </w:rPr>
        <w:t>lewofloksacyna</w:t>
      </w:r>
      <w:proofErr w:type="spellEnd"/>
      <w:r w:rsidRPr="00AF2FD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proofErr w:type="spellStart"/>
      <w:r w:rsidRPr="00AF2FDD">
        <w:rPr>
          <w:rFonts w:ascii="Calibri" w:hAnsi="Calibri" w:cs="Calibri"/>
        </w:rPr>
        <w:t>moksyfloksacyna</w:t>
      </w:r>
      <w:proofErr w:type="spellEnd"/>
      <w:r w:rsidRPr="00AF2FDD">
        <w:rPr>
          <w:rFonts w:ascii="Calibri" w:hAnsi="Calibri" w:cs="Calibri"/>
        </w:rPr>
        <w:t xml:space="preserve"> i </w:t>
      </w:r>
      <w:proofErr w:type="spellStart"/>
      <w:r w:rsidRPr="00AF2FDD">
        <w:rPr>
          <w:rFonts w:ascii="Calibri" w:hAnsi="Calibri" w:cs="Calibri"/>
        </w:rPr>
        <w:t>doksycyklina</w:t>
      </w:r>
      <w:proofErr w:type="spellEnd"/>
      <w:r>
        <w:rPr>
          <w:rFonts w:ascii="Calibri" w:hAnsi="Calibri" w:cs="Calibri"/>
        </w:rPr>
        <w:t>.</w:t>
      </w:r>
    </w:p>
    <w:p w14:paraId="0AA7B953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</w:rPr>
      </w:pPr>
    </w:p>
    <w:p w14:paraId="5F7D6D9B" w14:textId="77777777" w:rsidR="00784137" w:rsidRPr="00AF2FDD" w:rsidRDefault="00784137" w:rsidP="00784137">
      <w:pPr>
        <w:spacing w:before="0" w:after="0"/>
        <w:ind w:left="0" w:right="0"/>
        <w:rPr>
          <w:rFonts w:ascii="Calibri" w:hAnsi="Calibri" w:cs="Calibri"/>
          <w:b/>
          <w:bCs/>
        </w:rPr>
      </w:pPr>
      <w:r w:rsidRPr="00AF2FDD">
        <w:rPr>
          <w:rFonts w:ascii="Calibri" w:hAnsi="Calibri" w:cs="Calibri"/>
          <w:b/>
          <w:bCs/>
        </w:rPr>
        <w:t>5. Jaki jest największy mit dotyczący dżumy, który warto dziś obalić?</w:t>
      </w:r>
    </w:p>
    <w:p w14:paraId="69E2C5F2" w14:textId="77777777" w:rsidR="00784137" w:rsidRPr="00632E6F" w:rsidRDefault="00784137" w:rsidP="00784137">
      <w:pPr>
        <w:spacing w:before="0" w:after="0"/>
        <w:ind w:left="0" w:right="0"/>
        <w:rPr>
          <w:rFonts w:ascii="Calibri" w:hAnsi="Calibri" w:cs="Calibri"/>
        </w:rPr>
      </w:pPr>
      <w:r w:rsidRPr="00632E6F">
        <w:rPr>
          <w:rFonts w:ascii="Calibri" w:hAnsi="Calibri" w:cs="Calibri"/>
        </w:rPr>
        <w:t>Najbardziej mylący jest obraz dżumy jako nieuchronnie śmiertelnej „czarnej śmierci”. W rzeczywistości jest to choroba bakteryjna uleczalna zwykłymi antybiotykami, a przy wczesnym rozpoznaniu większość leczonych chorych przeżywa.</w:t>
      </w:r>
    </w:p>
    <w:p w14:paraId="3BD0D1AC" w14:textId="77777777" w:rsidR="00784137" w:rsidRDefault="00784137" w:rsidP="00784137">
      <w:pPr>
        <w:spacing w:before="0" w:after="0"/>
        <w:ind w:left="0" w:right="0"/>
        <w:rPr>
          <w:rFonts w:ascii="Calibri" w:hAnsi="Calibri" w:cs="Calibri"/>
        </w:rPr>
      </w:pPr>
      <w:r w:rsidRPr="00632E6F">
        <w:rPr>
          <w:rFonts w:ascii="Calibri" w:hAnsi="Calibri" w:cs="Calibri"/>
        </w:rPr>
        <w:t>Druga strona tego samego mitu to wyobrażenie o błyskawicznym rozprzestrzenianiu się „jak pożar</w:t>
      </w:r>
      <w:r>
        <w:rPr>
          <w:rFonts w:ascii="Calibri" w:hAnsi="Calibri" w:cs="Calibri"/>
        </w:rPr>
        <w:t xml:space="preserve">”. Pamiętajmy – </w:t>
      </w:r>
      <w:r w:rsidRPr="00632E6F">
        <w:rPr>
          <w:rFonts w:ascii="Calibri" w:hAnsi="Calibri" w:cs="Calibri"/>
        </w:rPr>
        <w:t>transmisja międzyludzka dotyczy wyłącznie postaci płucnej, wymaga bliskiego kontaktu z kaszlącym chorym, odbywa się drogą kropelkową (nie powietrzną), a R0 wynosi ok. 1, daleko od obrazu niepowstrzymanej zarazy.</w:t>
      </w:r>
    </w:p>
    <w:p w14:paraId="7345A361" w14:textId="77777777" w:rsidR="00784137" w:rsidRPr="00D5008D" w:rsidRDefault="00784137" w:rsidP="00784137">
      <w:pPr>
        <w:pStyle w:val="Podpis"/>
        <w:spacing w:before="0" w:after="0" w:line="276" w:lineRule="auto"/>
        <w:ind w:left="0" w:right="0"/>
        <w:rPr>
          <w:b/>
          <w:bCs w:val="0"/>
          <w:sz w:val="16"/>
          <w:szCs w:val="14"/>
        </w:rPr>
      </w:pPr>
      <w:r w:rsidRPr="00CE094D">
        <w:rPr>
          <w:b/>
          <w:bCs w:val="0"/>
          <w:sz w:val="16"/>
          <w:szCs w:val="14"/>
        </w:rPr>
        <w:lastRenderedPageBreak/>
        <w:br/>
        <w:t>Więcej o Grupie LUX MED:</w:t>
      </w:r>
    </w:p>
    <w:p w14:paraId="5199AF5B" w14:textId="77777777" w:rsidR="00784137" w:rsidRPr="0071665C" w:rsidRDefault="00784137" w:rsidP="00784137">
      <w:pPr>
        <w:spacing w:line="276" w:lineRule="auto"/>
        <w:ind w:left="0" w:right="0"/>
        <w:rPr>
          <w:bCs/>
          <w:sz w:val="16"/>
          <w:szCs w:val="14"/>
        </w:rPr>
      </w:pPr>
      <w:r w:rsidRPr="0071665C">
        <w:rPr>
          <w:bCs/>
          <w:sz w:val="16"/>
          <w:szCs w:val="14"/>
        </w:rPr>
        <w:t xml:space="preserve">Grupa LUX MED jest liderem rynku prywatnych usług zdrowotnych w Polsce i częścią </w:t>
      </w:r>
      <w:proofErr w:type="spellStart"/>
      <w:r w:rsidRPr="0071665C">
        <w:rPr>
          <w:bCs/>
          <w:sz w:val="16"/>
          <w:szCs w:val="14"/>
        </w:rPr>
        <w:t>Bupa</w:t>
      </w:r>
      <w:proofErr w:type="spellEnd"/>
      <w:r w:rsidRPr="0071665C">
        <w:rPr>
          <w:bCs/>
          <w:sz w:val="16"/>
          <w:szCs w:val="14"/>
        </w:rPr>
        <w:t xml:space="preserve">, która działa jako ubezpieczyciel i świadczeniodawca usług medycznych na całym świecie. Firma świadczy swoje usługi w Polsce od ponad 30 lat i zapewnia pełną opiekę: ambulatoryjną, szpitalną, diagnostyczną, rehabilitacyjną, stomatologiczną, psychologiczną, długoterminową i profilaktyczną dla niespełna 4 mln pacjentów. Do ich dyspozycji jest ponad 300 ogólnodostępnych i przyzakładowych centrów medycznych, w tym 16 szpitali oraz ok. 3 000 poradni partnerskich. Grupa LUX MED zatrudnia ponad 30 000 osób, w tym ponad 12 000 lekarzy i 9 000 profesjonalistów medycznych innych zawodów, a w codziennej działalności, kieruje się zasadami zrównoważonego rozwoju, podejmując liczne inicjatywy z obszarów zaangażowania społecznego i środowiska. Należy do najlepszych 35% firm na świecie ocenionych przez platformę ratingową </w:t>
      </w:r>
      <w:proofErr w:type="spellStart"/>
      <w:r w:rsidRPr="0071665C">
        <w:rPr>
          <w:bCs/>
          <w:sz w:val="16"/>
          <w:szCs w:val="14"/>
        </w:rPr>
        <w:t>EcoVadis</w:t>
      </w:r>
      <w:proofErr w:type="spellEnd"/>
      <w:r w:rsidRPr="0071665C">
        <w:rPr>
          <w:bCs/>
          <w:sz w:val="16"/>
          <w:szCs w:val="14"/>
        </w:rPr>
        <w:t xml:space="preserve">, w tym TOP 5% firm w sektorze ochrony zdrowia. Grupa LUX MED jest Głównym Partnerem Medycznym Polskiego Komitetu Olimpijskiego i Głównym Partnerem Medycznym Polskiego Komitetu </w:t>
      </w:r>
      <w:proofErr w:type="spellStart"/>
      <w:r w:rsidRPr="0071665C">
        <w:rPr>
          <w:bCs/>
          <w:sz w:val="16"/>
          <w:szCs w:val="14"/>
        </w:rPr>
        <w:t>Paralimpijskiego</w:t>
      </w:r>
      <w:proofErr w:type="spellEnd"/>
      <w:r w:rsidRPr="0071665C">
        <w:rPr>
          <w:bCs/>
          <w:sz w:val="16"/>
          <w:szCs w:val="14"/>
        </w:rPr>
        <w:t>. Więcej informacji: </w:t>
      </w:r>
      <w:hyperlink r:id="rId6" w:history="1">
        <w:r w:rsidRPr="0071665C">
          <w:rPr>
            <w:bCs/>
            <w:sz w:val="16"/>
            <w:szCs w:val="14"/>
          </w:rPr>
          <w:t>www.luxmed.pl</w:t>
        </w:r>
      </w:hyperlink>
    </w:p>
    <w:p w14:paraId="0FE91E49" w14:textId="77777777" w:rsidR="00784137" w:rsidRDefault="00784137" w:rsidP="00784137">
      <w:pPr>
        <w:ind w:left="0" w:right="0"/>
      </w:pPr>
    </w:p>
    <w:p w14:paraId="7D3BA364" w14:textId="77777777" w:rsidR="00784137" w:rsidRDefault="00784137" w:rsidP="00784137"/>
    <w:p w14:paraId="106C2DDF" w14:textId="77777777" w:rsidR="00AE35D5" w:rsidRDefault="00AE35D5"/>
    <w:sectPr w:rsidR="00AE35D5" w:rsidSect="00784137">
      <w:headerReference w:type="default" r:id="rId7"/>
      <w:footerReference w:type="default" r:id="rId8"/>
      <w:pgSz w:w="11906" w:h="16838" w:code="9"/>
      <w:pgMar w:top="567" w:right="964" w:bottom="1843" w:left="964" w:header="567" w:footer="28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8F86" w14:textId="77777777" w:rsidR="00D27145" w:rsidRDefault="00D27145">
      <w:pPr>
        <w:spacing w:before="0" w:after="0" w:line="240" w:lineRule="auto"/>
      </w:pPr>
      <w:r>
        <w:separator/>
      </w:r>
    </w:p>
  </w:endnote>
  <w:endnote w:type="continuationSeparator" w:id="0">
    <w:p w14:paraId="0C6F43DD" w14:textId="77777777" w:rsidR="00D27145" w:rsidRDefault="00D271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54E15" w14:textId="77777777" w:rsidR="00D27145" w:rsidRDefault="00D27145" w:rsidP="00F31962">
    <w:pPr>
      <w:pStyle w:val="Stopka"/>
      <w:ind w:left="-96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DF613B" wp14:editId="0EA1E309">
          <wp:simplePos x="0" y="0"/>
          <wp:positionH relativeFrom="margin">
            <wp:posOffset>-612140</wp:posOffset>
          </wp:positionH>
          <wp:positionV relativeFrom="margin">
            <wp:posOffset>8049895</wp:posOffset>
          </wp:positionV>
          <wp:extent cx="7560000" cy="1693439"/>
          <wp:effectExtent l="0" t="0" r="0" b="0"/>
          <wp:wrapNone/>
          <wp:docPr id="1111191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148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693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45153" w14:textId="77777777" w:rsidR="00D27145" w:rsidRDefault="00D27145">
      <w:pPr>
        <w:spacing w:before="0" w:after="0" w:line="240" w:lineRule="auto"/>
      </w:pPr>
      <w:r>
        <w:separator/>
      </w:r>
    </w:p>
  </w:footnote>
  <w:footnote w:type="continuationSeparator" w:id="0">
    <w:p w14:paraId="4CEE1DF3" w14:textId="77777777" w:rsidR="00D27145" w:rsidRDefault="00D271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0CBC" w14:textId="77777777" w:rsidR="00D27145" w:rsidRPr="00B24126" w:rsidRDefault="00D27145" w:rsidP="00FE067A">
    <w:pPr>
      <w:pStyle w:val="Podpis"/>
      <w:spacing w:line="240" w:lineRule="auto"/>
      <w:ind w:left="0"/>
    </w:pPr>
    <w:r w:rsidRPr="00B2412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E120652" wp14:editId="2489506E">
              <wp:simplePos x="0" y="0"/>
              <wp:positionH relativeFrom="column">
                <wp:posOffset>3940810</wp:posOffset>
              </wp:positionH>
              <wp:positionV relativeFrom="paragraph">
                <wp:posOffset>-23495</wp:posOffset>
              </wp:positionV>
              <wp:extent cx="2360930" cy="355600"/>
              <wp:effectExtent l="0" t="0" r="0" b="63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355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84177" w14:textId="77777777" w:rsidR="00D27145" w:rsidRPr="009A0C4E" w:rsidRDefault="00D27145" w:rsidP="00084A2C">
                          <w:pPr>
                            <w:spacing w:line="240" w:lineRule="auto"/>
                            <w:ind w:right="4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9A0C4E">
                            <w:rPr>
                              <w:sz w:val="16"/>
                              <w:szCs w:val="16"/>
                            </w:rPr>
                            <w:t xml:space="preserve">Warszawa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13.10</w:t>
                          </w:r>
                          <w:r w:rsidRPr="009A0C4E">
                            <w:rPr>
                              <w:sz w:val="16"/>
                              <w:szCs w:val="16"/>
                            </w:rPr>
                            <w:t>.202</w:t>
                          </w: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15F4621A" w14:textId="77777777" w:rsidR="00D27145" w:rsidRDefault="00D2714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12065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0.3pt;margin-top:-1.85pt;width:185.9pt;height:28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5nDAIAAPYDAAAOAAAAZHJzL2Uyb0RvYy54bWysU9tu2zAMfR+wfxD0vti5rjHiFF26DAO6&#10;C9DtAxRZjoXJokYpsbOvLyWnadC9DdODQIrUEXl4tLrtW8OOCr0GW/LxKOdMWQmVtvuS//yxfXfD&#10;mQ/CVsKAVSU/Kc9v12/frDpXqAk0YCqFjECsLzpX8iYEV2SZl41qhR+BU5aCNWArArm4zyoUHaG3&#10;Jpvk+SLrACuHIJX3dHo/BPk64de1kuFbXXsVmCk51RbSjmnfxT1br0SxR+EaLc9liH+oohXa0qMX&#10;qHsRBDug/guq1RLBQx1GEtoM6lpLlXqgbsb5q24eG+FU6oXI8e5Ck/9/sPLr8dF9Rxb6D9DTAFMT&#10;3j2A/OWZhU0j7F7dIULXKFHRw+NIWdY5X5yvRqp94SPIrvsCFQ1ZHAIkoL7GNrJCfTJCpwGcLqSr&#10;PjBJh5PpIl9OKSQpNp3PF3maSiaK59sOffikoGXRKDnSUBO6OD74EKsRxXNKfMyD0dVWG5Mc3O82&#10;BtlRkAC2aaUGXqUZy7qSL+eTeUK2EO8nbbQ6kECNbkt+k8c1SCay8dFWKSUIbQabKjH2TE9kZOAm&#10;9LueEiNNO6hORBTCIET6OGQ0gH8460iEJfe/DwIVZ+azJbKX49ksqjY5s/n7CTl4HdldR4SVBFXy&#10;wNlgbkJSeuTBwh0NpdaJr5dKzrWSuBKN548Q1Xvtp6yX77p+AgAA//8DAFBLAwQUAAYACAAAACEA&#10;hPHMht8AAAAJAQAADwAAAGRycy9kb3ducmV2LnhtbEyPy2rDMBBF94X+g5hAd4kcpXUax3IoBdOC&#10;V0n6AbI1fmBrZCzFcf++6qpdDvdw75n0tJiBzTi5zpKE7SYChlRZ3VEj4euar1+BOa9Iq8ESSvhG&#10;B6fs8SFVibZ3OuN88Q0LJeQSJaH1fkw4d1WLRrmNHZFCVtvJKB/OqeF6UvdQbgYuoijmRnUUFlo1&#10;4nuLVX+5GQmfRZXXojD17Put6Ytz+ZHXeymfVsvbEZjHxf/B8Ksf1CELTqW9kXZskBCLKA6ohPVu&#10;DywAh4N4BlZKeBE74FnK/3+Q/QAAAP//AwBQSwECLQAUAAYACAAAACEAtoM4kv4AAADhAQAAEwAA&#10;AAAAAAAAAAAAAAAAAAAAW0NvbnRlbnRfVHlwZXNdLnhtbFBLAQItABQABgAIAAAAIQA4/SH/1gAA&#10;AJQBAAALAAAAAAAAAAAAAAAAAC8BAABfcmVscy8ucmVsc1BLAQItABQABgAIAAAAIQCfUJ5nDAIA&#10;APYDAAAOAAAAAAAAAAAAAAAAAC4CAABkcnMvZTJvRG9jLnhtbFBLAQItABQABgAIAAAAIQCE8cyG&#10;3wAAAAkBAAAPAAAAAAAAAAAAAAAAAGYEAABkcnMvZG93bnJldi54bWxQSwUGAAAAAAQABADzAAAA&#10;cgUAAAAA&#10;" stroked="f">
              <v:textbox>
                <w:txbxContent>
                  <w:p w14:paraId="73F84177" w14:textId="77777777" w:rsidR="00333122" w:rsidRPr="009A0C4E" w:rsidRDefault="00333122" w:rsidP="00084A2C">
                    <w:pPr>
                      <w:spacing w:line="240" w:lineRule="auto"/>
                      <w:ind w:right="40"/>
                      <w:jc w:val="right"/>
                      <w:rPr>
                        <w:sz w:val="16"/>
                        <w:szCs w:val="16"/>
                      </w:rPr>
                    </w:pPr>
                    <w:r w:rsidRPr="009A0C4E">
                      <w:rPr>
                        <w:sz w:val="16"/>
                        <w:szCs w:val="16"/>
                      </w:rPr>
                      <w:t xml:space="preserve">Warszawa </w:t>
                    </w:r>
                    <w:r>
                      <w:rPr>
                        <w:sz w:val="16"/>
                        <w:szCs w:val="16"/>
                      </w:rPr>
                      <w:t>13</w:t>
                    </w:r>
                    <w:r>
                      <w:rPr>
                        <w:sz w:val="16"/>
                        <w:szCs w:val="16"/>
                      </w:rPr>
                      <w:t>.10</w:t>
                    </w:r>
                    <w:r w:rsidRPr="009A0C4E">
                      <w:rPr>
                        <w:sz w:val="16"/>
                        <w:szCs w:val="16"/>
                      </w:rPr>
                      <w:t>.202</w:t>
                    </w:r>
                    <w:r>
                      <w:rPr>
                        <w:sz w:val="16"/>
                        <w:szCs w:val="16"/>
                      </w:rPr>
                      <w:t>6</w:t>
                    </w:r>
                  </w:p>
                  <w:p w14:paraId="15F4621A" w14:textId="77777777" w:rsidR="00333122" w:rsidRDefault="00333122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37"/>
    <w:rsid w:val="0004587F"/>
    <w:rsid w:val="003E7279"/>
    <w:rsid w:val="00784137"/>
    <w:rsid w:val="008E0761"/>
    <w:rsid w:val="00AE35D5"/>
    <w:rsid w:val="00D27145"/>
    <w:rsid w:val="00E3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B03B"/>
  <w15:chartTrackingRefBased/>
  <w15:docId w15:val="{6E181D57-158D-4B71-849E-FF469530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137"/>
    <w:pPr>
      <w:spacing w:before="160" w:after="480" w:line="360" w:lineRule="auto"/>
      <w:ind w:left="720" w:right="720"/>
      <w:jc w:val="both"/>
    </w:pPr>
    <w:rPr>
      <w:rFonts w:ascii="Mulish" w:hAnsi="Mulish"/>
      <w:color w:val="595959" w:themeColor="text1" w:themeTint="A6"/>
      <w:kern w:val="20"/>
      <w:position w:val="8"/>
      <w:sz w:val="22"/>
      <w:szCs w:val="20"/>
      <w:lang w:eastAsia="ja-JP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4137"/>
    <w:pPr>
      <w:keepNext/>
      <w:keepLines/>
      <w:spacing w:before="360" w:after="80" w:line="278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4137"/>
    <w:pPr>
      <w:keepNext/>
      <w:keepLines/>
      <w:spacing w:after="80" w:line="278" w:lineRule="auto"/>
      <w:ind w:left="0" w:righ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137"/>
    <w:pPr>
      <w:keepNext/>
      <w:keepLines/>
      <w:spacing w:after="80" w:line="278" w:lineRule="auto"/>
      <w:ind w:left="0"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4137"/>
    <w:pPr>
      <w:keepNext/>
      <w:keepLines/>
      <w:spacing w:before="80" w:after="40" w:line="278" w:lineRule="auto"/>
      <w:ind w:left="0"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4137"/>
    <w:pPr>
      <w:keepNext/>
      <w:keepLines/>
      <w:spacing w:before="80" w:after="40" w:line="278" w:lineRule="auto"/>
      <w:ind w:left="0"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4137"/>
    <w:pPr>
      <w:keepNext/>
      <w:keepLines/>
      <w:spacing w:before="40" w:after="0" w:line="278" w:lineRule="auto"/>
      <w:ind w:left="0" w:right="0"/>
      <w:jc w:val="left"/>
      <w:outlineLvl w:val="5"/>
    </w:pPr>
    <w:rPr>
      <w:rFonts w:asciiTheme="minorHAnsi" w:eastAsiaTheme="majorEastAsia" w:hAnsiTheme="minorHAnsi" w:cstheme="majorBidi"/>
      <w:i/>
      <w:iCs/>
      <w:kern w:val="2"/>
      <w:position w:val="0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4137"/>
    <w:pPr>
      <w:keepNext/>
      <w:keepLines/>
      <w:spacing w:before="40" w:after="0" w:line="278" w:lineRule="auto"/>
      <w:ind w:left="0" w:right="0"/>
      <w:jc w:val="left"/>
      <w:outlineLvl w:val="6"/>
    </w:pPr>
    <w:rPr>
      <w:rFonts w:asciiTheme="minorHAnsi" w:eastAsiaTheme="majorEastAsia" w:hAnsiTheme="minorHAnsi" w:cstheme="majorBidi"/>
      <w:kern w:val="2"/>
      <w:position w:val="0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4137"/>
    <w:pPr>
      <w:keepNext/>
      <w:keepLines/>
      <w:spacing w:before="0" w:after="0" w:line="278" w:lineRule="auto"/>
      <w:ind w:left="0"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4137"/>
    <w:pPr>
      <w:keepNext/>
      <w:keepLines/>
      <w:spacing w:before="0" w:after="0" w:line="278" w:lineRule="auto"/>
      <w:ind w:left="0"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4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4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41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41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41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41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41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41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4137"/>
    <w:pPr>
      <w:spacing w:before="0" w:after="80" w:line="240" w:lineRule="auto"/>
      <w:ind w:left="0" w:right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position w:val="0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84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4137"/>
    <w:pPr>
      <w:numPr>
        <w:ilvl w:val="1"/>
      </w:numPr>
      <w:spacing w:before="0" w:after="160" w:line="278" w:lineRule="auto"/>
      <w:ind w:left="720" w:right="0"/>
      <w:jc w:val="left"/>
    </w:pPr>
    <w:rPr>
      <w:rFonts w:asciiTheme="minorHAnsi" w:eastAsiaTheme="majorEastAsia" w:hAnsiTheme="minorHAnsi" w:cstheme="majorBidi"/>
      <w:spacing w:val="15"/>
      <w:kern w:val="2"/>
      <w:position w:val="0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84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4137"/>
    <w:pPr>
      <w:spacing w:after="160" w:line="278" w:lineRule="auto"/>
      <w:ind w:left="0" w:right="0"/>
      <w:jc w:val="center"/>
    </w:pPr>
    <w:rPr>
      <w:rFonts w:asciiTheme="minorHAnsi" w:hAnsiTheme="minorHAnsi"/>
      <w:i/>
      <w:iCs/>
      <w:color w:val="404040" w:themeColor="text1" w:themeTint="BF"/>
      <w:kern w:val="2"/>
      <w:position w:val="0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841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4137"/>
    <w:pPr>
      <w:spacing w:before="0" w:after="160" w:line="278" w:lineRule="auto"/>
      <w:ind w:right="0"/>
      <w:contextualSpacing/>
      <w:jc w:val="left"/>
    </w:pPr>
    <w:rPr>
      <w:rFonts w:asciiTheme="minorHAnsi" w:hAnsiTheme="minorHAnsi"/>
      <w:color w:val="auto"/>
      <w:kern w:val="2"/>
      <w:position w:val="0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841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4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position w:val="0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41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4137"/>
    <w:rPr>
      <w:b/>
      <w:bCs/>
      <w:smallCaps/>
      <w:color w:val="0F4761" w:themeColor="accent1" w:themeShade="BF"/>
      <w:spacing w:val="5"/>
    </w:rPr>
  </w:style>
  <w:style w:type="paragraph" w:styleId="Podpis">
    <w:name w:val="Signature"/>
    <w:basedOn w:val="Normalny"/>
    <w:link w:val="PodpisZnak"/>
    <w:uiPriority w:val="7"/>
    <w:unhideWhenUsed/>
    <w:qFormat/>
    <w:rsid w:val="00784137"/>
    <w:pPr>
      <w:spacing w:before="120"/>
      <w:contextualSpacing/>
    </w:pPr>
    <w:rPr>
      <w:bCs/>
    </w:rPr>
  </w:style>
  <w:style w:type="character" w:customStyle="1" w:styleId="PodpisZnak">
    <w:name w:val="Podpis Znak"/>
    <w:basedOn w:val="Domylnaczcionkaakapitu"/>
    <w:link w:val="Podpis"/>
    <w:uiPriority w:val="7"/>
    <w:rsid w:val="00784137"/>
    <w:rPr>
      <w:rFonts w:ascii="Mulish" w:hAnsi="Mulish"/>
      <w:bCs/>
      <w:color w:val="595959" w:themeColor="text1" w:themeTint="A6"/>
      <w:kern w:val="20"/>
      <w:position w:val="8"/>
      <w:sz w:val="22"/>
      <w:szCs w:val="20"/>
      <w:lang w:eastAsia="ja-JP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4137"/>
    <w:pPr>
      <w:tabs>
        <w:tab w:val="center" w:pos="4680"/>
        <w:tab w:val="right" w:pos="9360"/>
      </w:tabs>
      <w:spacing w:before="0" w:after="0"/>
    </w:pPr>
    <w:rPr>
      <w:color w:val="0F5CA6"/>
      <w:spacing w:val="4"/>
      <w:position w:val="4"/>
      <w:sz w:val="12"/>
    </w:rPr>
  </w:style>
  <w:style w:type="character" w:customStyle="1" w:styleId="StopkaZnak">
    <w:name w:val="Stopka Znak"/>
    <w:basedOn w:val="Domylnaczcionkaakapitu"/>
    <w:link w:val="Stopka"/>
    <w:uiPriority w:val="99"/>
    <w:rsid w:val="00784137"/>
    <w:rPr>
      <w:rFonts w:ascii="Mulish" w:hAnsi="Mulish"/>
      <w:color w:val="0F5CA6"/>
      <w:spacing w:val="4"/>
      <w:kern w:val="20"/>
      <w:position w:val="4"/>
      <w:sz w:val="12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uxmed.p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5250</Characters>
  <Application>Microsoft Office Word</Application>
  <DocSecurity>4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2026-10-13T08:34:00Z</dcterms:created>
  <dcterms:modified xsi:type="dcterms:W3CDTF">2026-10-13T08:34:00Z</dcterms:modified>
</cp:coreProperties>
</file>