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368300" cy="330200"/>
            <wp:effectExtent t="0" b="0" r="0" l="0"/>
            <wp:docPr id="6" name="media/image6.jpg"/>
            <a:graphic>
              <a:graphicData uri="http://schemas.openxmlformats.org/drawingml/2006/picture">
                <pic:pic>
                  <pic:nvPicPr>
                    <pic:cNvPr id="6" name="media/image6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ext cx="368300" cy="33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Medicover w Polsce – Biuro Prasowe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7">
        <w:r w:rsidR="00000000" w:rsidRPr="00000000" w:rsidDel="00000000">
          <w:rPr>
            <w:color w:val="1155cc"/>
            <w:u w:val="single"/>
            <w:rtl w:val="0"/>
          </w:rPr>
          <w:t xml:space="preserve">biuroprasowe.medicover.pl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858000" cy="3429000"/>
            <wp:effectExtent t="0" b="0" r="0" l="0"/>
            <wp:docPr id="8" name="media/image8.jpg"/>
            <a:graphic>
              <a:graphicData uri="http://schemas.openxmlformats.org/drawingml/2006/picture">
                <pic:pic>
                  <pic:nvPicPr>
                    <pic:cNvPr id="8" name="media/image8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ext cx="6858000" cy="342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48"/>
          <w:b w:val="1"/>
          <w:rtl w:val="0"/>
        </w:rPr>
      </w:pPr>
      <w:r w:rsidR="00000000" w:rsidRPr="00000000" w:rsidDel="00000000">
        <w:rPr>
          <w:sz w:val="48"/>
          <w:b w:val="1"/>
          <w:rtl w:val="0"/>
        </w:rPr>
        <w:t xml:space="preserve">,,H” to kluczowy wskaźnik ESG: wpływ na zdrowie da się zmierzyć – w Medicover to +63%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2026-10-12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4"/>
          <w:rtl w:val="0"/>
        </w:rPr>
      </w:pPr>
      <w:r w:rsidR="00000000" w:rsidRPr="00000000" w:rsidDel="00000000">
        <w:rPr>
          <w:sz w:val="34"/>
          <w:rtl w:val="0"/>
        </w:rPr>
        <w:t xml:space="preserve">O tym, że wpływ firm medycznych jest kluczowy dla kondycji zdrowotnej społeczeństwa nie trzeba nikogo przekonywać. Tym bardziej, że dziś można go bardzo precyzyjnie mierzyć. Z wynikiem +63% wpływu netto w niezależnym modelu Upright, Grupa Medicover plasuje się w światowej czołówce spółek giełdowych w tym obszarze.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Stworzony przez fiński Upright Project matematyczny model Upright analizuje wpływ przedsiębiorstw na cztery główne obszary: Środowisko, Społeczeństwo, Wiedzę i Zdrowie. W celu obliczenia wskaźnika „Net Health Impact” (wpływu zdrowotnego netto) dla firm medycznych, model przelicza na wartość finansową i procentową zarówno pozytywny, jak i negatywny wpływ świadczonych usług, np. tych związanych z wykonywanymi zabiegami czy profilaktyką.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8"/>
          <w:rtl w:val="0"/>
        </w:rPr>
      </w:pPr>
      <w:r w:rsidR="00000000" w:rsidRPr="00000000" w:rsidDel="00000000">
        <w:rPr>
          <w:sz w:val="38"/>
          <w:rtl w:val="0"/>
        </w:rPr>
        <w:t xml:space="preserve">Health Impact jest w centrum naszego biznesu, nierozerwalnie związany z naszymi wartościami i misją, która obejmuje zwiększanie dostępu do wysokiej jakości opieki zdrowotnej oraz promowanie profilaktyki i zdrowego stylu życia. Mierzymy go i konsekwentnie zwiększamy w skali całej organizacji. Jednocześnie chcemy pokazać, że warto mówić o tym kluczowym obszarze ESG. Nie tylko wpływa on na kondycję organizacji i gospodarki, ale przede wszystkim obejmuje konkretne, mierzalne działania, mające ogromny wpływ na zdrowie społeczeństw i jednostek. W Polsce, jako organizacja działająca w obszarze prywatnej opieki zdrowotnej odciążamy system publiczny, inwestujemy w ochronę zdrowia i obsługujemy pacjentów w ramach NFZ. Cieszy mnie uzyskany wysoki wynik +63%, który potwierdza skuteczność naszej strategii
</w:t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– mówi dr Artur Białkowski, Prezes Zarządu Medicover.
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Oparta na profilaktyce i wczesnej diagnostyce strategia organizacji zakłada m.in. przeprowadzanie ponad 10 milionów badań przesiewowych rocznie ze szczególnym uwzględnieniem cukrzycy, chorób serca i nowotworów. Firma zamierza również prowadzić programy wspierające zdrowy styl życia, które przynoszą pozytywne efekty u co najmniej 80% uczestników znajdujących się w grupie zwiększonego ryzyka zdrowotnego.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8"/>
          <w:rtl w:val="0"/>
        </w:rPr>
      </w:pPr>
      <w:r w:rsidR="00000000" w:rsidRPr="00000000" w:rsidDel="00000000">
        <w:rPr>
          <w:sz w:val="38"/>
          <w:rtl w:val="0"/>
        </w:rPr>
        <w:t xml:space="preserve">Wśród najważniejszych celów naszej strategii zrównoważonego rozwoju znajdują się zmniejszanie wpływu na środowisko oraz poprawa zdrowia i jakości życia. Dlatego szczególną wagę przykładamy do Health Impact, przeliczającegokorzyści zdrowotne dostarczane przez nas społeczeństwu w skali globalnej. Naszą ambicją jest również utrzymanie wskaźnika NPS pacjentów, czyli jednego z najważniejszych wskaźników satysfakcji klientów, na poziomie co najmniej 75. Jednak długofalowe cele Medicover w zakresie zrównoważonego rozwoju wykraczają daleko poza obszar ochrony zdrowia</w:t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– podkreśla Sonia Kondratowicz, Corporate Sustainability Director w Medicover.
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>Wpływ, który wykracza poza zdrowie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Cele Grupy Medicover w sposób kompleksowy łączą kwestie środowiskowe, społeczne oraz etyczne, podkreślając troskę o pracowników, lokalne społeczności i planetę.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W obszarze ochrony klimatu firma stawia na minimalizację wpływu na otoczenie. Zgodnie z wytycznymi inicjatywy Science Based Targets initiative (SBTi), wspierającej biznes w ustalaniu celów redukcji emisji gazów cieplarnianych, zobowiązała się do ograniczenia do 2030 roku bezpośrednich emisji z własnej działalności oraz emisji związanych z zakupioną energią (Zakres 1 i 2) o 42% w porównaniu z rokiem 2024. Równie istotna jest redukcja o 51,6% intensywności emisji w Zakresie 3, związanych z zakupionymi towarami i usługami. Działaniom tym towarzyszy dynamiczny rozwój wykorzystania energii odnawialnej, wdrożenie standardowych wymogów efektywności energetycznej we wszystkich nowych inwestycjach, a także konsekwentne ograniczanie zużycia wody i wygenerowanych odpadów.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Równolegle jednym z priorytetów grupy jest tworzenie wyjątkowego środowiska pracy, z dążeniem do osiągnięcia wskaźnika zaangażowania pracowników, który uplasuje ją w gronie 25% organizacji z najlepszym wynikiem na rynku. Ważnym filarem rozwoju zespołu jest także promowanie awansów i indywidualnych ścieżek kariery wewnątrz organizacji – założenie, że mobilność wewnętrzna na stanowiskach niemedycznych osiągnie poziom od 20% do 30%.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8"/>
          <w:rtl w:val="0"/>
        </w:rPr>
      </w:pPr>
      <w:r w:rsidR="00000000" w:rsidRPr="00000000" w:rsidDel="00000000">
        <w:rPr>
          <w:sz w:val="38"/>
          <w:rtl w:val="0"/>
        </w:rPr>
        <w:t xml:space="preserve">Dopełnieniem naszych celów dotyczących zrównoważonego rozwoju jest pełna przejrzystość w zakresie partnerstwa i etyki biznesowej. Dążymy do tego, aby co najmniej 95% wartości zakupów realizowanych u 10 największych dostawców na każdym rynku pochodziło od firm, które zobowiązały się do przestrzegania zasad Kodeksu Postępowania Dostawców Medicover. Z kolei wewnątrz organizacji fundamentem kultury korporacyjnej pozostaje pełne zrozumienie przyjętych zasad – plan zakłada, że nie tylko każdy z naszych pracowników, ale i współpracowników ukończy szkolenie dotyczące Kodeksu Postępowania
</w:t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– dodaje Sonia Kondratowicz, Corporate Sustainability Director w Medicover.
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Połączenie misji zdrowotnej z odpowiedzialnością za środowisko i otoczenie społeczne, ze szczególnym naciskiem na stałe zwiększanie Health Impact w ramach kompleksowej strategii ESG, ma prowadzić do poprawy jakości życia milionów ludzi i przynosić trwałe korzyści pracownikom oraz partnerom spółki.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tbl>
      <w:tblPr>
        <w:tblStyle w:val="DefaultTable"/>
        <w:bidiVisual w:val="0"/>
        <w:tblW w:w="9360.0" w:type="dxa"/>
        <w:tblInd w:w="0.0" w:type="dxa"/>
        <w:jc w:val="center"/>
        <w:tblLayout w:type="fixed"/>
        <w:tblLook w:val="0600"/>
      </w:tblPr>
      <w:tblGrid>
        <w:gridCol w:w="1000"/>
        <w:gridCol w:w="4600"/>
        <w:gridCol w:w="1400"/>
        <w:tblGridChange w:id="0">
          <w:tblGrid>
            <w:gridCol w:w="1000"/>
            <w:gridCol w:w="4600"/>
            <w:gridCol w:w="1400"/>
          </w:tblGrid>
        </w:tblGridChange>
      </w:tblGrid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Medicover w Polsce - Backgrounder PL&amp;amp;ENG 2026.pdf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9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spacing w:lineRule="auto" w:line="320"/>
              <w:contextualSpacing w:val="0"/>
              <w:jc w:val="left"/>
              <w:rPr/>
            </w:pPr>
            <w:r w:rsidR="00000000" w:rsidRPr="00000000" w:rsidDel="00000000">
              <w:drawing>
                <wp:inline distR="101600" distT="101600" distB="101600" distL="101600">
                  <wp:extent cx="508000" cy="508000"/>
                  <wp:effectExtent t="0" b="0" r="0" l="0"/>
                  <wp:docPr id="10" name="media/image10.jpg"/>
                  <a:graphic>
                    <a:graphicData uri="http://schemas.openxmlformats.org/drawingml/2006/picture">
                      <pic:pic>
                        <pic:nvPicPr>
                          <pic:cNvPr id="10" name="media/image10.jpg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ext cx="508000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RPr="00000000" w:rsidDel="00000000">
              <w:rPr>
                <w:rtl w:val="0"/>
              </w:rPr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H to kluczowy wskaźnik ESG wpływ na zdrowie da się zmierzyć – w Medicover to +63%.jpg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9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</w:tbl>
    <w:sectPr>
      <w:pgSz w:w="12240" w:h="15840" w:orient="portrait"/>
      <w:pgMar w:top="720" w:bottom="720" w:left="720" w:right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Relationship Target="media/image6.jpg" Type="http://schemas.openxmlformats.org/officeDocument/2006/relationships/image" Id="rId6"/><Relationship Target="http://biuroprasowe.medicover.pl" Type="http://schemas.openxmlformats.org/officeDocument/2006/relationships/hyperlink" Id="rId7" TargetMode="External"/><Relationship Target="media/image8.jpg" Type="http://schemas.openxmlformats.org/officeDocument/2006/relationships/image" Id="rId8"/><Relationship Target="" Type="http://schemas.openxmlformats.org/officeDocument/2006/relationships/hyperlink" Id="rId9" TargetMode="External"/><Relationship Target="media/image10.jpg" Type="http://schemas.openxmlformats.org/officeDocument/2006/relationships/image" Id="rId10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7656f271eb8c685170964f39a19e8981978fad9554bb50e5056969bb4f01e0d5h-to-kluczowy-wskaznik-esg-wplyw-20261012-8-b7jqao.docx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