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249D7" w14:textId="2F84EAAC" w:rsidR="00A41C85" w:rsidRPr="00C4444C" w:rsidRDefault="00306102">
      <w:pPr>
        <w:spacing w:before="240" w:after="240" w:line="300" w:lineRule="auto"/>
        <w:jc w:val="right"/>
        <w:rPr>
          <w:rFonts w:asciiTheme="majorHAnsi" w:eastAsia="Calibri" w:hAnsiTheme="majorHAnsi" w:cstheme="majorHAnsi"/>
          <w:sz w:val="20"/>
          <w:szCs w:val="20"/>
        </w:rPr>
      </w:pPr>
      <w:r w:rsidRPr="00C4444C">
        <w:rPr>
          <w:rFonts w:asciiTheme="majorHAnsi" w:eastAsia="Calibri" w:hAnsiTheme="majorHAnsi" w:cstheme="majorHAnsi"/>
          <w:sz w:val="20"/>
          <w:szCs w:val="20"/>
        </w:rPr>
        <w:t xml:space="preserve">Warszawa </w:t>
      </w:r>
      <w:r w:rsidR="00E95B33" w:rsidRPr="00C4444C">
        <w:rPr>
          <w:rFonts w:asciiTheme="majorHAnsi" w:eastAsia="Calibri" w:hAnsiTheme="majorHAnsi" w:cstheme="majorHAnsi"/>
          <w:sz w:val="20"/>
          <w:szCs w:val="20"/>
        </w:rPr>
        <w:t>09.</w:t>
      </w:r>
      <w:r w:rsidRPr="00C4444C">
        <w:rPr>
          <w:rFonts w:asciiTheme="majorHAnsi" w:eastAsia="Calibri" w:hAnsiTheme="majorHAnsi" w:cstheme="majorHAnsi"/>
          <w:sz w:val="20"/>
          <w:szCs w:val="20"/>
        </w:rPr>
        <w:t>10.2026 r.</w:t>
      </w:r>
    </w:p>
    <w:p w14:paraId="6EE7663D" w14:textId="77777777" w:rsidR="00A41C85" w:rsidRPr="00C4444C" w:rsidRDefault="00306102">
      <w:pPr>
        <w:spacing w:before="480" w:after="480" w:line="259" w:lineRule="auto"/>
        <w:jc w:val="both"/>
        <w:rPr>
          <w:rFonts w:asciiTheme="majorHAnsi" w:eastAsia="Calibri" w:hAnsiTheme="majorHAnsi" w:cstheme="majorHAnsi"/>
          <w:color w:val="161616"/>
          <w:sz w:val="24"/>
          <w:szCs w:val="24"/>
        </w:rPr>
      </w:pPr>
      <w:r w:rsidRPr="00C4444C">
        <w:rPr>
          <w:rFonts w:asciiTheme="majorHAnsi" w:eastAsia="Calibri" w:hAnsiTheme="majorHAnsi" w:cstheme="majorHAnsi"/>
          <w:color w:val="161616"/>
          <w:sz w:val="24"/>
          <w:szCs w:val="24"/>
        </w:rPr>
        <w:t>INFORMACJA PRASOWA</w:t>
      </w:r>
    </w:p>
    <w:p w14:paraId="3E4A27A6" w14:textId="1D836FE2" w:rsidR="00A41C85" w:rsidRPr="00C4444C" w:rsidRDefault="00306102">
      <w:pPr>
        <w:spacing w:before="240" w:after="240"/>
        <w:jc w:val="both"/>
        <w:rPr>
          <w:rFonts w:asciiTheme="majorHAnsi" w:eastAsia="Calibri" w:hAnsiTheme="majorHAnsi" w:cstheme="majorHAnsi"/>
          <w:b/>
          <w:bCs/>
        </w:rPr>
      </w:pPr>
      <w:r w:rsidRPr="00C4444C">
        <w:rPr>
          <w:rFonts w:asciiTheme="majorHAnsi" w:eastAsia="Calibri" w:hAnsiTheme="majorHAnsi" w:cstheme="majorHAnsi"/>
          <w:b/>
          <w:bCs/>
          <w:sz w:val="26"/>
          <w:szCs w:val="26"/>
        </w:rPr>
        <w:t xml:space="preserve">BIG InfoMonitor: </w:t>
      </w:r>
      <w:r w:rsidR="00C562E7" w:rsidRPr="00C4444C">
        <w:rPr>
          <w:rFonts w:asciiTheme="majorHAnsi" w:eastAsia="Calibri" w:hAnsiTheme="majorHAnsi" w:cstheme="majorHAnsi"/>
          <w:b/>
          <w:bCs/>
          <w:sz w:val="26"/>
          <w:szCs w:val="26"/>
        </w:rPr>
        <w:t>Producenci napojów tracą płynność</w:t>
      </w:r>
      <w:r w:rsidR="008348F0" w:rsidRPr="00C4444C">
        <w:rPr>
          <w:rFonts w:asciiTheme="majorHAnsi" w:eastAsia="Calibri" w:hAnsiTheme="majorHAnsi" w:cstheme="majorHAnsi"/>
          <w:b/>
          <w:bCs/>
          <w:sz w:val="26"/>
          <w:szCs w:val="26"/>
        </w:rPr>
        <w:t xml:space="preserve"> finansową</w:t>
      </w:r>
      <w:r w:rsidR="00C562E7" w:rsidRPr="00C4444C">
        <w:rPr>
          <w:rFonts w:asciiTheme="majorHAnsi" w:eastAsia="Calibri" w:hAnsiTheme="majorHAnsi" w:cstheme="majorHAnsi"/>
          <w:b/>
          <w:bCs/>
          <w:sz w:val="26"/>
          <w:szCs w:val="26"/>
        </w:rPr>
        <w:t xml:space="preserve">. Zaległości </w:t>
      </w:r>
      <w:r w:rsidR="007B160F" w:rsidRPr="00C4444C">
        <w:rPr>
          <w:rFonts w:asciiTheme="majorHAnsi" w:eastAsia="Calibri" w:hAnsiTheme="majorHAnsi" w:cstheme="majorHAnsi"/>
          <w:b/>
          <w:bCs/>
          <w:sz w:val="26"/>
          <w:szCs w:val="26"/>
        </w:rPr>
        <w:t xml:space="preserve">płatnicze </w:t>
      </w:r>
      <w:r w:rsidR="00C562E7" w:rsidRPr="00C4444C">
        <w:rPr>
          <w:rFonts w:asciiTheme="majorHAnsi" w:eastAsia="Calibri" w:hAnsiTheme="majorHAnsi" w:cstheme="majorHAnsi"/>
          <w:b/>
          <w:bCs/>
          <w:sz w:val="26"/>
          <w:szCs w:val="26"/>
        </w:rPr>
        <w:t>przekroczyły</w:t>
      </w:r>
      <w:r w:rsidR="007B160F" w:rsidRPr="00C4444C">
        <w:rPr>
          <w:rFonts w:asciiTheme="majorHAnsi" w:eastAsia="Calibri" w:hAnsiTheme="majorHAnsi" w:cstheme="majorHAnsi"/>
          <w:b/>
          <w:bCs/>
          <w:sz w:val="26"/>
          <w:szCs w:val="26"/>
        </w:rPr>
        <w:t xml:space="preserve"> </w:t>
      </w:r>
      <w:r w:rsidR="00C562E7" w:rsidRPr="00C4444C">
        <w:rPr>
          <w:rFonts w:asciiTheme="majorHAnsi" w:eastAsia="Calibri" w:hAnsiTheme="majorHAnsi" w:cstheme="majorHAnsi"/>
          <w:b/>
          <w:bCs/>
          <w:sz w:val="26"/>
          <w:szCs w:val="26"/>
        </w:rPr>
        <w:t>109 mln zł</w:t>
      </w:r>
    </w:p>
    <w:p w14:paraId="0001BB2F" w14:textId="0E3EC645" w:rsidR="00B3396F" w:rsidRPr="00C4444C" w:rsidRDefault="00106BDF">
      <w:pPr>
        <w:spacing w:before="240" w:after="240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  <w:r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>Mi</w:t>
      </w:r>
      <w:r w:rsidR="00E95B33"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>nął</w:t>
      </w:r>
      <w:r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 rok od wprowadzenia w Polsce systemu kaucyjnego. </w:t>
      </w:r>
      <w:r w:rsidR="00F354EC"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Po roku od jego uruchomienia dane finansowe wskazują na wyraźny wzrost obciążeń </w:t>
      </w:r>
      <w:r w:rsidR="00DB6AC6"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>wśród producentów napojów</w:t>
      </w:r>
      <w:r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. </w:t>
      </w:r>
      <w:r w:rsidR="009C16CD"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Jak wynika z najnowszych danych Rejestru Dłużników BIG InfoMonitor i opóźnionych zobowiązań kredytowych w bazie BIK, </w:t>
      </w:r>
      <w:r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łączna kwota nieopłaconych w terminie zobowiązań branży wzrosła w skali roku o 14,4 proc. i przekroczyła </w:t>
      </w:r>
      <w:r w:rsidR="009C16CD"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w sierpniu </w:t>
      </w:r>
      <w:r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>10</w:t>
      </w:r>
      <w:r w:rsidR="009C16CD"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>9</w:t>
      </w:r>
      <w:r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 mln zł. Największy </w:t>
      </w:r>
      <w:r w:rsidR="007B160F"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skok </w:t>
      </w:r>
      <w:r w:rsidR="002D7548"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przeterminowanego </w:t>
      </w:r>
      <w:r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>zadłużenia, bo aż o 4</w:t>
      </w:r>
      <w:r w:rsidR="009C16CD"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>6</w:t>
      </w:r>
      <w:r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 proc. (czyli o 10,</w:t>
      </w:r>
      <w:r w:rsidR="009C16CD"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>3</w:t>
      </w:r>
      <w:r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 xml:space="preserve"> mln zł), odnotowali producenci napojów bezalkoholowych i wód mineralnych</w:t>
      </w:r>
      <w:r w:rsidR="00E13438" w:rsidRPr="00C4444C">
        <w:rPr>
          <w:rFonts w:asciiTheme="majorHAnsi" w:eastAsia="Calibri" w:hAnsiTheme="majorHAnsi" w:cstheme="majorHAnsi"/>
          <w:b/>
          <w:bCs/>
          <w:sz w:val="24"/>
          <w:szCs w:val="24"/>
        </w:rPr>
        <w:t>.</w:t>
      </w:r>
      <w:r w:rsidR="00F3720E" w:rsidRPr="00C4444C">
        <w:rPr>
          <w:rFonts w:asciiTheme="majorHAnsi" w:hAnsiTheme="majorHAnsi" w:cstheme="majorHAnsi"/>
        </w:rPr>
        <w:t xml:space="preserve"> </w:t>
      </w:r>
    </w:p>
    <w:p w14:paraId="0F1A7898" w14:textId="77777777" w:rsidR="00604DFD" w:rsidRPr="00C4444C" w:rsidRDefault="00604DFD">
      <w:pPr>
        <w:spacing w:before="240" w:after="240"/>
        <w:jc w:val="both"/>
        <w:rPr>
          <w:rFonts w:asciiTheme="majorHAnsi" w:eastAsia="Calibri" w:hAnsiTheme="majorHAnsi" w:cstheme="majorHAnsi"/>
          <w:b/>
          <w:bCs/>
          <w:sz w:val="24"/>
          <w:szCs w:val="24"/>
        </w:rPr>
      </w:pPr>
    </w:p>
    <w:p w14:paraId="50529A87" w14:textId="6A6D5924" w:rsidR="00045562" w:rsidRPr="00C4444C" w:rsidRDefault="00045562">
      <w:pPr>
        <w:spacing w:before="240" w:after="240"/>
        <w:jc w:val="both"/>
        <w:rPr>
          <w:rFonts w:asciiTheme="majorHAnsi" w:eastAsia="Calibri" w:hAnsiTheme="majorHAnsi" w:cstheme="majorHAnsi"/>
          <w:b/>
          <w:bCs/>
        </w:rPr>
      </w:pPr>
      <w:r w:rsidRPr="00C4444C">
        <w:rPr>
          <w:rFonts w:asciiTheme="majorHAnsi" w:eastAsia="Calibri" w:hAnsiTheme="majorHAnsi" w:cstheme="majorHAnsi"/>
          <w:b/>
          <w:bCs/>
        </w:rPr>
        <w:t>Kluczowe dane:</w:t>
      </w:r>
    </w:p>
    <w:p w14:paraId="1C8E4A29" w14:textId="10D1B0F4" w:rsidR="00F83806" w:rsidRPr="00C4444C" w:rsidRDefault="003B345B" w:rsidP="00493FF2">
      <w:pPr>
        <w:pStyle w:val="Normalny1"/>
        <w:numPr>
          <w:ilvl w:val="0"/>
          <w:numId w:val="1"/>
        </w:numPr>
        <w:jc w:val="both"/>
        <w:rPr>
          <w:rFonts w:asciiTheme="majorHAnsi" w:eastAsia="Calibri" w:hAnsiTheme="majorHAnsi" w:cstheme="majorHAnsi"/>
          <w:b/>
        </w:rPr>
      </w:pPr>
      <w:r w:rsidRPr="00C4444C">
        <w:rPr>
          <w:rFonts w:asciiTheme="majorHAnsi" w:hAnsiTheme="majorHAnsi" w:cstheme="majorHAnsi"/>
          <w:b/>
          <w:bCs/>
        </w:rPr>
        <w:t xml:space="preserve">Ponad 109 mln zł wyniosły w sierpniu 2026 r. </w:t>
      </w:r>
      <w:r w:rsidRPr="00C4444C">
        <w:rPr>
          <w:rFonts w:asciiTheme="majorHAnsi" w:hAnsiTheme="majorHAnsi" w:cstheme="majorHAnsi"/>
        </w:rPr>
        <w:t>przeterminowane</w:t>
      </w:r>
      <w:r w:rsidRPr="00C4444C">
        <w:rPr>
          <w:rFonts w:asciiTheme="majorHAnsi" w:eastAsia="Calibri" w:hAnsiTheme="majorHAnsi" w:cstheme="majorHAnsi"/>
        </w:rPr>
        <w:t xml:space="preserve"> zobowiązania producentów napojów (PKD 11</w:t>
      </w:r>
      <w:r w:rsidRPr="00C4444C">
        <w:rPr>
          <w:rFonts w:asciiTheme="majorHAnsi" w:hAnsiTheme="majorHAnsi" w:cstheme="majorHAnsi"/>
        </w:rPr>
        <w:t>),</w:t>
      </w:r>
      <w:r w:rsidRPr="00C4444C">
        <w:rPr>
          <w:rFonts w:asciiTheme="majorHAnsi" w:eastAsia="Calibri" w:hAnsiTheme="majorHAnsi" w:cstheme="majorHAnsi"/>
        </w:rPr>
        <w:t xml:space="preserve"> </w:t>
      </w:r>
      <w:r w:rsidRPr="00C4444C">
        <w:rPr>
          <w:rFonts w:asciiTheme="majorHAnsi" w:eastAsia="Calibri" w:hAnsiTheme="majorHAnsi" w:cstheme="majorHAnsi"/>
          <w:b/>
          <w:bCs/>
        </w:rPr>
        <w:t>o 14,4 proc</w:t>
      </w:r>
      <w:r w:rsidRPr="00C4444C">
        <w:rPr>
          <w:rFonts w:asciiTheme="majorHAnsi" w:hAnsiTheme="majorHAnsi" w:cstheme="majorHAnsi"/>
          <w:b/>
          <w:bCs/>
        </w:rPr>
        <w:t>. więcej</w:t>
      </w:r>
      <w:r w:rsidRPr="00C4444C">
        <w:rPr>
          <w:rFonts w:asciiTheme="majorHAnsi" w:hAnsiTheme="majorHAnsi" w:cstheme="majorHAnsi"/>
        </w:rPr>
        <w:t xml:space="preserve"> niż rok wcześniej</w:t>
      </w:r>
      <w:r w:rsidR="00E13438" w:rsidRPr="00C4444C">
        <w:rPr>
          <w:rFonts w:asciiTheme="majorHAnsi" w:hAnsiTheme="majorHAnsi" w:cstheme="majorHAnsi"/>
        </w:rPr>
        <w:t>;</w:t>
      </w:r>
    </w:p>
    <w:p w14:paraId="6D7D0358" w14:textId="5D54CDBC" w:rsidR="00F83806" w:rsidRPr="00C4444C" w:rsidRDefault="00C45902" w:rsidP="00493FF2">
      <w:pPr>
        <w:pStyle w:val="Normalny1"/>
        <w:numPr>
          <w:ilvl w:val="0"/>
          <w:numId w:val="1"/>
        </w:numPr>
        <w:jc w:val="both"/>
        <w:rPr>
          <w:rFonts w:asciiTheme="majorHAnsi" w:eastAsia="Calibri" w:hAnsiTheme="majorHAnsi" w:cstheme="majorHAnsi"/>
          <w:b/>
        </w:rPr>
      </w:pPr>
      <w:r w:rsidRPr="00C4444C">
        <w:rPr>
          <w:rFonts w:asciiTheme="majorHAnsi" w:hAnsiTheme="majorHAnsi" w:cstheme="majorHAnsi"/>
          <w:b/>
          <w:bCs/>
        </w:rPr>
        <w:t>46 proc. – o tyle w ciągu roku wzrosły</w:t>
      </w:r>
      <w:r w:rsidRPr="00C4444C">
        <w:rPr>
          <w:rFonts w:asciiTheme="majorHAnsi" w:eastAsia="Calibri" w:hAnsiTheme="majorHAnsi" w:cstheme="majorHAnsi"/>
          <w:b/>
        </w:rPr>
        <w:t xml:space="preserve"> zaległości producentów napojów bezalkoholowych i wód mineralnych (PKD 1107Z</w:t>
      </w:r>
      <w:r w:rsidRPr="00C4444C">
        <w:rPr>
          <w:rFonts w:asciiTheme="majorHAnsi" w:hAnsiTheme="majorHAnsi" w:cstheme="majorHAnsi"/>
          <w:b/>
          <w:bCs/>
        </w:rPr>
        <w:t>), osiągając</w:t>
      </w:r>
      <w:r w:rsidRPr="00C4444C">
        <w:rPr>
          <w:rFonts w:asciiTheme="majorHAnsi" w:eastAsia="Calibri" w:hAnsiTheme="majorHAnsi" w:cstheme="majorHAnsi"/>
          <w:b/>
        </w:rPr>
        <w:t xml:space="preserve"> 32,</w:t>
      </w:r>
      <w:r w:rsidRPr="00C4444C">
        <w:rPr>
          <w:rFonts w:asciiTheme="majorHAnsi" w:hAnsiTheme="majorHAnsi" w:cstheme="majorHAnsi"/>
          <w:b/>
          <w:bCs/>
        </w:rPr>
        <w:t>7</w:t>
      </w:r>
      <w:r w:rsidRPr="00C4444C">
        <w:rPr>
          <w:rFonts w:asciiTheme="majorHAnsi" w:eastAsia="Calibri" w:hAnsiTheme="majorHAnsi" w:cstheme="majorHAnsi"/>
          <w:b/>
        </w:rPr>
        <w:t xml:space="preserve"> mln zł</w:t>
      </w:r>
      <w:r w:rsidR="00B3396F" w:rsidRPr="00C4444C">
        <w:rPr>
          <w:rFonts w:asciiTheme="majorHAnsi" w:eastAsia="Calibri" w:hAnsiTheme="majorHAnsi" w:cstheme="majorHAnsi"/>
          <w:b/>
        </w:rPr>
        <w:t>;</w:t>
      </w:r>
    </w:p>
    <w:p w14:paraId="4B579AAF" w14:textId="699C876A" w:rsidR="00F83806" w:rsidRPr="00C4444C" w:rsidRDefault="000737A5" w:rsidP="00493FF2">
      <w:pPr>
        <w:pStyle w:val="Normalny1"/>
        <w:numPr>
          <w:ilvl w:val="0"/>
          <w:numId w:val="1"/>
        </w:numPr>
        <w:jc w:val="both"/>
        <w:rPr>
          <w:rFonts w:asciiTheme="majorHAnsi" w:eastAsia="Calibri" w:hAnsiTheme="majorHAnsi" w:cstheme="majorHAnsi"/>
          <w:bCs/>
        </w:rPr>
      </w:pPr>
      <w:r w:rsidRPr="00C4444C">
        <w:rPr>
          <w:rFonts w:asciiTheme="majorHAnsi" w:hAnsiTheme="majorHAnsi" w:cstheme="majorHAnsi"/>
          <w:b/>
          <w:bCs/>
        </w:rPr>
        <w:t>43,3 mln zł wynoszą zaległości browarów</w:t>
      </w:r>
      <w:r w:rsidRPr="00C4444C">
        <w:rPr>
          <w:rFonts w:asciiTheme="majorHAnsi" w:eastAsia="Calibri" w:hAnsiTheme="majorHAnsi" w:cstheme="majorHAnsi"/>
          <w:b/>
        </w:rPr>
        <w:t xml:space="preserve"> </w:t>
      </w:r>
      <w:r w:rsidRPr="00C4444C">
        <w:rPr>
          <w:rFonts w:asciiTheme="majorHAnsi" w:eastAsia="Calibri" w:hAnsiTheme="majorHAnsi" w:cstheme="majorHAnsi"/>
          <w:bCs/>
        </w:rPr>
        <w:t>(PKD 1105Z</w:t>
      </w:r>
      <w:r w:rsidRPr="00C4444C">
        <w:rPr>
          <w:rFonts w:asciiTheme="majorHAnsi" w:hAnsiTheme="majorHAnsi" w:cstheme="majorHAnsi"/>
          <w:bCs/>
        </w:rPr>
        <w:t>) – to najwyższa kwota wśród producentów napojów.</w:t>
      </w:r>
      <w:r w:rsidRPr="00C4444C">
        <w:rPr>
          <w:rFonts w:asciiTheme="majorHAnsi" w:eastAsia="Calibri" w:hAnsiTheme="majorHAnsi" w:cstheme="majorHAnsi"/>
          <w:bCs/>
        </w:rPr>
        <w:t xml:space="preserve"> Z terminowymi płatnościami nie radzi sobie co dziewiąty producent piwa</w:t>
      </w:r>
      <w:r w:rsidR="00B3396F" w:rsidRPr="00C4444C">
        <w:rPr>
          <w:rFonts w:asciiTheme="majorHAnsi" w:eastAsia="Calibri" w:hAnsiTheme="majorHAnsi" w:cstheme="majorHAnsi"/>
          <w:bCs/>
        </w:rPr>
        <w:t>;</w:t>
      </w:r>
    </w:p>
    <w:p w14:paraId="3B337BAD" w14:textId="085B6274" w:rsidR="00F83806" w:rsidRPr="00C4444C" w:rsidRDefault="00474E09" w:rsidP="00FC793B">
      <w:pPr>
        <w:pStyle w:val="Normalny1"/>
        <w:numPr>
          <w:ilvl w:val="0"/>
          <w:numId w:val="1"/>
        </w:numPr>
        <w:jc w:val="both"/>
        <w:rPr>
          <w:rFonts w:asciiTheme="majorHAnsi" w:eastAsia="Calibri" w:hAnsiTheme="majorHAnsi" w:cstheme="majorHAnsi"/>
          <w:b/>
        </w:rPr>
      </w:pPr>
      <w:r w:rsidRPr="00C4444C">
        <w:rPr>
          <w:rFonts w:asciiTheme="majorHAnsi" w:hAnsiTheme="majorHAnsi" w:cstheme="majorHAnsi"/>
          <w:b/>
          <w:bCs/>
        </w:rPr>
        <w:t>26 proc. – o tyle spadły zaległości</w:t>
      </w:r>
      <w:r w:rsidRPr="00C4444C">
        <w:rPr>
          <w:rFonts w:asciiTheme="majorHAnsi" w:eastAsia="Calibri" w:hAnsiTheme="majorHAnsi" w:cstheme="majorHAnsi"/>
          <w:b/>
        </w:rPr>
        <w:t xml:space="preserve"> producentów win gronowych </w:t>
      </w:r>
      <w:r w:rsidRPr="00C4444C">
        <w:rPr>
          <w:rFonts w:asciiTheme="majorHAnsi" w:eastAsia="Calibri" w:hAnsiTheme="majorHAnsi" w:cstheme="majorHAnsi"/>
          <w:bCs/>
        </w:rPr>
        <w:t>(PKD 1102Z), których butelki pozostają poza systemem kaucyjnym</w:t>
      </w:r>
      <w:r w:rsidR="00B3396F" w:rsidRPr="00C4444C">
        <w:rPr>
          <w:rFonts w:asciiTheme="majorHAnsi" w:hAnsiTheme="majorHAnsi" w:cstheme="majorHAnsi"/>
          <w:bCs/>
        </w:rPr>
        <w:t xml:space="preserve">, </w:t>
      </w:r>
      <w:r w:rsidR="00B3396F" w:rsidRPr="00C4444C">
        <w:rPr>
          <w:rFonts w:asciiTheme="majorHAnsi" w:hAnsiTheme="majorHAnsi" w:cstheme="majorHAnsi"/>
          <w:b/>
        </w:rPr>
        <w:t>wyniosły na koniec sierpnia ponad 5,4 mln zł;</w:t>
      </w:r>
    </w:p>
    <w:p w14:paraId="450242EC" w14:textId="466DD8FB" w:rsidR="00F83806" w:rsidRPr="00C4444C" w:rsidRDefault="00F230FD" w:rsidP="00493FF2">
      <w:pPr>
        <w:pStyle w:val="Normalny1"/>
        <w:numPr>
          <w:ilvl w:val="0"/>
          <w:numId w:val="1"/>
        </w:numPr>
        <w:jc w:val="both"/>
        <w:rPr>
          <w:rFonts w:asciiTheme="majorHAnsi" w:eastAsia="Calibri" w:hAnsiTheme="majorHAnsi" w:cstheme="majorHAnsi"/>
        </w:rPr>
      </w:pPr>
      <w:r w:rsidRPr="00C4444C">
        <w:rPr>
          <w:rFonts w:asciiTheme="majorHAnsi" w:hAnsiTheme="majorHAnsi" w:cstheme="majorHAnsi"/>
          <w:b/>
          <w:bCs/>
        </w:rPr>
        <w:t>3,2 mld butelek i puszek zwrócili konsumenci od</w:t>
      </w:r>
      <w:r w:rsidRPr="00C4444C">
        <w:rPr>
          <w:rFonts w:asciiTheme="majorHAnsi" w:eastAsia="Calibri" w:hAnsiTheme="majorHAnsi" w:cstheme="majorHAnsi"/>
          <w:b/>
          <w:bCs/>
        </w:rPr>
        <w:t xml:space="preserve"> startu systemu do końca lipca 2026 r</w:t>
      </w:r>
      <w:r w:rsidRPr="00C4444C">
        <w:rPr>
          <w:rFonts w:asciiTheme="majorHAnsi" w:eastAsia="Calibri" w:hAnsiTheme="majorHAnsi" w:cstheme="majorHAnsi"/>
        </w:rPr>
        <w:t xml:space="preserve">. </w:t>
      </w:r>
      <w:r w:rsidRPr="00C4444C">
        <w:rPr>
          <w:rFonts w:asciiTheme="majorHAnsi" w:hAnsiTheme="majorHAnsi" w:cstheme="majorHAnsi"/>
        </w:rPr>
        <w:t>Ponad</w:t>
      </w:r>
      <w:r w:rsidRPr="00C4444C">
        <w:rPr>
          <w:rFonts w:asciiTheme="majorHAnsi" w:eastAsia="Calibri" w:hAnsiTheme="majorHAnsi" w:cstheme="majorHAnsi"/>
        </w:rPr>
        <w:t xml:space="preserve"> 60 tys. punktów zwrotu</w:t>
      </w:r>
      <w:r w:rsidRPr="00C4444C">
        <w:rPr>
          <w:rFonts w:asciiTheme="majorHAnsi" w:hAnsiTheme="majorHAnsi" w:cstheme="majorHAnsi"/>
        </w:rPr>
        <w:t xml:space="preserve"> działa w całym kraju</w:t>
      </w:r>
      <w:r w:rsidRPr="00C4444C">
        <w:rPr>
          <w:rFonts w:asciiTheme="majorHAnsi" w:eastAsia="Calibri" w:hAnsiTheme="majorHAnsi" w:cstheme="majorHAnsi"/>
        </w:rPr>
        <w:t>.</w:t>
      </w:r>
      <w:bookmarkStart w:id="0" w:name="_7de8lerecsp1" w:colFirst="0" w:colLast="0"/>
      <w:bookmarkEnd w:id="0"/>
    </w:p>
    <w:p w14:paraId="5EA94B90" w14:textId="77777777" w:rsidR="00A41C85" w:rsidRPr="00C4444C" w:rsidRDefault="00A41C85">
      <w:pPr>
        <w:rPr>
          <w:rFonts w:asciiTheme="majorHAnsi" w:eastAsia="Calibri" w:hAnsiTheme="majorHAnsi" w:cstheme="majorHAnsi"/>
        </w:rPr>
      </w:pPr>
    </w:p>
    <w:p w14:paraId="47C0FD04" w14:textId="77777777" w:rsidR="00604DFD" w:rsidRPr="00C4444C" w:rsidRDefault="00604DFD">
      <w:pPr>
        <w:rPr>
          <w:rFonts w:asciiTheme="majorHAnsi" w:eastAsia="Calibri" w:hAnsiTheme="majorHAnsi" w:cstheme="majorHAnsi"/>
        </w:rPr>
      </w:pPr>
    </w:p>
    <w:p w14:paraId="039E9DD0" w14:textId="443E062D" w:rsidR="00A41C85" w:rsidRPr="00C4444C" w:rsidRDefault="00306102">
      <w:pPr>
        <w:jc w:val="both"/>
        <w:rPr>
          <w:rFonts w:asciiTheme="majorHAnsi" w:eastAsia="Calibri" w:hAnsiTheme="majorHAnsi" w:cstheme="majorHAnsi"/>
        </w:rPr>
      </w:pPr>
      <w:r w:rsidRPr="00C4444C">
        <w:rPr>
          <w:rFonts w:asciiTheme="majorHAnsi" w:eastAsia="Calibri" w:hAnsiTheme="majorHAnsi" w:cstheme="majorHAnsi"/>
        </w:rPr>
        <w:t>Pierwsze miesiące działania systemu</w:t>
      </w:r>
      <w:r w:rsidR="00F230FD" w:rsidRPr="00C4444C">
        <w:rPr>
          <w:rFonts w:asciiTheme="majorHAnsi" w:eastAsia="Calibri" w:hAnsiTheme="majorHAnsi" w:cstheme="majorHAnsi"/>
        </w:rPr>
        <w:t xml:space="preserve"> kaucyjnego</w:t>
      </w:r>
      <w:r w:rsidRPr="00C4444C">
        <w:rPr>
          <w:rFonts w:asciiTheme="majorHAnsi" w:eastAsia="Calibri" w:hAnsiTheme="majorHAnsi" w:cstheme="majorHAnsi"/>
        </w:rPr>
        <w:t xml:space="preserve"> były powolne. Do końca stycznia 2026 r. do obrotu trafiło ok. 530 mln opakowań z kaucją, a konsumenci zwrócili blisko 28 mln z nich. </w:t>
      </w:r>
      <w:r w:rsidR="006F69F8" w:rsidRPr="00C4444C">
        <w:rPr>
          <w:rFonts w:asciiTheme="majorHAnsi" w:eastAsia="Calibri" w:hAnsiTheme="majorHAnsi" w:cstheme="majorHAnsi"/>
        </w:rPr>
        <w:t xml:space="preserve">Potem mechanizm zbiórki wyraźnie przyspieszył. </w:t>
      </w:r>
      <w:r w:rsidRPr="00C4444C">
        <w:rPr>
          <w:rFonts w:asciiTheme="majorHAnsi" w:eastAsia="Calibri" w:hAnsiTheme="majorHAnsi" w:cstheme="majorHAnsi"/>
        </w:rPr>
        <w:t>Jak podaje Ministerstwo Klimatu i Środowiska, do końca czerwca 2026 r. zwrócono 2,3 mld butelek i puszek, a w samym tylko lipcu kolejne 900 mln. Zwrot opakowań staje się też coraz łatwiejszy. W całym kraju działa już ponad 64 tys. punktów zwrotu, z czego ponad połowa to małe sklepy.</w:t>
      </w:r>
    </w:p>
    <w:p w14:paraId="7718F42C" w14:textId="09840680" w:rsidR="00A41C85" w:rsidRPr="00C4444C" w:rsidRDefault="00306102">
      <w:pPr>
        <w:spacing w:before="240" w:after="240"/>
        <w:jc w:val="both"/>
        <w:rPr>
          <w:rFonts w:asciiTheme="majorHAnsi" w:eastAsia="Calibri" w:hAnsiTheme="majorHAnsi" w:cstheme="majorHAnsi"/>
          <w:b/>
          <w:bCs/>
        </w:rPr>
      </w:pPr>
      <w:r w:rsidRPr="00C4444C">
        <w:rPr>
          <w:rFonts w:asciiTheme="majorHAnsi" w:eastAsia="Calibri" w:hAnsiTheme="majorHAnsi" w:cstheme="majorHAnsi"/>
          <w:b/>
          <w:bCs/>
        </w:rPr>
        <w:lastRenderedPageBreak/>
        <w:t>Kaucja nie obciąża</w:t>
      </w:r>
      <w:r w:rsidR="00DB6AC6" w:rsidRPr="00C4444C">
        <w:rPr>
          <w:rFonts w:asciiTheme="majorHAnsi" w:eastAsia="Calibri" w:hAnsiTheme="majorHAnsi" w:cstheme="majorHAnsi"/>
          <w:b/>
          <w:bCs/>
        </w:rPr>
        <w:t xml:space="preserve"> finansowo</w:t>
      </w:r>
      <w:r w:rsidRPr="00C4444C">
        <w:rPr>
          <w:rFonts w:asciiTheme="majorHAnsi" w:eastAsia="Calibri" w:hAnsiTheme="majorHAnsi" w:cstheme="majorHAnsi"/>
          <w:b/>
          <w:bCs/>
        </w:rPr>
        <w:t xml:space="preserve"> wszystkich po równo</w:t>
      </w:r>
    </w:p>
    <w:p w14:paraId="7FB86CF1" w14:textId="0CAD25B4" w:rsidR="00C562E7" w:rsidRPr="00C4444C" w:rsidRDefault="00C562E7">
      <w:pPr>
        <w:spacing w:before="240" w:after="240"/>
        <w:jc w:val="both"/>
        <w:rPr>
          <w:rFonts w:asciiTheme="majorHAnsi" w:eastAsia="Calibri" w:hAnsiTheme="majorHAnsi" w:cstheme="majorHAnsi"/>
        </w:rPr>
      </w:pPr>
      <w:r w:rsidRPr="00C4444C">
        <w:rPr>
          <w:rFonts w:asciiTheme="majorHAnsi" w:eastAsia="Calibri" w:hAnsiTheme="majorHAnsi" w:cstheme="majorHAnsi"/>
        </w:rPr>
        <w:t>System nakłada wprawdzie na konsumentów kaucję, ale tę można odzyskać</w:t>
      </w:r>
      <w:r w:rsidR="00D06972" w:rsidRPr="00C4444C">
        <w:rPr>
          <w:rFonts w:asciiTheme="majorHAnsi" w:eastAsia="Calibri" w:hAnsiTheme="majorHAnsi" w:cstheme="majorHAnsi"/>
        </w:rPr>
        <w:t xml:space="preserve"> </w:t>
      </w:r>
      <w:r w:rsidRPr="00C4444C">
        <w:rPr>
          <w:rFonts w:asciiTheme="majorHAnsi" w:eastAsia="Calibri" w:hAnsiTheme="majorHAnsi" w:cstheme="majorHAnsi"/>
        </w:rPr>
        <w:t>zwracając opakowanie. Koszty ponoszą przede wszystkim producenci napojów. Firmy musiały bowiem sfinansować opłaty kaucyjne i operacyjne wnoszone do operatorów systemów, zainwestować w nowe projekty etykiet (w tym kody EAN) oraz odpowiednio dostosować linie rozlewnicze.</w:t>
      </w:r>
      <w:r w:rsidR="00EA49FC" w:rsidRPr="00C4444C">
        <w:rPr>
          <w:rFonts w:asciiTheme="majorHAnsi" w:hAnsiTheme="majorHAnsi" w:cstheme="majorHAnsi"/>
        </w:rPr>
        <w:t xml:space="preserve"> </w:t>
      </w:r>
      <w:r w:rsidR="00EA49FC" w:rsidRPr="00C4444C">
        <w:rPr>
          <w:rFonts w:asciiTheme="majorHAnsi" w:eastAsia="Calibri" w:hAnsiTheme="majorHAnsi" w:cstheme="majorHAnsi"/>
        </w:rPr>
        <w:t>Jeśli dodamy do tego zatory płatnicze w łańcuchu dostaw, otrzymujemy obraz branży obciążonej presją finansową.</w:t>
      </w:r>
    </w:p>
    <w:p w14:paraId="135C445B" w14:textId="0076B8E6" w:rsidR="00A41C85" w:rsidRPr="00C4444C" w:rsidRDefault="007B160F">
      <w:pPr>
        <w:spacing w:before="240" w:after="240"/>
        <w:jc w:val="both"/>
        <w:rPr>
          <w:rFonts w:asciiTheme="majorHAnsi" w:eastAsia="Calibri" w:hAnsiTheme="majorHAnsi" w:cstheme="majorHAnsi"/>
        </w:rPr>
      </w:pPr>
      <w:r w:rsidRPr="00C4444C">
        <w:rPr>
          <w:rFonts w:asciiTheme="majorHAnsi" w:eastAsia="Calibri" w:hAnsiTheme="majorHAnsi" w:cstheme="majorHAnsi"/>
        </w:rPr>
        <w:t xml:space="preserve">Według </w:t>
      </w:r>
      <w:r w:rsidR="000526F1" w:rsidRPr="00C4444C">
        <w:rPr>
          <w:rFonts w:asciiTheme="majorHAnsi" w:eastAsia="Calibri" w:hAnsiTheme="majorHAnsi" w:cstheme="majorHAnsi"/>
        </w:rPr>
        <w:t>danych Rejestru</w:t>
      </w:r>
      <w:r w:rsidR="00306102" w:rsidRPr="00C4444C">
        <w:rPr>
          <w:rFonts w:asciiTheme="majorHAnsi" w:eastAsia="Calibri" w:hAnsiTheme="majorHAnsi" w:cstheme="majorHAnsi"/>
        </w:rPr>
        <w:t xml:space="preserve"> Dłużników BIG InfoMonitor i</w:t>
      </w:r>
      <w:r w:rsidR="00746554" w:rsidRPr="00C4444C">
        <w:rPr>
          <w:rFonts w:asciiTheme="majorHAnsi" w:eastAsia="Calibri" w:hAnsiTheme="majorHAnsi" w:cstheme="majorHAnsi"/>
        </w:rPr>
        <w:t xml:space="preserve"> </w:t>
      </w:r>
      <w:r w:rsidR="00A65BE2" w:rsidRPr="00C4444C">
        <w:rPr>
          <w:rFonts w:asciiTheme="majorHAnsi" w:eastAsia="Calibri" w:hAnsiTheme="majorHAnsi" w:cstheme="majorHAnsi"/>
        </w:rPr>
        <w:t xml:space="preserve">opóźnień odnotowanych w </w:t>
      </w:r>
      <w:r w:rsidR="00746554" w:rsidRPr="00C4444C">
        <w:rPr>
          <w:rFonts w:asciiTheme="majorHAnsi" w:eastAsia="Calibri" w:hAnsiTheme="majorHAnsi" w:cstheme="majorHAnsi"/>
        </w:rPr>
        <w:t>baz</w:t>
      </w:r>
      <w:r w:rsidR="00A65BE2" w:rsidRPr="00C4444C">
        <w:rPr>
          <w:rFonts w:asciiTheme="majorHAnsi" w:eastAsia="Calibri" w:hAnsiTheme="majorHAnsi" w:cstheme="majorHAnsi"/>
        </w:rPr>
        <w:t>ie</w:t>
      </w:r>
      <w:r w:rsidR="00306102" w:rsidRPr="00C4444C">
        <w:rPr>
          <w:rFonts w:asciiTheme="majorHAnsi" w:eastAsia="Calibri" w:hAnsiTheme="majorHAnsi" w:cstheme="majorHAnsi"/>
        </w:rPr>
        <w:t xml:space="preserve"> BIK</w:t>
      </w:r>
      <w:r w:rsidR="00F230FD" w:rsidRPr="00C4444C">
        <w:rPr>
          <w:rFonts w:asciiTheme="majorHAnsi" w:eastAsia="Calibri" w:hAnsiTheme="majorHAnsi" w:cstheme="majorHAnsi"/>
        </w:rPr>
        <w:t>,</w:t>
      </w:r>
      <w:r w:rsidR="00306102" w:rsidRPr="00C4444C">
        <w:rPr>
          <w:rFonts w:asciiTheme="majorHAnsi" w:eastAsia="Calibri" w:hAnsiTheme="majorHAnsi" w:cstheme="majorHAnsi"/>
        </w:rPr>
        <w:t xml:space="preserve"> </w:t>
      </w:r>
      <w:r w:rsidR="00F230FD" w:rsidRPr="00C4444C">
        <w:rPr>
          <w:rFonts w:asciiTheme="majorHAnsi" w:eastAsia="Calibri" w:hAnsiTheme="majorHAnsi" w:cstheme="majorHAnsi"/>
        </w:rPr>
        <w:t>j</w:t>
      </w:r>
      <w:r w:rsidR="002D7548" w:rsidRPr="00C4444C">
        <w:rPr>
          <w:rFonts w:asciiTheme="majorHAnsi" w:eastAsia="Calibri" w:hAnsiTheme="majorHAnsi" w:cstheme="majorHAnsi"/>
        </w:rPr>
        <w:t xml:space="preserve">eszcze </w:t>
      </w:r>
      <w:r w:rsidRPr="00C4444C">
        <w:rPr>
          <w:rFonts w:asciiTheme="majorHAnsi" w:eastAsia="Calibri" w:hAnsiTheme="majorHAnsi" w:cstheme="majorHAnsi"/>
        </w:rPr>
        <w:t>w</w:t>
      </w:r>
      <w:r w:rsidR="00306102" w:rsidRPr="00C4444C">
        <w:rPr>
          <w:rFonts w:asciiTheme="majorHAnsi" w:eastAsia="Calibri" w:hAnsiTheme="majorHAnsi" w:cstheme="majorHAnsi"/>
        </w:rPr>
        <w:t xml:space="preserve"> </w:t>
      </w:r>
      <w:r w:rsidR="000B3722" w:rsidRPr="00C4444C">
        <w:rPr>
          <w:rFonts w:asciiTheme="majorHAnsi" w:eastAsia="Calibri" w:hAnsiTheme="majorHAnsi" w:cstheme="majorHAnsi"/>
        </w:rPr>
        <w:t>sierpniu</w:t>
      </w:r>
      <w:r w:rsidR="00306102" w:rsidRPr="00C4444C">
        <w:rPr>
          <w:rFonts w:asciiTheme="majorHAnsi" w:eastAsia="Calibri" w:hAnsiTheme="majorHAnsi" w:cstheme="majorHAnsi"/>
        </w:rPr>
        <w:t xml:space="preserve"> 2025 r. producenci napojów mieli 9</w:t>
      </w:r>
      <w:r w:rsidR="000B3722" w:rsidRPr="00C4444C">
        <w:rPr>
          <w:rFonts w:asciiTheme="majorHAnsi" w:eastAsia="Calibri" w:hAnsiTheme="majorHAnsi" w:cstheme="majorHAnsi"/>
        </w:rPr>
        <w:t>5</w:t>
      </w:r>
      <w:r w:rsidR="00306102" w:rsidRPr="00C4444C">
        <w:rPr>
          <w:rFonts w:asciiTheme="majorHAnsi" w:eastAsia="Calibri" w:hAnsiTheme="majorHAnsi" w:cstheme="majorHAnsi"/>
        </w:rPr>
        <w:t>,</w:t>
      </w:r>
      <w:r w:rsidR="00746554" w:rsidRPr="00C4444C">
        <w:rPr>
          <w:rFonts w:asciiTheme="majorHAnsi" w:eastAsia="Calibri" w:hAnsiTheme="majorHAnsi" w:cstheme="majorHAnsi"/>
        </w:rPr>
        <w:t>3</w:t>
      </w:r>
      <w:r w:rsidR="00306102" w:rsidRPr="00C4444C">
        <w:rPr>
          <w:rFonts w:asciiTheme="majorHAnsi" w:eastAsia="Calibri" w:hAnsiTheme="majorHAnsi" w:cstheme="majorHAnsi"/>
        </w:rPr>
        <w:t xml:space="preserve"> mln zł przeterminowanych zobowiązań, a rok później już 10</w:t>
      </w:r>
      <w:r w:rsidR="00746554" w:rsidRPr="00C4444C">
        <w:rPr>
          <w:rFonts w:asciiTheme="majorHAnsi" w:eastAsia="Calibri" w:hAnsiTheme="majorHAnsi" w:cstheme="majorHAnsi"/>
        </w:rPr>
        <w:t>9,1</w:t>
      </w:r>
      <w:r w:rsidR="00306102" w:rsidRPr="00C4444C">
        <w:rPr>
          <w:rFonts w:asciiTheme="majorHAnsi" w:eastAsia="Calibri" w:hAnsiTheme="majorHAnsi" w:cstheme="majorHAnsi"/>
        </w:rPr>
        <w:t xml:space="preserve"> mln zł, czyli o 13,</w:t>
      </w:r>
      <w:r w:rsidR="00746554" w:rsidRPr="00C4444C">
        <w:rPr>
          <w:rFonts w:asciiTheme="majorHAnsi" w:eastAsia="Calibri" w:hAnsiTheme="majorHAnsi" w:cstheme="majorHAnsi"/>
        </w:rPr>
        <w:t>7</w:t>
      </w:r>
      <w:r w:rsidR="00306102" w:rsidRPr="00C4444C">
        <w:rPr>
          <w:rFonts w:asciiTheme="majorHAnsi" w:eastAsia="Calibri" w:hAnsiTheme="majorHAnsi" w:cstheme="majorHAnsi"/>
        </w:rPr>
        <w:t xml:space="preserve"> mln zł więcej. Wzrósł też przeciętny </w:t>
      </w:r>
      <w:r w:rsidR="002D7548" w:rsidRPr="00C4444C">
        <w:rPr>
          <w:rFonts w:asciiTheme="majorHAnsi" w:eastAsia="Calibri" w:hAnsiTheme="majorHAnsi" w:cstheme="majorHAnsi"/>
        </w:rPr>
        <w:t xml:space="preserve">zaległy </w:t>
      </w:r>
      <w:r w:rsidR="00306102" w:rsidRPr="00C4444C">
        <w:rPr>
          <w:rFonts w:asciiTheme="majorHAnsi" w:eastAsia="Calibri" w:hAnsiTheme="majorHAnsi" w:cstheme="majorHAnsi"/>
        </w:rPr>
        <w:t>dług jednego dłużnik</w:t>
      </w:r>
      <w:r w:rsidR="00D06972" w:rsidRPr="00C4444C">
        <w:rPr>
          <w:rFonts w:asciiTheme="majorHAnsi" w:eastAsia="Calibri" w:hAnsiTheme="majorHAnsi" w:cstheme="majorHAnsi"/>
        </w:rPr>
        <w:t xml:space="preserve">a </w:t>
      </w:r>
      <w:r w:rsidR="009E6EF3">
        <w:rPr>
          <w:rFonts w:asciiTheme="majorHAnsi" w:eastAsia="Calibri" w:hAnsiTheme="majorHAnsi" w:cstheme="majorHAnsi"/>
        </w:rPr>
        <w:t xml:space="preserve">– </w:t>
      </w:r>
      <w:r w:rsidR="000526F1" w:rsidRPr="00C4444C">
        <w:rPr>
          <w:rFonts w:asciiTheme="majorHAnsi" w:eastAsia="Calibri" w:hAnsiTheme="majorHAnsi" w:cstheme="majorHAnsi"/>
        </w:rPr>
        <w:t>z</w:t>
      </w:r>
      <w:r w:rsidR="00306102" w:rsidRPr="00C4444C">
        <w:rPr>
          <w:rFonts w:asciiTheme="majorHAnsi" w:eastAsia="Calibri" w:hAnsiTheme="majorHAnsi" w:cstheme="majorHAnsi"/>
        </w:rPr>
        <w:t xml:space="preserve"> ok. 6</w:t>
      </w:r>
      <w:r w:rsidR="00DB6AC6" w:rsidRPr="00C4444C">
        <w:rPr>
          <w:rFonts w:asciiTheme="majorHAnsi" w:eastAsia="Calibri" w:hAnsiTheme="majorHAnsi" w:cstheme="majorHAnsi"/>
        </w:rPr>
        <w:t>23</w:t>
      </w:r>
      <w:r w:rsidR="00F230FD" w:rsidRPr="00C4444C">
        <w:rPr>
          <w:rFonts w:asciiTheme="majorHAnsi" w:eastAsia="Calibri" w:hAnsiTheme="majorHAnsi" w:cstheme="majorHAnsi"/>
        </w:rPr>
        <w:t xml:space="preserve"> </w:t>
      </w:r>
      <w:r w:rsidR="00306102" w:rsidRPr="00C4444C">
        <w:rPr>
          <w:rFonts w:asciiTheme="majorHAnsi" w:eastAsia="Calibri" w:hAnsiTheme="majorHAnsi" w:cstheme="majorHAnsi"/>
        </w:rPr>
        <w:t>tys. zł do blisko 70</w:t>
      </w:r>
      <w:r w:rsidR="00DB6AC6" w:rsidRPr="00C4444C">
        <w:rPr>
          <w:rFonts w:asciiTheme="majorHAnsi" w:eastAsia="Calibri" w:hAnsiTheme="majorHAnsi" w:cstheme="majorHAnsi"/>
        </w:rPr>
        <w:t>4</w:t>
      </w:r>
      <w:r w:rsidR="00306102" w:rsidRPr="00C4444C">
        <w:rPr>
          <w:rFonts w:asciiTheme="majorHAnsi" w:eastAsia="Calibri" w:hAnsiTheme="majorHAnsi" w:cstheme="majorHAnsi"/>
        </w:rPr>
        <w:t xml:space="preserve"> tys. zł. Najmocniej obciążeni są producenci napojów bezalkoholowych i wód mineralnych (PKD 1107Z), których zaległości zwiększyły się w ciągu roku aż o 4</w:t>
      </w:r>
      <w:r w:rsidR="00DB6AC6" w:rsidRPr="00C4444C">
        <w:rPr>
          <w:rFonts w:asciiTheme="majorHAnsi" w:eastAsia="Calibri" w:hAnsiTheme="majorHAnsi" w:cstheme="majorHAnsi"/>
        </w:rPr>
        <w:t>6</w:t>
      </w:r>
      <w:r w:rsidR="00306102" w:rsidRPr="00C4444C">
        <w:rPr>
          <w:rFonts w:asciiTheme="majorHAnsi" w:eastAsia="Calibri" w:hAnsiTheme="majorHAnsi" w:cstheme="majorHAnsi"/>
        </w:rPr>
        <w:t xml:space="preserve"> proc.</w:t>
      </w:r>
      <w:r w:rsidR="00D06972" w:rsidRPr="00C4444C">
        <w:rPr>
          <w:rFonts w:asciiTheme="majorHAnsi" w:eastAsia="Calibri" w:hAnsiTheme="majorHAnsi" w:cstheme="majorHAnsi"/>
        </w:rPr>
        <w:t xml:space="preserve"> </w:t>
      </w:r>
      <w:r w:rsidR="00C4444C">
        <w:rPr>
          <w:rFonts w:asciiTheme="majorHAnsi" w:eastAsia="Calibri" w:hAnsiTheme="majorHAnsi" w:cstheme="majorHAnsi"/>
        </w:rPr>
        <w:t>–</w:t>
      </w:r>
      <w:r w:rsidR="000526F1" w:rsidRPr="00C4444C">
        <w:rPr>
          <w:rFonts w:asciiTheme="majorHAnsi" w:eastAsia="Calibri" w:hAnsiTheme="majorHAnsi" w:cstheme="majorHAnsi"/>
        </w:rPr>
        <w:t xml:space="preserve"> z</w:t>
      </w:r>
      <w:r w:rsidR="00C4444C">
        <w:rPr>
          <w:rFonts w:asciiTheme="majorHAnsi" w:eastAsia="Calibri" w:hAnsiTheme="majorHAnsi" w:cstheme="majorHAnsi"/>
        </w:rPr>
        <w:t xml:space="preserve"> </w:t>
      </w:r>
      <w:r w:rsidR="00306102" w:rsidRPr="00C4444C">
        <w:rPr>
          <w:rFonts w:asciiTheme="majorHAnsi" w:eastAsia="Calibri" w:hAnsiTheme="majorHAnsi" w:cstheme="majorHAnsi"/>
        </w:rPr>
        <w:t>22,</w:t>
      </w:r>
      <w:r w:rsidR="00DB6AC6" w:rsidRPr="00C4444C">
        <w:rPr>
          <w:rFonts w:asciiTheme="majorHAnsi" w:eastAsia="Calibri" w:hAnsiTheme="majorHAnsi" w:cstheme="majorHAnsi"/>
        </w:rPr>
        <w:t>3</w:t>
      </w:r>
      <w:r w:rsidR="00306102" w:rsidRPr="00C4444C">
        <w:rPr>
          <w:rFonts w:asciiTheme="majorHAnsi" w:eastAsia="Calibri" w:hAnsiTheme="majorHAnsi" w:cstheme="majorHAnsi"/>
        </w:rPr>
        <w:t xml:space="preserve"> mln zł do 32,</w:t>
      </w:r>
      <w:r w:rsidR="00DB6AC6" w:rsidRPr="00C4444C">
        <w:rPr>
          <w:rFonts w:asciiTheme="majorHAnsi" w:eastAsia="Calibri" w:hAnsiTheme="majorHAnsi" w:cstheme="majorHAnsi"/>
        </w:rPr>
        <w:t>7</w:t>
      </w:r>
      <w:r w:rsidR="00306102" w:rsidRPr="00C4444C">
        <w:rPr>
          <w:rFonts w:asciiTheme="majorHAnsi" w:eastAsia="Calibri" w:hAnsiTheme="majorHAnsi" w:cstheme="majorHAnsi"/>
        </w:rPr>
        <w:t xml:space="preserve"> mln zł. Największą kwotę do oddania mają jednak browary (PKD 1105Z). Ich zaległości sięgają 43,</w:t>
      </w:r>
      <w:r w:rsidRPr="00C4444C">
        <w:rPr>
          <w:rFonts w:asciiTheme="majorHAnsi" w:eastAsia="Calibri" w:hAnsiTheme="majorHAnsi" w:cstheme="majorHAnsi"/>
        </w:rPr>
        <w:t>4</w:t>
      </w:r>
      <w:r w:rsidR="00306102" w:rsidRPr="00C4444C">
        <w:rPr>
          <w:rFonts w:asciiTheme="majorHAnsi" w:eastAsia="Calibri" w:hAnsiTheme="majorHAnsi" w:cstheme="majorHAnsi"/>
        </w:rPr>
        <w:t xml:space="preserve"> mln zł, o </w:t>
      </w:r>
      <w:r w:rsidRPr="00C4444C">
        <w:rPr>
          <w:rFonts w:asciiTheme="majorHAnsi" w:eastAsia="Calibri" w:hAnsiTheme="majorHAnsi" w:cstheme="majorHAnsi"/>
        </w:rPr>
        <w:t>9</w:t>
      </w:r>
      <w:r w:rsidR="00306102" w:rsidRPr="00C4444C">
        <w:rPr>
          <w:rFonts w:asciiTheme="majorHAnsi" w:eastAsia="Calibri" w:hAnsiTheme="majorHAnsi" w:cstheme="majorHAnsi"/>
        </w:rPr>
        <w:t>,</w:t>
      </w:r>
      <w:r w:rsidRPr="00C4444C">
        <w:rPr>
          <w:rFonts w:asciiTheme="majorHAnsi" w:eastAsia="Calibri" w:hAnsiTheme="majorHAnsi" w:cstheme="majorHAnsi"/>
        </w:rPr>
        <w:t>3</w:t>
      </w:r>
      <w:r w:rsidR="00306102" w:rsidRPr="00C4444C">
        <w:rPr>
          <w:rFonts w:asciiTheme="majorHAnsi" w:eastAsia="Calibri" w:hAnsiTheme="majorHAnsi" w:cstheme="majorHAnsi"/>
        </w:rPr>
        <w:t xml:space="preserve"> proc. więcej niż przed rokiem</w:t>
      </w:r>
      <w:r w:rsidR="002D7548" w:rsidRPr="00C4444C">
        <w:rPr>
          <w:rFonts w:asciiTheme="majorHAnsi" w:eastAsia="Calibri" w:hAnsiTheme="majorHAnsi" w:cstheme="majorHAnsi"/>
        </w:rPr>
        <w:t>.</w:t>
      </w:r>
      <w:r w:rsidR="00306102" w:rsidRPr="00C4444C">
        <w:rPr>
          <w:rFonts w:asciiTheme="majorHAnsi" w:eastAsia="Calibri" w:hAnsiTheme="majorHAnsi" w:cstheme="majorHAnsi"/>
        </w:rPr>
        <w:t xml:space="preserve"> Odwrotny trend widać za to u winiarzy, których butelki pozostają poza systemem kaucyjnym. Zaległości producentów win gronowych (PKD 1102Z) spadły o</w:t>
      </w:r>
      <w:r w:rsidRPr="00C4444C">
        <w:rPr>
          <w:rFonts w:asciiTheme="majorHAnsi" w:eastAsia="Calibri" w:hAnsiTheme="majorHAnsi" w:cstheme="majorHAnsi"/>
        </w:rPr>
        <w:t xml:space="preserve"> około</w:t>
      </w:r>
      <w:r w:rsidR="00306102" w:rsidRPr="00C4444C">
        <w:rPr>
          <w:rFonts w:asciiTheme="majorHAnsi" w:eastAsia="Calibri" w:hAnsiTheme="majorHAnsi" w:cstheme="majorHAnsi"/>
        </w:rPr>
        <w:t xml:space="preserve"> 26 proc., do 5,</w:t>
      </w:r>
      <w:r w:rsidRPr="00C4444C">
        <w:rPr>
          <w:rFonts w:asciiTheme="majorHAnsi" w:eastAsia="Calibri" w:hAnsiTheme="majorHAnsi" w:cstheme="majorHAnsi"/>
        </w:rPr>
        <w:t>4</w:t>
      </w:r>
      <w:r w:rsidR="00306102" w:rsidRPr="00C4444C">
        <w:rPr>
          <w:rFonts w:asciiTheme="majorHAnsi" w:eastAsia="Calibri" w:hAnsiTheme="majorHAnsi" w:cstheme="majorHAnsi"/>
        </w:rPr>
        <w:t xml:space="preserve"> mln zł, a cydrów (PKD 1103Z) o 1</w:t>
      </w:r>
      <w:r w:rsidRPr="00C4444C">
        <w:rPr>
          <w:rFonts w:asciiTheme="majorHAnsi" w:eastAsia="Calibri" w:hAnsiTheme="majorHAnsi" w:cstheme="majorHAnsi"/>
        </w:rPr>
        <w:t>7,4</w:t>
      </w:r>
      <w:r w:rsidR="00306102" w:rsidRPr="00C4444C">
        <w:rPr>
          <w:rFonts w:asciiTheme="majorHAnsi" w:eastAsia="Calibri" w:hAnsiTheme="majorHAnsi" w:cstheme="majorHAnsi"/>
        </w:rPr>
        <w:t xml:space="preserve"> proc. do 88</w:t>
      </w:r>
      <w:r w:rsidRPr="00C4444C">
        <w:rPr>
          <w:rFonts w:asciiTheme="majorHAnsi" w:eastAsia="Calibri" w:hAnsiTheme="majorHAnsi" w:cstheme="majorHAnsi"/>
        </w:rPr>
        <w:t>7</w:t>
      </w:r>
      <w:r w:rsidR="00306102" w:rsidRPr="00C4444C">
        <w:rPr>
          <w:rFonts w:asciiTheme="majorHAnsi" w:eastAsia="Calibri" w:hAnsiTheme="majorHAnsi" w:cstheme="majorHAnsi"/>
        </w:rPr>
        <w:t xml:space="preserve"> tys. zł. </w:t>
      </w:r>
    </w:p>
    <w:p w14:paraId="67A8BB7E" w14:textId="77777777" w:rsidR="00A25686" w:rsidRPr="00C4444C" w:rsidRDefault="00A25686">
      <w:pPr>
        <w:spacing w:before="240" w:after="240"/>
        <w:jc w:val="both"/>
        <w:rPr>
          <w:rFonts w:asciiTheme="majorHAnsi" w:eastAsia="Calibri" w:hAnsiTheme="majorHAnsi" w:cstheme="majorHAnsi"/>
        </w:rPr>
      </w:pPr>
    </w:p>
    <w:p w14:paraId="1B41E281" w14:textId="1DA213A2" w:rsidR="00DF512A" w:rsidRPr="00C4444C" w:rsidRDefault="00DF512A" w:rsidP="00DF512A">
      <w:pPr>
        <w:spacing w:before="240" w:after="240"/>
        <w:jc w:val="center"/>
        <w:rPr>
          <w:rFonts w:asciiTheme="majorHAnsi" w:eastAsia="Calibri" w:hAnsiTheme="majorHAnsi" w:cstheme="majorHAnsi"/>
        </w:rPr>
      </w:pPr>
      <w:r w:rsidRPr="00C4444C">
        <w:rPr>
          <w:rFonts w:asciiTheme="majorHAnsi" w:hAnsiTheme="majorHAnsi" w:cstheme="majorHAnsi"/>
          <w:noProof/>
        </w:rPr>
        <w:drawing>
          <wp:inline distT="0" distB="0" distL="0" distR="0" wp14:anchorId="76A2BBD3" wp14:editId="3A05F1DD">
            <wp:extent cx="4864735" cy="3376058"/>
            <wp:effectExtent l="0" t="0" r="0" b="0"/>
            <wp:docPr id="1988003843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661" cy="338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DD2E0" w14:textId="77777777" w:rsidR="00DF512A" w:rsidRPr="00C4444C" w:rsidRDefault="00DF512A">
      <w:pPr>
        <w:spacing w:before="240" w:after="240"/>
        <w:jc w:val="both"/>
        <w:rPr>
          <w:rFonts w:asciiTheme="majorHAnsi" w:eastAsia="Calibri" w:hAnsiTheme="majorHAnsi" w:cstheme="majorHAnsi"/>
        </w:rPr>
      </w:pPr>
    </w:p>
    <w:p w14:paraId="68A15C75" w14:textId="07B0A987" w:rsidR="00F83806" w:rsidRPr="00C4444C" w:rsidRDefault="00756F80" w:rsidP="00493FF2">
      <w:pPr>
        <w:pStyle w:val="Normalny1"/>
        <w:spacing w:before="240" w:after="240"/>
        <w:jc w:val="both"/>
        <w:rPr>
          <w:rFonts w:asciiTheme="majorHAnsi" w:eastAsia="Calibri" w:hAnsiTheme="majorHAnsi" w:cstheme="majorHAnsi"/>
        </w:rPr>
      </w:pPr>
      <w:r w:rsidRPr="00C4444C">
        <w:rPr>
          <w:rFonts w:asciiTheme="majorHAnsi" w:hAnsiTheme="majorHAnsi" w:cstheme="majorHAnsi"/>
        </w:rPr>
        <w:lastRenderedPageBreak/>
        <w:t>Jednym ze źródeł rosnących</w:t>
      </w:r>
      <w:r w:rsidRPr="00C4444C">
        <w:rPr>
          <w:rFonts w:asciiTheme="majorHAnsi" w:eastAsia="Calibri" w:hAnsiTheme="majorHAnsi" w:cstheme="majorHAnsi"/>
        </w:rPr>
        <w:t xml:space="preserve"> zaległości </w:t>
      </w:r>
      <w:r w:rsidRPr="00C4444C">
        <w:rPr>
          <w:rFonts w:asciiTheme="majorHAnsi" w:hAnsiTheme="majorHAnsi" w:cstheme="majorHAnsi"/>
        </w:rPr>
        <w:t>producentów</w:t>
      </w:r>
      <w:r w:rsidRPr="00C4444C">
        <w:rPr>
          <w:rFonts w:asciiTheme="majorHAnsi" w:eastAsia="Calibri" w:hAnsiTheme="majorHAnsi" w:cstheme="majorHAnsi"/>
        </w:rPr>
        <w:t xml:space="preserve"> wód i napojów </w:t>
      </w:r>
      <w:r w:rsidRPr="00C4444C">
        <w:rPr>
          <w:rFonts w:asciiTheme="majorHAnsi" w:hAnsiTheme="majorHAnsi" w:cstheme="majorHAnsi"/>
        </w:rPr>
        <w:t>może być narastająca luka płynnościowa. Małe</w:t>
      </w:r>
      <w:r w:rsidRPr="00C4444C">
        <w:rPr>
          <w:rFonts w:asciiTheme="majorHAnsi" w:eastAsia="Calibri" w:hAnsiTheme="majorHAnsi" w:cstheme="majorHAnsi"/>
        </w:rPr>
        <w:t xml:space="preserve"> i </w:t>
      </w:r>
      <w:r w:rsidRPr="00C4444C">
        <w:rPr>
          <w:rFonts w:asciiTheme="majorHAnsi" w:hAnsiTheme="majorHAnsi" w:cstheme="majorHAnsi"/>
        </w:rPr>
        <w:t>średnie firmy</w:t>
      </w:r>
      <w:r w:rsidRPr="00C4444C">
        <w:rPr>
          <w:rFonts w:asciiTheme="majorHAnsi" w:eastAsia="Calibri" w:hAnsiTheme="majorHAnsi" w:cstheme="majorHAnsi"/>
        </w:rPr>
        <w:t xml:space="preserve"> muszą na bieżąco </w:t>
      </w:r>
      <w:r w:rsidRPr="00C4444C">
        <w:rPr>
          <w:rFonts w:asciiTheme="majorHAnsi" w:hAnsiTheme="majorHAnsi" w:cstheme="majorHAnsi"/>
        </w:rPr>
        <w:t>finansować</w:t>
      </w:r>
      <w:r w:rsidRPr="00C4444C">
        <w:rPr>
          <w:rFonts w:asciiTheme="majorHAnsi" w:eastAsia="Calibri" w:hAnsiTheme="majorHAnsi" w:cstheme="majorHAnsi"/>
        </w:rPr>
        <w:t xml:space="preserve"> kaucje i koszty operacyjne, </w:t>
      </w:r>
      <w:r w:rsidRPr="00C4444C">
        <w:rPr>
          <w:rFonts w:asciiTheme="majorHAnsi" w:hAnsiTheme="majorHAnsi" w:cstheme="majorHAnsi"/>
        </w:rPr>
        <w:t>podczas gdy</w:t>
      </w:r>
      <w:r w:rsidRPr="00C4444C">
        <w:rPr>
          <w:rFonts w:asciiTheme="majorHAnsi" w:eastAsia="Calibri" w:hAnsiTheme="majorHAnsi" w:cstheme="majorHAnsi"/>
        </w:rPr>
        <w:t xml:space="preserve"> na </w:t>
      </w:r>
      <w:r w:rsidRPr="00C4444C">
        <w:rPr>
          <w:rFonts w:asciiTheme="majorHAnsi" w:hAnsiTheme="majorHAnsi" w:cstheme="majorHAnsi"/>
        </w:rPr>
        <w:t>zapłatę</w:t>
      </w:r>
      <w:r w:rsidRPr="00C4444C">
        <w:rPr>
          <w:rFonts w:asciiTheme="majorHAnsi" w:eastAsia="Calibri" w:hAnsiTheme="majorHAnsi" w:cstheme="majorHAnsi"/>
        </w:rPr>
        <w:t xml:space="preserve"> od dystrybutorów czekają </w:t>
      </w:r>
      <w:r w:rsidRPr="00C4444C">
        <w:rPr>
          <w:rFonts w:asciiTheme="majorHAnsi" w:hAnsiTheme="majorHAnsi" w:cstheme="majorHAnsi"/>
        </w:rPr>
        <w:t>coraz dłużej. Niedobór środków może w efekcie prowadzić do opóźnień</w:t>
      </w:r>
      <w:r w:rsidRPr="00C4444C">
        <w:rPr>
          <w:rFonts w:asciiTheme="majorHAnsi" w:eastAsia="Calibri" w:hAnsiTheme="majorHAnsi" w:cstheme="majorHAnsi"/>
        </w:rPr>
        <w:t xml:space="preserve"> w </w:t>
      </w:r>
      <w:r w:rsidRPr="00C4444C">
        <w:rPr>
          <w:rFonts w:asciiTheme="majorHAnsi" w:hAnsiTheme="majorHAnsi" w:cstheme="majorHAnsi"/>
        </w:rPr>
        <w:t>regulowaniu zobowiązań wobec</w:t>
      </w:r>
      <w:r w:rsidRPr="00C4444C">
        <w:rPr>
          <w:rFonts w:asciiTheme="majorHAnsi" w:eastAsia="Calibri" w:hAnsiTheme="majorHAnsi" w:cstheme="majorHAnsi"/>
        </w:rPr>
        <w:t xml:space="preserve"> ich własnych kontrahentów.</w:t>
      </w:r>
    </w:p>
    <w:p w14:paraId="6D7A54A4" w14:textId="46A93FC8" w:rsidR="00A41C85" w:rsidRPr="00C4444C" w:rsidRDefault="009E6EF3" w:rsidP="00D06972">
      <w:pPr>
        <w:spacing w:after="160" w:line="278" w:lineRule="auto"/>
        <w:jc w:val="both"/>
        <w:rPr>
          <w:rFonts w:asciiTheme="majorHAnsi" w:eastAsia="Calibri" w:hAnsiTheme="majorHAnsi" w:cstheme="majorHAnsi"/>
        </w:rPr>
      </w:pPr>
      <w:r w:rsidRPr="00C4444C">
        <w:rPr>
          <w:rFonts w:asciiTheme="majorHAnsi" w:eastAsia="Calibri" w:hAnsiTheme="majorHAnsi" w:cstheme="majorHAnsi"/>
        </w:rPr>
        <w:t>–</w:t>
      </w:r>
      <w:r w:rsidR="00D06972" w:rsidRPr="00C4444C">
        <w:rPr>
          <w:rFonts w:asciiTheme="majorHAnsi" w:eastAsia="Calibri" w:hAnsiTheme="majorHAnsi" w:cstheme="majorHAnsi"/>
        </w:rPr>
        <w:t xml:space="preserve"> </w:t>
      </w:r>
      <w:r w:rsidR="008348F0" w:rsidRPr="00C4444C">
        <w:rPr>
          <w:rFonts w:asciiTheme="majorHAnsi" w:eastAsia="Calibri" w:hAnsiTheme="majorHAnsi" w:cstheme="majorHAnsi"/>
          <w:i/>
          <w:iCs/>
        </w:rPr>
        <w:t>W warunkach niskiej rentowności sektora i utrzymującej się presji cenowej ze strony dużych sieci detalicznych, dodatkowe wydatki kapitałowe związane z finansowaniem opłat kaucyjnych stał</w:t>
      </w:r>
      <w:r w:rsidR="005D71CB">
        <w:rPr>
          <w:rFonts w:asciiTheme="majorHAnsi" w:eastAsia="Calibri" w:hAnsiTheme="majorHAnsi" w:cstheme="majorHAnsi"/>
          <w:i/>
          <w:iCs/>
        </w:rPr>
        <w:t>y</w:t>
      </w:r>
      <w:r w:rsidR="008348F0" w:rsidRPr="00C4444C">
        <w:rPr>
          <w:rFonts w:asciiTheme="majorHAnsi" w:eastAsia="Calibri" w:hAnsiTheme="majorHAnsi" w:cstheme="majorHAnsi"/>
          <w:i/>
          <w:iCs/>
        </w:rPr>
        <w:t xml:space="preserve"> się istotnym czynnikiem ryzyka utraty płynności finansowej. Najsilniej odczuwają je mniejsze i średnie podmioty, dla których zamrożenie części środków finansowych oznacza ograniczenie elastyczności operacyjnej oraz wzrost wrażliwości na zakłócenia przepływów pieniężnych</w:t>
      </w:r>
      <w:r w:rsidR="00D06972" w:rsidRPr="00C4444C">
        <w:rPr>
          <w:rFonts w:asciiTheme="majorHAnsi" w:eastAsia="Calibri" w:hAnsiTheme="majorHAnsi" w:cstheme="majorHAnsi"/>
        </w:rPr>
        <w:t xml:space="preserve"> – </w:t>
      </w:r>
      <w:r w:rsidR="00306102" w:rsidRPr="00C4444C">
        <w:rPr>
          <w:rFonts w:asciiTheme="majorHAnsi" w:eastAsia="Calibri" w:hAnsiTheme="majorHAnsi" w:cstheme="majorHAnsi"/>
        </w:rPr>
        <w:t xml:space="preserve">mówi </w:t>
      </w:r>
      <w:r w:rsidR="00306102" w:rsidRPr="00C4444C">
        <w:rPr>
          <w:rFonts w:asciiTheme="majorHAnsi" w:eastAsia="Calibri" w:hAnsiTheme="majorHAnsi" w:cstheme="majorHAnsi"/>
          <w:b/>
          <w:bCs/>
        </w:rPr>
        <w:t>dr hab. Waldemar Rogowski, główny analityk BIG InfoMonitor</w:t>
      </w:r>
      <w:r w:rsidR="00526664" w:rsidRPr="00C4444C">
        <w:rPr>
          <w:rFonts w:asciiTheme="majorHAnsi" w:eastAsia="Calibri" w:hAnsiTheme="majorHAnsi" w:cstheme="majorHAnsi"/>
          <w:b/>
          <w:bCs/>
        </w:rPr>
        <w:t>.</w:t>
      </w:r>
    </w:p>
    <w:p w14:paraId="552FCB5A" w14:textId="424F6CDE" w:rsidR="00DB6AC6" w:rsidRPr="00C4444C" w:rsidRDefault="00DB6AC6" w:rsidP="00DB6AC6">
      <w:pPr>
        <w:spacing w:before="240" w:after="240"/>
        <w:jc w:val="both"/>
        <w:rPr>
          <w:rFonts w:asciiTheme="majorHAnsi" w:eastAsia="Calibri" w:hAnsiTheme="majorHAnsi" w:cstheme="majorHAnsi"/>
          <w:b/>
          <w:bCs/>
          <w:lang w:val="pl-PL"/>
        </w:rPr>
      </w:pPr>
      <w:r w:rsidRPr="00C4444C">
        <w:rPr>
          <w:rFonts w:asciiTheme="majorHAnsi" w:eastAsia="Calibri" w:hAnsiTheme="majorHAnsi" w:cstheme="majorHAnsi"/>
          <w:b/>
          <w:bCs/>
          <w:lang w:val="pl-PL"/>
        </w:rPr>
        <w:t>Co dwunasta firma ma problemy z terminowym regulowaniem zobowiązań</w:t>
      </w:r>
    </w:p>
    <w:p w14:paraId="292825AA" w14:textId="22CCC711" w:rsidR="00F83806" w:rsidRPr="00C4444C" w:rsidRDefault="00770AE3" w:rsidP="00493FF2">
      <w:pPr>
        <w:pStyle w:val="Normalny1"/>
        <w:spacing w:before="240" w:after="240"/>
        <w:jc w:val="both"/>
        <w:rPr>
          <w:rFonts w:asciiTheme="majorHAnsi" w:hAnsiTheme="majorHAnsi" w:cstheme="majorHAnsi"/>
        </w:rPr>
      </w:pPr>
      <w:r w:rsidRPr="00C4444C">
        <w:rPr>
          <w:rFonts w:asciiTheme="majorHAnsi" w:hAnsiTheme="majorHAnsi" w:cstheme="majorHAnsi"/>
        </w:rPr>
        <w:t xml:space="preserve">Z danych BIG InfoMonitor i BIK wynika, że </w:t>
      </w:r>
      <w:r w:rsidR="00D3741C" w:rsidRPr="00C4444C">
        <w:rPr>
          <w:rFonts w:asciiTheme="majorHAnsi" w:hAnsiTheme="majorHAnsi" w:cstheme="majorHAnsi"/>
        </w:rPr>
        <w:t>problemy</w:t>
      </w:r>
      <w:r w:rsidRPr="00C4444C">
        <w:rPr>
          <w:rFonts w:asciiTheme="majorHAnsi" w:hAnsiTheme="majorHAnsi" w:cstheme="majorHAnsi"/>
        </w:rPr>
        <w:t xml:space="preserve"> z </w:t>
      </w:r>
      <w:r w:rsidR="00D3741C" w:rsidRPr="00C4444C">
        <w:rPr>
          <w:rFonts w:asciiTheme="majorHAnsi" w:hAnsiTheme="majorHAnsi" w:cstheme="majorHAnsi"/>
        </w:rPr>
        <w:t>terminowym regulowaniem</w:t>
      </w:r>
      <w:r w:rsidRPr="00C4444C">
        <w:rPr>
          <w:rFonts w:asciiTheme="majorHAnsi" w:hAnsiTheme="majorHAnsi" w:cstheme="majorHAnsi"/>
        </w:rPr>
        <w:t xml:space="preserve"> zobowiązań </w:t>
      </w:r>
      <w:r w:rsidR="00D3741C" w:rsidRPr="00C4444C">
        <w:rPr>
          <w:rFonts w:asciiTheme="majorHAnsi" w:hAnsiTheme="majorHAnsi" w:cstheme="majorHAnsi"/>
        </w:rPr>
        <w:t>ma</w:t>
      </w:r>
      <w:r w:rsidRPr="00C4444C">
        <w:rPr>
          <w:rFonts w:asciiTheme="majorHAnsi" w:hAnsiTheme="majorHAnsi" w:cstheme="majorHAnsi"/>
        </w:rPr>
        <w:t xml:space="preserve"> średnio</w:t>
      </w:r>
      <w:r w:rsidRPr="00C4444C">
        <w:rPr>
          <w:rFonts w:asciiTheme="majorHAnsi" w:eastAsia="Calibri" w:hAnsiTheme="majorHAnsi" w:cstheme="majorHAnsi"/>
        </w:rPr>
        <w:t xml:space="preserve"> </w:t>
      </w:r>
      <w:r w:rsidRPr="00C4444C">
        <w:rPr>
          <w:rFonts w:asciiTheme="majorHAnsi" w:hAnsiTheme="majorHAnsi" w:cstheme="majorHAnsi"/>
        </w:rPr>
        <w:t xml:space="preserve">co </w:t>
      </w:r>
      <w:r w:rsidR="00D3741C" w:rsidRPr="00C4444C">
        <w:rPr>
          <w:rFonts w:asciiTheme="majorHAnsi" w:hAnsiTheme="majorHAnsi" w:cstheme="majorHAnsi"/>
        </w:rPr>
        <w:t>dwunasta firm</w:t>
      </w:r>
      <w:r w:rsidR="00BC7A2D" w:rsidRPr="00C4444C">
        <w:rPr>
          <w:rFonts w:asciiTheme="majorHAnsi" w:eastAsia="Calibri" w:hAnsiTheme="majorHAnsi" w:cstheme="majorHAnsi"/>
        </w:rPr>
        <w:t xml:space="preserve">a </w:t>
      </w:r>
      <w:r w:rsidRPr="00C4444C">
        <w:rPr>
          <w:rFonts w:asciiTheme="majorHAnsi" w:hAnsiTheme="majorHAnsi" w:cstheme="majorHAnsi"/>
        </w:rPr>
        <w:t>z branży</w:t>
      </w:r>
      <w:r w:rsidR="00D3741C" w:rsidRPr="00C4444C">
        <w:rPr>
          <w:rFonts w:asciiTheme="majorHAnsi" w:hAnsiTheme="majorHAnsi" w:cstheme="majorHAnsi"/>
        </w:rPr>
        <w:t xml:space="preserve"> napoj</w:t>
      </w:r>
      <w:r w:rsidR="00BC7A2D" w:rsidRPr="00C4444C">
        <w:rPr>
          <w:rFonts w:asciiTheme="majorHAnsi" w:hAnsiTheme="majorHAnsi" w:cstheme="majorHAnsi"/>
        </w:rPr>
        <w:t>ów.</w:t>
      </w:r>
      <w:r w:rsidRPr="00C4444C">
        <w:rPr>
          <w:rFonts w:asciiTheme="majorHAnsi" w:eastAsia="Calibri" w:hAnsiTheme="majorHAnsi" w:cstheme="majorHAnsi"/>
        </w:rPr>
        <w:t xml:space="preserve"> Jeszcze trudniejsza sytuacja widoczna jest wśród</w:t>
      </w:r>
      <w:r w:rsidRPr="00C4444C">
        <w:rPr>
          <w:rFonts w:asciiTheme="majorHAnsi" w:hAnsiTheme="majorHAnsi" w:cstheme="majorHAnsi"/>
        </w:rPr>
        <w:t xml:space="preserve"> producentów piwa </w:t>
      </w:r>
      <w:r w:rsidRPr="00C4444C">
        <w:rPr>
          <w:rFonts w:asciiTheme="majorHAnsi" w:eastAsia="Calibri" w:hAnsiTheme="majorHAnsi" w:cstheme="majorHAnsi"/>
        </w:rPr>
        <w:t xml:space="preserve">i cydru, gdzie problem dotyczy już co dziewiątej firmy. </w:t>
      </w:r>
      <w:r w:rsidR="00D3741C" w:rsidRPr="00C4444C">
        <w:rPr>
          <w:rFonts w:asciiTheme="majorHAnsi" w:hAnsiTheme="majorHAnsi" w:cstheme="majorHAnsi"/>
        </w:rPr>
        <w:t>To istotny sygnał dla partnerów handlowych, wskazujący na potrzebę uważnej weryfikacji</w:t>
      </w:r>
      <w:r w:rsidR="00BC7A2D" w:rsidRPr="00C4444C">
        <w:rPr>
          <w:rFonts w:asciiTheme="majorHAnsi" w:hAnsiTheme="majorHAnsi" w:cstheme="majorHAnsi"/>
        </w:rPr>
        <w:t xml:space="preserve"> </w:t>
      </w:r>
      <w:r w:rsidRPr="00C4444C">
        <w:rPr>
          <w:rFonts w:asciiTheme="majorHAnsi" w:hAnsiTheme="majorHAnsi" w:cstheme="majorHAnsi"/>
        </w:rPr>
        <w:t xml:space="preserve">wiarygodności </w:t>
      </w:r>
      <w:r w:rsidR="00D3741C" w:rsidRPr="00C4444C">
        <w:rPr>
          <w:rFonts w:asciiTheme="majorHAnsi" w:hAnsiTheme="majorHAnsi" w:cstheme="majorHAnsi"/>
        </w:rPr>
        <w:t xml:space="preserve">płatniczej </w:t>
      </w:r>
      <w:r w:rsidRPr="00C4444C">
        <w:rPr>
          <w:rFonts w:asciiTheme="majorHAnsi" w:hAnsiTheme="majorHAnsi" w:cstheme="majorHAnsi"/>
        </w:rPr>
        <w:t xml:space="preserve">kontrahentów </w:t>
      </w:r>
      <w:r w:rsidR="00D3741C" w:rsidRPr="00C4444C">
        <w:rPr>
          <w:rFonts w:asciiTheme="majorHAnsi" w:hAnsiTheme="majorHAnsi" w:cstheme="majorHAnsi"/>
        </w:rPr>
        <w:t>i bieżącego monitorowania należności</w:t>
      </w:r>
      <w:r w:rsidR="00BC7A2D" w:rsidRPr="00C4444C">
        <w:rPr>
          <w:rFonts w:asciiTheme="majorHAnsi" w:hAnsiTheme="majorHAnsi" w:cstheme="majorHAnsi"/>
        </w:rPr>
        <w:t>.</w:t>
      </w:r>
    </w:p>
    <w:p w14:paraId="1657808E" w14:textId="3207B3EF" w:rsidR="00A41C85" w:rsidRPr="00C4444C" w:rsidRDefault="008A6D3D" w:rsidP="00C452F6">
      <w:pPr>
        <w:spacing w:before="240" w:after="240"/>
        <w:jc w:val="both"/>
        <w:rPr>
          <w:rFonts w:asciiTheme="majorHAnsi" w:eastAsia="Calibri" w:hAnsiTheme="majorHAnsi" w:cstheme="majorHAnsi"/>
          <w:lang w:val="pl-PL"/>
        </w:rPr>
      </w:pPr>
      <w:r w:rsidRPr="00C4444C">
        <w:rPr>
          <w:rFonts w:asciiTheme="majorHAnsi" w:eastAsia="Calibri" w:hAnsiTheme="majorHAnsi" w:cstheme="majorHAnsi"/>
        </w:rPr>
        <w:t>–</w:t>
      </w:r>
      <w:r w:rsidR="00C452F6" w:rsidRPr="00C4444C">
        <w:rPr>
          <w:rFonts w:asciiTheme="majorHAnsi" w:eastAsia="Calibri" w:hAnsiTheme="majorHAnsi" w:cstheme="majorHAnsi"/>
          <w:lang w:val="pl-PL"/>
        </w:rPr>
        <w:t xml:space="preserve"> </w:t>
      </w:r>
      <w:r w:rsidR="00470E7E" w:rsidRPr="00C4444C">
        <w:rPr>
          <w:rFonts w:asciiTheme="majorHAnsi" w:eastAsia="Calibri" w:hAnsiTheme="majorHAnsi" w:cstheme="majorHAnsi"/>
          <w:i/>
          <w:iCs/>
          <w:lang w:val="pl-PL"/>
        </w:rPr>
        <w:t xml:space="preserve">Znacząca skala problemów płatniczych w </w:t>
      </w:r>
      <w:r w:rsidR="00BC7A2D" w:rsidRPr="00C4444C">
        <w:rPr>
          <w:rFonts w:asciiTheme="majorHAnsi" w:eastAsia="Calibri" w:hAnsiTheme="majorHAnsi" w:cstheme="majorHAnsi"/>
          <w:i/>
          <w:iCs/>
          <w:lang w:val="pl-PL"/>
        </w:rPr>
        <w:t>branży</w:t>
      </w:r>
      <w:r w:rsidR="00470E7E" w:rsidRPr="00C4444C">
        <w:rPr>
          <w:rFonts w:asciiTheme="majorHAnsi" w:eastAsia="Calibri" w:hAnsiTheme="majorHAnsi" w:cstheme="majorHAnsi"/>
          <w:i/>
          <w:iCs/>
          <w:lang w:val="pl-PL"/>
        </w:rPr>
        <w:t xml:space="preserve"> zwiększa ryzyko rozprzestrzeniania się zatorów płatniczych </w:t>
      </w:r>
      <w:r w:rsidR="00BC7A2D" w:rsidRPr="00C4444C">
        <w:rPr>
          <w:rFonts w:asciiTheme="majorHAnsi" w:eastAsia="Calibri" w:hAnsiTheme="majorHAnsi" w:cstheme="majorHAnsi"/>
          <w:i/>
          <w:iCs/>
          <w:lang w:val="pl-PL"/>
        </w:rPr>
        <w:t>w</w:t>
      </w:r>
      <w:r w:rsidR="00470E7E" w:rsidRPr="00C4444C">
        <w:rPr>
          <w:rFonts w:asciiTheme="majorHAnsi" w:eastAsia="Calibri" w:hAnsiTheme="majorHAnsi" w:cstheme="majorHAnsi"/>
          <w:i/>
          <w:iCs/>
          <w:lang w:val="pl-PL"/>
        </w:rPr>
        <w:t xml:space="preserve"> cał</w:t>
      </w:r>
      <w:r w:rsidR="00BC7A2D" w:rsidRPr="00C4444C">
        <w:rPr>
          <w:rFonts w:asciiTheme="majorHAnsi" w:eastAsia="Calibri" w:hAnsiTheme="majorHAnsi" w:cstheme="majorHAnsi"/>
          <w:i/>
          <w:iCs/>
          <w:lang w:val="pl-PL"/>
        </w:rPr>
        <w:t>ym</w:t>
      </w:r>
      <w:r w:rsidR="00470E7E" w:rsidRPr="00C4444C">
        <w:rPr>
          <w:rFonts w:asciiTheme="majorHAnsi" w:eastAsia="Calibri" w:hAnsiTheme="majorHAnsi" w:cstheme="majorHAnsi"/>
          <w:i/>
          <w:iCs/>
          <w:lang w:val="pl-PL"/>
        </w:rPr>
        <w:t xml:space="preserve"> łańcuch</w:t>
      </w:r>
      <w:r w:rsidR="00BC7A2D" w:rsidRPr="00C4444C">
        <w:rPr>
          <w:rFonts w:asciiTheme="majorHAnsi" w:eastAsia="Calibri" w:hAnsiTheme="majorHAnsi" w:cstheme="majorHAnsi"/>
          <w:i/>
          <w:iCs/>
          <w:lang w:val="pl-PL"/>
        </w:rPr>
        <w:t>u dostaw</w:t>
      </w:r>
      <w:r w:rsidR="00470E7E" w:rsidRPr="00C4444C">
        <w:rPr>
          <w:rFonts w:asciiTheme="majorHAnsi" w:eastAsia="Calibri" w:hAnsiTheme="majorHAnsi" w:cstheme="majorHAnsi"/>
          <w:i/>
          <w:iCs/>
          <w:lang w:val="pl-PL"/>
        </w:rPr>
        <w:t xml:space="preserve">. Nieterminowe regulowanie zobowiązań przez producentów napojów może wywoływać efekt kaskadowy, </w:t>
      </w:r>
      <w:r w:rsidR="00BC7A2D" w:rsidRPr="00C4444C">
        <w:rPr>
          <w:rFonts w:asciiTheme="majorHAnsi" w:eastAsia="Calibri" w:hAnsiTheme="majorHAnsi" w:cstheme="majorHAnsi"/>
          <w:i/>
          <w:iCs/>
          <w:lang w:val="pl-PL"/>
        </w:rPr>
        <w:t>dotykając</w:t>
      </w:r>
      <w:r w:rsidR="00470E7E" w:rsidRPr="00C4444C">
        <w:rPr>
          <w:rFonts w:asciiTheme="majorHAnsi" w:eastAsia="Calibri" w:hAnsiTheme="majorHAnsi" w:cstheme="majorHAnsi"/>
          <w:i/>
          <w:iCs/>
          <w:lang w:val="pl-PL"/>
        </w:rPr>
        <w:t xml:space="preserve"> dostawców surowców, producentów opakowań, operatorów logistycznych, przewoźników oraz dystrybutorów. </w:t>
      </w:r>
      <w:r w:rsidR="00BC7A2D" w:rsidRPr="00C4444C">
        <w:rPr>
          <w:rFonts w:asciiTheme="majorHAnsi" w:eastAsia="Calibri" w:hAnsiTheme="majorHAnsi" w:cstheme="majorHAnsi"/>
          <w:i/>
          <w:iCs/>
          <w:lang w:val="pl-PL"/>
        </w:rPr>
        <w:t>P</w:t>
      </w:r>
      <w:r w:rsidR="00470E7E" w:rsidRPr="00C4444C">
        <w:rPr>
          <w:rFonts w:asciiTheme="majorHAnsi" w:eastAsia="Calibri" w:hAnsiTheme="majorHAnsi" w:cstheme="majorHAnsi"/>
          <w:i/>
          <w:iCs/>
          <w:lang w:val="pl-PL"/>
        </w:rPr>
        <w:t xml:space="preserve">ogorszenie sytuacji finansowej </w:t>
      </w:r>
      <w:r w:rsidR="00BC7A2D" w:rsidRPr="00C4444C">
        <w:rPr>
          <w:rFonts w:asciiTheme="majorHAnsi" w:eastAsia="Calibri" w:hAnsiTheme="majorHAnsi" w:cstheme="majorHAnsi"/>
          <w:i/>
          <w:iCs/>
          <w:lang w:val="pl-PL"/>
        </w:rPr>
        <w:t>części</w:t>
      </w:r>
      <w:r w:rsidR="00470E7E" w:rsidRPr="00C4444C">
        <w:rPr>
          <w:rFonts w:asciiTheme="majorHAnsi" w:eastAsia="Calibri" w:hAnsiTheme="majorHAnsi" w:cstheme="majorHAnsi"/>
          <w:i/>
          <w:iCs/>
          <w:lang w:val="pl-PL"/>
        </w:rPr>
        <w:t xml:space="preserve"> przedsiębiorstw może</w:t>
      </w:r>
      <w:r w:rsidR="00BC7A2D" w:rsidRPr="00C4444C">
        <w:rPr>
          <w:rFonts w:asciiTheme="majorHAnsi" w:eastAsia="Calibri" w:hAnsiTheme="majorHAnsi" w:cstheme="majorHAnsi"/>
          <w:i/>
          <w:iCs/>
          <w:lang w:val="pl-PL"/>
        </w:rPr>
        <w:t xml:space="preserve"> więc</w:t>
      </w:r>
      <w:r w:rsidR="00470E7E" w:rsidRPr="00C4444C">
        <w:rPr>
          <w:rFonts w:asciiTheme="majorHAnsi" w:eastAsia="Calibri" w:hAnsiTheme="majorHAnsi" w:cstheme="majorHAnsi"/>
          <w:i/>
          <w:iCs/>
          <w:lang w:val="pl-PL"/>
        </w:rPr>
        <w:t xml:space="preserve"> osłabi</w:t>
      </w:r>
      <w:r w:rsidR="00BC7A2D" w:rsidRPr="00C4444C">
        <w:rPr>
          <w:rFonts w:asciiTheme="majorHAnsi" w:eastAsia="Calibri" w:hAnsiTheme="majorHAnsi" w:cstheme="majorHAnsi"/>
          <w:i/>
          <w:iCs/>
          <w:lang w:val="pl-PL"/>
        </w:rPr>
        <w:t>ać</w:t>
      </w:r>
      <w:r w:rsidR="00470E7E" w:rsidRPr="00C4444C">
        <w:rPr>
          <w:rFonts w:asciiTheme="majorHAnsi" w:eastAsia="Calibri" w:hAnsiTheme="majorHAnsi" w:cstheme="majorHAnsi"/>
          <w:i/>
          <w:iCs/>
          <w:lang w:val="pl-PL"/>
        </w:rPr>
        <w:t xml:space="preserve"> stabilnoś</w:t>
      </w:r>
      <w:r w:rsidR="00BC7A2D" w:rsidRPr="00C4444C">
        <w:rPr>
          <w:rFonts w:asciiTheme="majorHAnsi" w:eastAsia="Calibri" w:hAnsiTheme="majorHAnsi" w:cstheme="majorHAnsi"/>
          <w:i/>
          <w:iCs/>
          <w:lang w:val="pl-PL"/>
        </w:rPr>
        <w:t xml:space="preserve">ć </w:t>
      </w:r>
      <w:r w:rsidR="00470E7E" w:rsidRPr="00C4444C">
        <w:rPr>
          <w:rFonts w:asciiTheme="majorHAnsi" w:eastAsia="Calibri" w:hAnsiTheme="majorHAnsi" w:cstheme="majorHAnsi"/>
          <w:i/>
          <w:iCs/>
          <w:lang w:val="pl-PL"/>
        </w:rPr>
        <w:t>całe</w:t>
      </w:r>
      <w:r w:rsidR="00BC7A2D" w:rsidRPr="00C4444C">
        <w:rPr>
          <w:rFonts w:asciiTheme="majorHAnsi" w:eastAsia="Calibri" w:hAnsiTheme="majorHAnsi" w:cstheme="majorHAnsi"/>
          <w:i/>
          <w:iCs/>
          <w:lang w:val="pl-PL"/>
        </w:rPr>
        <w:t>j branży</w:t>
      </w:r>
      <w:r w:rsidR="00470E7E" w:rsidRPr="00C4444C">
        <w:rPr>
          <w:rFonts w:asciiTheme="majorHAnsi" w:eastAsia="Calibri" w:hAnsiTheme="majorHAnsi" w:cstheme="majorHAnsi"/>
          <w:i/>
          <w:iCs/>
          <w:lang w:val="pl-PL"/>
        </w:rPr>
        <w:t xml:space="preserve">, </w:t>
      </w:r>
      <w:r w:rsidR="00036524" w:rsidRPr="00C4444C">
        <w:rPr>
          <w:rFonts w:asciiTheme="majorHAnsi" w:eastAsia="Calibri" w:hAnsiTheme="majorHAnsi" w:cstheme="majorHAnsi"/>
          <w:i/>
          <w:iCs/>
          <w:lang w:val="pl-PL"/>
        </w:rPr>
        <w:t>utrudniając współpracującym z nią podmiotom zarówno bieżące funkcjonowanie, jak i realizację inwestycji rozwojowych</w:t>
      </w:r>
      <w:r w:rsidR="00C452F6" w:rsidRPr="00C4444C">
        <w:rPr>
          <w:rFonts w:asciiTheme="majorHAnsi" w:eastAsia="Calibri" w:hAnsiTheme="majorHAnsi" w:cstheme="majorHAnsi"/>
          <w:i/>
          <w:iCs/>
          <w:lang w:val="pl-PL"/>
        </w:rPr>
        <w:t xml:space="preserve"> – </w:t>
      </w:r>
      <w:r w:rsidR="007B160F" w:rsidRPr="00C4444C">
        <w:rPr>
          <w:rFonts w:asciiTheme="majorHAnsi" w:eastAsia="Calibri" w:hAnsiTheme="majorHAnsi" w:cstheme="majorHAnsi"/>
          <w:lang w:val="pl-PL"/>
        </w:rPr>
        <w:t xml:space="preserve">zaznacza </w:t>
      </w:r>
      <w:r w:rsidR="00526664" w:rsidRPr="00C4444C">
        <w:rPr>
          <w:rFonts w:asciiTheme="majorHAnsi" w:eastAsia="Calibri" w:hAnsiTheme="majorHAnsi" w:cstheme="majorHAnsi"/>
          <w:b/>
          <w:bCs/>
          <w:lang w:val="pl-PL"/>
        </w:rPr>
        <w:t>dr hab. Waldemar Rogowski, główny analityk BIG InfoMonitor.</w:t>
      </w:r>
      <w:r w:rsidR="00C452F6" w:rsidRPr="00C4444C">
        <w:rPr>
          <w:rFonts w:asciiTheme="majorHAnsi" w:eastAsia="Calibri" w:hAnsiTheme="majorHAnsi" w:cstheme="majorHAnsi"/>
          <w:b/>
          <w:bCs/>
          <w:lang w:val="pl-PL"/>
        </w:rPr>
        <w:t xml:space="preserve"> </w:t>
      </w:r>
      <w:r w:rsidR="00025B0A" w:rsidRPr="00C4444C">
        <w:rPr>
          <w:rFonts w:asciiTheme="majorHAnsi" w:eastAsia="Calibri" w:hAnsiTheme="majorHAnsi" w:cstheme="majorHAnsi"/>
        </w:rPr>
        <w:t>–</w:t>
      </w:r>
      <w:r w:rsidR="00C452F6" w:rsidRPr="00C4444C">
        <w:rPr>
          <w:rFonts w:asciiTheme="majorHAnsi" w:eastAsia="Calibri" w:hAnsiTheme="majorHAnsi" w:cstheme="majorHAnsi"/>
          <w:b/>
          <w:bCs/>
          <w:lang w:val="pl-PL"/>
        </w:rPr>
        <w:t xml:space="preserve"> </w:t>
      </w:r>
      <w:r w:rsidR="00C452F6" w:rsidRPr="00C4444C">
        <w:rPr>
          <w:rFonts w:asciiTheme="majorHAnsi" w:eastAsia="Calibri" w:hAnsiTheme="majorHAnsi" w:cstheme="majorHAnsi"/>
          <w:i/>
          <w:iCs/>
          <w:lang w:val="pl-PL"/>
        </w:rPr>
        <w:t>W tej sytuacji szczególnego znaczenia nabiera bieżące monitorowanie wiarygodności płatniczej kontrahentów i szybkie reagowanie na pierwsze sygnały pogorszenia ich kondycji finansowej</w:t>
      </w:r>
      <w:r w:rsidR="00C452F6" w:rsidRPr="00C4444C">
        <w:rPr>
          <w:rFonts w:asciiTheme="majorHAnsi" w:eastAsia="Calibri" w:hAnsiTheme="majorHAnsi" w:cstheme="majorHAnsi"/>
          <w:b/>
          <w:bCs/>
          <w:lang w:val="pl-PL"/>
        </w:rPr>
        <w:t xml:space="preserve"> </w:t>
      </w:r>
      <w:r w:rsidR="00C452F6" w:rsidRPr="00A322E7">
        <w:rPr>
          <w:rFonts w:asciiTheme="majorHAnsi" w:eastAsia="Calibri" w:hAnsiTheme="majorHAnsi" w:cstheme="majorHAnsi"/>
          <w:lang w:val="pl-PL"/>
        </w:rPr>
        <w:t>– dodaje.</w:t>
      </w:r>
    </w:p>
    <w:p w14:paraId="4D62DBEC" w14:textId="77777777" w:rsidR="00526664" w:rsidRPr="00C4444C" w:rsidRDefault="00526664">
      <w:pPr>
        <w:jc w:val="both"/>
        <w:rPr>
          <w:rFonts w:asciiTheme="majorHAnsi" w:eastAsia="Calibri" w:hAnsiTheme="majorHAnsi" w:cstheme="majorHAnsi"/>
        </w:rPr>
      </w:pPr>
    </w:p>
    <w:p w14:paraId="4A9D6105" w14:textId="77777777" w:rsidR="00526664" w:rsidRPr="00C4444C" w:rsidRDefault="00526664" w:rsidP="00526664">
      <w:pPr>
        <w:spacing w:line="30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C4444C">
        <w:rPr>
          <w:rFonts w:asciiTheme="majorHAnsi" w:hAnsiTheme="majorHAnsi" w:cstheme="majorHAnsi"/>
          <w:b/>
          <w:bCs/>
          <w:sz w:val="18"/>
          <w:szCs w:val="18"/>
        </w:rPr>
        <w:t>BIG InfoMonitor</w:t>
      </w:r>
      <w:r w:rsidRPr="00C4444C">
        <w:rPr>
          <w:rFonts w:asciiTheme="majorHAnsi" w:hAnsiTheme="majorHAnsi" w:cstheme="majorHAnsi"/>
          <w:sz w:val="18"/>
          <w:szCs w:val="18"/>
        </w:rPr>
        <w:t xml:space="preserve">, spółka z Grupy BIK, już od 22 lat dostarcza rynkowi wiarygodne informacje o zadłużeniu osób fizycznych i firm. Pomaga w ten sposób w przeciwdziałaniu zatorom płatniczym i odzyskiwaniu należności. Spółka prowadzi rejestr dłużników, do którego na warunkach określonych w Ustawie o BIG, każdy może wpisać dłużnika – firmę lub konsumenta zalegającego z płatnościami. Oprócz zaległych długów BIG InfoMonitor gromadzi i udostępnia pozytywne informacje gospodarcze, czyli dane o terminowych płatnościach. Raporty z BIG InfoMonitor zawierają wiarygodne informacje o kondycji finansowej osób oraz firm i tym samym wspierają podmioty gospodarcze w dbaniu o płynność finansową.  BIG InfoMonitor posiada jedną z największych baz dłużników – zasoby rejestru obejmują ponad 114 mln informacji gospodarczych. Od początku działalności do rejestru dłużników BIG InfoMonitor wpisano blisko 42 mln zaległych zobowiązań o wartości 660 mld zł. Banki, firmy pożyczkowe i inne podmioty z rynku chętnie korzystają z raportów z BIG InfoMonitor w swoich procesach sprzedażowych. Badają w ten sposób wiarygodność płatniczą swoich klientów. Od początku działania BIG InfoMonitor udostępnił 363 mln raportów o wiarygodności płatniczej osób i firm. </w:t>
      </w:r>
    </w:p>
    <w:p w14:paraId="129FD9F5" w14:textId="1AF28851" w:rsidR="00526664" w:rsidRPr="00C4444C" w:rsidRDefault="00526664" w:rsidP="00526664">
      <w:pPr>
        <w:spacing w:line="30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C4444C">
        <w:rPr>
          <w:rFonts w:asciiTheme="majorHAnsi" w:hAnsiTheme="majorHAnsi" w:cstheme="majorHAnsi"/>
          <w:sz w:val="18"/>
          <w:szCs w:val="18"/>
        </w:rPr>
        <w:lastRenderedPageBreak/>
        <w:t xml:space="preserve">Informacje o dłużnikach przekazują do BIG InfoMonitor m.in. dostawcy energii elektrycznej, gazu, wody i inne przedsiębiorstwa użyteczności publicznej, banki, firmy pożyczkowe, operatorzy telefonii stacjonarnej i komórkowej, firmy ubezpieczeniowe, faktoringowe, leasingowe, sektor MŚP i duże firmy, zarządcy nieruchomości, transport publiczny, sądy, gminy i urzędy miasta, a także osoby fizyczne. </w:t>
      </w:r>
    </w:p>
    <w:p w14:paraId="19793704" w14:textId="77777777" w:rsidR="00526664" w:rsidRPr="00C4444C" w:rsidRDefault="00526664" w:rsidP="00526664">
      <w:pPr>
        <w:spacing w:line="30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4444C">
        <w:rPr>
          <w:rFonts w:asciiTheme="majorHAnsi" w:hAnsiTheme="majorHAnsi" w:cstheme="majorHAnsi"/>
          <w:sz w:val="18"/>
          <w:szCs w:val="18"/>
        </w:rPr>
        <w:t xml:space="preserve">BIG InfoMonitor umożliwia dostęp do baz: Biura Informacji Kredytowej i Związku Banków Polskich, dzięki czemu stanowi platformę wymiany informacji pomiędzy sektorem bankowym i pozostałymi sektorami gospodarki. Głównym akcjonariuszem BIG InfoMonitor jest Biuro Informacji Kredytowej. Więcej na </w:t>
      </w:r>
      <w:hyperlink r:id="rId8" w:history="1">
        <w:r w:rsidRPr="00C4444C">
          <w:rPr>
            <w:rFonts w:asciiTheme="majorHAnsi" w:hAnsiTheme="majorHAnsi" w:cstheme="majorHAnsi"/>
            <w:color w:val="0563C1"/>
            <w:sz w:val="18"/>
            <w:szCs w:val="18"/>
            <w:u w:val="single"/>
          </w:rPr>
          <w:t>www.big.pl</w:t>
        </w:r>
      </w:hyperlink>
    </w:p>
    <w:p w14:paraId="5A4051F8" w14:textId="77777777" w:rsidR="00526664" w:rsidRPr="00C4444C" w:rsidRDefault="00526664" w:rsidP="00526664">
      <w:pPr>
        <w:spacing w:line="30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709575CD" w14:textId="77777777" w:rsidR="00526664" w:rsidRPr="00C4444C" w:rsidRDefault="00526664" w:rsidP="00526664">
      <w:pPr>
        <w:spacing w:line="240" w:lineRule="auto"/>
        <w:jc w:val="both"/>
        <w:rPr>
          <w:rFonts w:asciiTheme="majorHAnsi" w:hAnsiTheme="majorHAnsi" w:cstheme="majorHAnsi"/>
          <w:b/>
          <w:bCs/>
          <w:sz w:val="18"/>
          <w:szCs w:val="18"/>
        </w:rPr>
      </w:pPr>
      <w:r w:rsidRPr="00C4444C">
        <w:rPr>
          <w:rFonts w:asciiTheme="majorHAnsi" w:hAnsiTheme="majorHAnsi" w:cstheme="majorHAnsi"/>
          <w:b/>
          <w:bCs/>
          <w:sz w:val="18"/>
          <w:szCs w:val="18"/>
        </w:rPr>
        <w:t>Kontakt dla mediów:</w:t>
      </w:r>
    </w:p>
    <w:tbl>
      <w:tblPr>
        <w:tblW w:w="10455" w:type="dxa"/>
        <w:tblLayout w:type="fixed"/>
        <w:tblLook w:val="0400" w:firstRow="0" w:lastRow="0" w:firstColumn="0" w:lastColumn="0" w:noHBand="0" w:noVBand="1"/>
      </w:tblPr>
      <w:tblGrid>
        <w:gridCol w:w="3779"/>
        <w:gridCol w:w="3338"/>
        <w:gridCol w:w="3338"/>
      </w:tblGrid>
      <w:tr w:rsidR="00526664" w:rsidRPr="00C4444C" w14:paraId="3F543A7C" w14:textId="77777777" w:rsidTr="0023161B">
        <w:trPr>
          <w:trHeight w:val="1440"/>
        </w:trPr>
        <w:tc>
          <w:tcPr>
            <w:tcW w:w="3780" w:type="dxa"/>
            <w:hideMark/>
          </w:tcPr>
          <w:p w14:paraId="30D52A17" w14:textId="77777777" w:rsidR="00526664" w:rsidRPr="00C4444C" w:rsidRDefault="00526664" w:rsidP="0023161B">
            <w:pPr>
              <w:spacing w:line="240" w:lineRule="auto"/>
              <w:ind w:left="-108"/>
              <w:jc w:val="both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C4444C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Diana Borowiecka</w:t>
            </w:r>
          </w:p>
          <w:p w14:paraId="7CBC8E7E" w14:textId="77777777" w:rsidR="00526664" w:rsidRPr="00C4444C" w:rsidRDefault="00526664" w:rsidP="0023161B">
            <w:pPr>
              <w:spacing w:line="240" w:lineRule="auto"/>
              <w:ind w:left="-108"/>
              <w:jc w:val="both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C4444C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Biuro PR i Komunikacji</w:t>
            </w:r>
          </w:p>
          <w:p w14:paraId="68B36551" w14:textId="77777777" w:rsidR="00526664" w:rsidRPr="00C4444C" w:rsidRDefault="00526664" w:rsidP="0023161B">
            <w:pPr>
              <w:spacing w:line="240" w:lineRule="auto"/>
              <w:ind w:left="-108"/>
              <w:jc w:val="both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C4444C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tel.: +48 22 486 56 46</w:t>
            </w:r>
          </w:p>
          <w:p w14:paraId="4542C3D8" w14:textId="77777777" w:rsidR="00526664" w:rsidRPr="00C4444C" w:rsidRDefault="00526664" w:rsidP="0023161B">
            <w:pPr>
              <w:spacing w:line="240" w:lineRule="auto"/>
              <w:ind w:left="-108"/>
              <w:jc w:val="both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C4444C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kom.: + 48 607 146 583</w:t>
            </w:r>
          </w:p>
          <w:p w14:paraId="2D601321" w14:textId="77777777" w:rsidR="00526664" w:rsidRPr="00C4444C" w:rsidRDefault="00526664" w:rsidP="0023161B">
            <w:pPr>
              <w:spacing w:line="240" w:lineRule="auto"/>
              <w:ind w:left="-108"/>
              <w:jc w:val="both"/>
              <w:rPr>
                <w:rFonts w:asciiTheme="majorHAnsi" w:hAnsiTheme="majorHAnsi" w:cstheme="majorHAnsi"/>
                <w:sz w:val="20"/>
                <w:szCs w:val="20"/>
                <w:lang w:eastAsia="en-US"/>
              </w:rPr>
            </w:pPr>
            <w:r w:rsidRPr="00C4444C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diana.borowiecka@big.pl</w:t>
            </w:r>
          </w:p>
        </w:tc>
        <w:tc>
          <w:tcPr>
            <w:tcW w:w="3340" w:type="dxa"/>
          </w:tcPr>
          <w:p w14:paraId="59CAB4C6" w14:textId="77777777" w:rsidR="00526664" w:rsidRPr="00C4444C" w:rsidRDefault="00526664" w:rsidP="0023161B">
            <w:pPr>
              <w:spacing w:line="240" w:lineRule="auto"/>
              <w:ind w:left="-108"/>
              <w:jc w:val="both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3340" w:type="dxa"/>
          </w:tcPr>
          <w:p w14:paraId="5085FD53" w14:textId="77777777" w:rsidR="00526664" w:rsidRPr="00C4444C" w:rsidRDefault="00526664" w:rsidP="0023161B">
            <w:pPr>
              <w:spacing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  <w:lang w:eastAsia="en-US"/>
              </w:rPr>
            </w:pPr>
          </w:p>
        </w:tc>
      </w:tr>
    </w:tbl>
    <w:p w14:paraId="571862D2" w14:textId="77777777" w:rsidR="00526664" w:rsidRPr="00C4444C" w:rsidRDefault="00526664">
      <w:pPr>
        <w:jc w:val="both"/>
        <w:rPr>
          <w:rFonts w:asciiTheme="majorHAnsi" w:eastAsia="Calibri" w:hAnsiTheme="majorHAnsi" w:cstheme="majorHAnsi"/>
        </w:rPr>
      </w:pPr>
    </w:p>
    <w:sectPr w:rsidR="00526664" w:rsidRPr="00C444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071DE" w14:textId="77777777" w:rsidR="001E00E2" w:rsidRDefault="001E00E2">
      <w:pPr>
        <w:spacing w:line="240" w:lineRule="auto"/>
      </w:pPr>
      <w:r>
        <w:separator/>
      </w:r>
    </w:p>
  </w:endnote>
  <w:endnote w:type="continuationSeparator" w:id="0">
    <w:p w14:paraId="016238B0" w14:textId="77777777" w:rsidR="001E00E2" w:rsidRDefault="001E00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01A5A61-1EB5-44BD-AE99-3B3AAD95BEAA}"/>
    <w:embedBold r:id="rId2" w:fontKey="{4F878D5A-5569-467E-AE51-335AA019D57A}"/>
    <w:embedItalic r:id="rId3" w:fontKey="{538442A8-B8F6-4A1B-9FB2-E39F1F1AF9C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00F532CB-1DFA-4CE9-A233-ED52C93D17F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9C194ADA-6738-4370-B06E-BFA27C85C4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25F3C" w14:textId="7D0732E8" w:rsidR="00390481" w:rsidRDefault="00390481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838F17C" wp14:editId="2F80185B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11580" cy="368935"/>
              <wp:effectExtent l="0" t="0" r="0" b="0"/>
              <wp:wrapNone/>
              <wp:docPr id="683009494" name="Pole tekstowe 2" descr="Informacje Jawn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15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01B607" w14:textId="08B0DCF9" w:rsidR="00390481" w:rsidRPr="00390481" w:rsidRDefault="00390481" w:rsidP="00390481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390481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Informacje Jawne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38F17C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Informacje Jawne" style="position:absolute;margin-left:44.2pt;margin-top:0;width:95.4pt;height:29.0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" filled="f" stroked="f">
              <v:textbox style="mso-fit-shape-to-text:t" inset="0,0,20pt,15pt">
                <w:txbxContent>
                  <w:p w14:paraId="1C01B607" w14:textId="08B0DCF9" w:rsidR="00390481" w:rsidRPr="00390481" w:rsidRDefault="00390481" w:rsidP="00390481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390481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Informacje Jawne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63FA1" w14:textId="2384D224" w:rsidR="00390481" w:rsidRDefault="00390481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97E8492" wp14:editId="3CCC9CC6">
              <wp:simplePos x="914400" y="100711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11580" cy="368935"/>
              <wp:effectExtent l="0" t="0" r="0" b="0"/>
              <wp:wrapNone/>
              <wp:docPr id="1852246715" name="Pole tekstowe 3" descr="Informacje Jawn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15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04546D" w14:textId="1427D828" w:rsidR="00390481" w:rsidRPr="00390481" w:rsidRDefault="00390481" w:rsidP="00390481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390481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Informacje Jawne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7E849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Informacje Jawne" style="position:absolute;margin-left:44.2pt;margin-top:0;width:95.4pt;height:29.05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" filled="f" stroked="f">
              <v:textbox style="mso-fit-shape-to-text:t" inset="0,0,20pt,15pt">
                <w:txbxContent>
                  <w:p w14:paraId="6F04546D" w14:textId="1427D828" w:rsidR="00390481" w:rsidRPr="00390481" w:rsidRDefault="00390481" w:rsidP="00390481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390481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Informacje Jawne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EE56B" w14:textId="5DB1FADB" w:rsidR="00390481" w:rsidRDefault="00390481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F18664" wp14:editId="27BF8751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11580" cy="368935"/>
              <wp:effectExtent l="0" t="0" r="0" b="0"/>
              <wp:wrapNone/>
              <wp:docPr id="2000958412" name="Pole tekstowe 1" descr="Informacje Jawn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158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B3F6EC" w14:textId="5914AD40" w:rsidR="00390481" w:rsidRPr="00390481" w:rsidRDefault="00390481" w:rsidP="00390481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390481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Informacje Jawne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F18664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Informacje Jawne" style="position:absolute;margin-left:44.2pt;margin-top:0;width:95.4pt;height:29.0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" filled="f" stroked="f">
              <v:textbox style="mso-fit-shape-to-text:t" inset="0,0,20pt,15pt">
                <w:txbxContent>
                  <w:p w14:paraId="7EB3F6EC" w14:textId="5914AD40" w:rsidR="00390481" w:rsidRPr="00390481" w:rsidRDefault="00390481" w:rsidP="00390481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390481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Informacje Jawne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6EAF6" w14:textId="77777777" w:rsidR="001E00E2" w:rsidRDefault="001E00E2">
      <w:pPr>
        <w:spacing w:line="240" w:lineRule="auto"/>
      </w:pPr>
      <w:r>
        <w:separator/>
      </w:r>
    </w:p>
  </w:footnote>
  <w:footnote w:type="continuationSeparator" w:id="0">
    <w:p w14:paraId="4E1E6B00" w14:textId="77777777" w:rsidR="001E00E2" w:rsidRDefault="001E00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0467" w14:textId="77777777" w:rsidR="00C22E3A" w:rsidRDefault="00C22E3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5F630" w14:textId="77777777" w:rsidR="00A41C85" w:rsidRDefault="00306102">
    <w:r>
      <w:rPr>
        <w:noProof/>
        <w:lang w:val="pl-PL"/>
      </w:rPr>
      <w:drawing>
        <wp:anchor distT="0" distB="0" distL="0" distR="0" simplePos="0" relativeHeight="251658240" behindDoc="0" locked="0" layoutInCell="1" hidden="0" allowOverlap="1" wp14:anchorId="7467BC80" wp14:editId="4AB7674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266950" cy="1197584"/>
          <wp:effectExtent l="0" t="0" r="0" b="0"/>
          <wp:wrapTopAndBottom distT="0" dist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6950" cy="11975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7FE65" w14:textId="77777777" w:rsidR="00C22E3A" w:rsidRDefault="00C22E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4B52"/>
    <w:multiLevelType w:val="multilevel"/>
    <w:tmpl w:val="A692E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E7790"/>
    <w:multiLevelType w:val="multilevel"/>
    <w:tmpl w:val="56ECF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F87420"/>
    <w:multiLevelType w:val="multilevel"/>
    <w:tmpl w:val="A3F80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611EF"/>
    <w:multiLevelType w:val="multilevel"/>
    <w:tmpl w:val="765E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5409B5"/>
    <w:multiLevelType w:val="multilevel"/>
    <w:tmpl w:val="34FE43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4B64C21"/>
    <w:multiLevelType w:val="multilevel"/>
    <w:tmpl w:val="84D2D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234370">
    <w:abstractNumId w:val="4"/>
  </w:num>
  <w:num w:numId="2" w16cid:durableId="295650428">
    <w:abstractNumId w:val="1"/>
  </w:num>
  <w:num w:numId="3" w16cid:durableId="700327370">
    <w:abstractNumId w:val="2"/>
  </w:num>
  <w:num w:numId="4" w16cid:durableId="771821675">
    <w:abstractNumId w:val="5"/>
  </w:num>
  <w:num w:numId="5" w16cid:durableId="1500804039">
    <w:abstractNumId w:val="0"/>
  </w:num>
  <w:num w:numId="6" w16cid:durableId="18225727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C85"/>
    <w:rsid w:val="00025B0A"/>
    <w:rsid w:val="00036524"/>
    <w:rsid w:val="00045562"/>
    <w:rsid w:val="000526F1"/>
    <w:rsid w:val="000737A5"/>
    <w:rsid w:val="000B3722"/>
    <w:rsid w:val="00106BDF"/>
    <w:rsid w:val="00120F7C"/>
    <w:rsid w:val="00123BDA"/>
    <w:rsid w:val="001368F4"/>
    <w:rsid w:val="001A492F"/>
    <w:rsid w:val="001E00E2"/>
    <w:rsid w:val="00224D3D"/>
    <w:rsid w:val="002B00DB"/>
    <w:rsid w:val="002D7548"/>
    <w:rsid w:val="002F600A"/>
    <w:rsid w:val="00306102"/>
    <w:rsid w:val="0032228A"/>
    <w:rsid w:val="00390481"/>
    <w:rsid w:val="003B345B"/>
    <w:rsid w:val="004113C0"/>
    <w:rsid w:val="00470E7E"/>
    <w:rsid w:val="0047161F"/>
    <w:rsid w:val="00474E09"/>
    <w:rsid w:val="00493FF2"/>
    <w:rsid w:val="00526664"/>
    <w:rsid w:val="005C1ECF"/>
    <w:rsid w:val="005D71CB"/>
    <w:rsid w:val="00604DFD"/>
    <w:rsid w:val="006D5EF9"/>
    <w:rsid w:val="006F69F8"/>
    <w:rsid w:val="00746554"/>
    <w:rsid w:val="00756F80"/>
    <w:rsid w:val="00760AF3"/>
    <w:rsid w:val="00770AE3"/>
    <w:rsid w:val="007A799B"/>
    <w:rsid w:val="007B160F"/>
    <w:rsid w:val="008348F0"/>
    <w:rsid w:val="008508CF"/>
    <w:rsid w:val="00854FD6"/>
    <w:rsid w:val="00857012"/>
    <w:rsid w:val="00886B8C"/>
    <w:rsid w:val="008A6D3D"/>
    <w:rsid w:val="008C4B93"/>
    <w:rsid w:val="008D5F6C"/>
    <w:rsid w:val="009315B8"/>
    <w:rsid w:val="009C16CD"/>
    <w:rsid w:val="009E6EF3"/>
    <w:rsid w:val="009F5AD3"/>
    <w:rsid w:val="00A11A14"/>
    <w:rsid w:val="00A25686"/>
    <w:rsid w:val="00A322E7"/>
    <w:rsid w:val="00A41C85"/>
    <w:rsid w:val="00A65BE2"/>
    <w:rsid w:val="00AB7ED3"/>
    <w:rsid w:val="00B3396F"/>
    <w:rsid w:val="00B3593C"/>
    <w:rsid w:val="00B409A3"/>
    <w:rsid w:val="00B50805"/>
    <w:rsid w:val="00B86DA8"/>
    <w:rsid w:val="00BB20C4"/>
    <w:rsid w:val="00BC7A2D"/>
    <w:rsid w:val="00C22E3A"/>
    <w:rsid w:val="00C36617"/>
    <w:rsid w:val="00C4444C"/>
    <w:rsid w:val="00C452F6"/>
    <w:rsid w:val="00C45902"/>
    <w:rsid w:val="00C562E7"/>
    <w:rsid w:val="00CC3FB7"/>
    <w:rsid w:val="00CF7E1E"/>
    <w:rsid w:val="00D0591C"/>
    <w:rsid w:val="00D06972"/>
    <w:rsid w:val="00D3741C"/>
    <w:rsid w:val="00D50223"/>
    <w:rsid w:val="00D53164"/>
    <w:rsid w:val="00D712B4"/>
    <w:rsid w:val="00DB6AC6"/>
    <w:rsid w:val="00DF512A"/>
    <w:rsid w:val="00E13438"/>
    <w:rsid w:val="00E224A0"/>
    <w:rsid w:val="00E6780B"/>
    <w:rsid w:val="00E95B33"/>
    <w:rsid w:val="00EA49FC"/>
    <w:rsid w:val="00F230FD"/>
    <w:rsid w:val="00F31927"/>
    <w:rsid w:val="00F354EC"/>
    <w:rsid w:val="00F3720E"/>
    <w:rsid w:val="00F83806"/>
    <w:rsid w:val="00FC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9C2E6"/>
  <w15:docId w15:val="{41FDB70D-56CD-42BF-94EC-25011A39A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Stopka">
    <w:name w:val="footer"/>
    <w:basedOn w:val="Normalny"/>
    <w:link w:val="StopkaZnak"/>
    <w:uiPriority w:val="99"/>
    <w:unhideWhenUsed/>
    <w:rsid w:val="0039048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0481"/>
  </w:style>
  <w:style w:type="paragraph" w:styleId="Poprawka">
    <w:name w:val="Revision"/>
    <w:hidden/>
    <w:uiPriority w:val="99"/>
    <w:semiHidden/>
    <w:rsid w:val="00C562E7"/>
    <w:pPr>
      <w:spacing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48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348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348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48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48F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22E3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2E3A"/>
  </w:style>
  <w:style w:type="paragraph" w:customStyle="1" w:styleId="Normalny1">
    <w:name w:val="Normalny1"/>
    <w:basedOn w:val="Normalny"/>
    <w:rPr>
      <w:kern w:val="2"/>
      <w:lang w:val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g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1097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Rogowski Waldemar</dc:creator>
  <cp:lastModifiedBy>Bartosz Naskręski</cp:lastModifiedBy>
  <cp:revision>24</cp:revision>
  <dcterms:created xsi:type="dcterms:W3CDTF">2026-10-01T19:44:00Z</dcterms:created>
  <dcterms:modified xsi:type="dcterms:W3CDTF">2026-10-09T09:01:00Z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774433cc,28b5e5d6,6e670abb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Informacje Jawne</vt:lpwstr>
  </property>
  <property fmtid="{D5CDD505-2E9C-101B-9397-08002B2CF9AE}" pid="5" name="MSIP_Label_1391a466-f120-4668-a5e5-7af4d8a99d82_Enabled">
    <vt:lpwstr>true</vt:lpwstr>
  </property>
  <property fmtid="{D5CDD505-2E9C-101B-9397-08002B2CF9AE}" pid="6" name="MSIP_Label_1391a466-f120-4668-a5e5-7af4d8a99d82_SetDate">
    <vt:lpwstr>2026-09-30T09:04:39Z</vt:lpwstr>
  </property>
  <property fmtid="{D5CDD505-2E9C-101B-9397-08002B2CF9AE}" pid="7" name="MSIP_Label_1391a466-f120-4668-a5e5-7af4d8a99d82_Method">
    <vt:lpwstr>Privileged</vt:lpwstr>
  </property>
  <property fmtid="{D5CDD505-2E9C-101B-9397-08002B2CF9AE}" pid="8" name="MSIP_Label_1391a466-f120-4668-a5e5-7af4d8a99d82_Name">
    <vt:lpwstr>Grupa BIK-Jawne</vt:lpwstr>
  </property>
  <property fmtid="{D5CDD505-2E9C-101B-9397-08002B2CF9AE}" pid="9" name="MSIP_Label_1391a466-f120-4668-a5e5-7af4d8a99d82_SiteId">
    <vt:lpwstr>f2871815-01ea-45c0-a64b-82e189df602c</vt:lpwstr>
  </property>
  <property fmtid="{D5CDD505-2E9C-101B-9397-08002B2CF9AE}" pid="10" name="MSIP_Label_1391a466-f120-4668-a5e5-7af4d8a99d82_ActionId">
    <vt:lpwstr>7951af3c-412c-4759-9de5-9c0293af9fa4</vt:lpwstr>
  </property>
  <property fmtid="{D5CDD505-2E9C-101B-9397-08002B2CF9AE}" pid="11" name="MSIP_Label_1391a466-f120-4668-a5e5-7af4d8a99d82_ContentBits">
    <vt:lpwstr>2</vt:lpwstr>
  </property>
  <property fmtid="{D5CDD505-2E9C-101B-9397-08002B2CF9AE}" pid="12" name="MSIP_Label_1391a466-f120-4668-a5e5-7af4d8a99d82_Tag">
    <vt:lpwstr>10, 0, 1, 1</vt:lpwstr>
  </property>
</Properties>
</file>