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66D7D" w14:textId="537655DC" w:rsidR="00890FF2" w:rsidRDefault="00F9766A" w:rsidP="00896592">
      <w:pPr>
        <w:jc w:val="center"/>
        <w:rPr>
          <w:rFonts w:ascii="Century Gothic" w:hAnsi="Century Gothic"/>
          <w:b/>
          <w:bCs/>
          <w:color w:val="BFBFBF" w:themeColor="background1" w:themeShade="BF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C8AC50" wp14:editId="480C076C">
            <wp:simplePos x="0" y="0"/>
            <wp:positionH relativeFrom="column">
              <wp:posOffset>-76200</wp:posOffset>
            </wp:positionH>
            <wp:positionV relativeFrom="paragraph">
              <wp:posOffset>0</wp:posOffset>
            </wp:positionV>
            <wp:extent cx="1763681" cy="384938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681" cy="38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DBFB27" w14:textId="77777777" w:rsidR="00F1369A" w:rsidRDefault="00F1369A" w:rsidP="00E46E4F">
      <w:pPr>
        <w:jc w:val="right"/>
        <w:rPr>
          <w:rFonts w:ascii="Century Gothic" w:hAnsi="Century Gothic"/>
          <w:b/>
          <w:bCs/>
          <w:color w:val="BFBFBF" w:themeColor="background1" w:themeShade="BF"/>
        </w:rPr>
      </w:pPr>
    </w:p>
    <w:p w14:paraId="7CC6177A" w14:textId="565F8772" w:rsidR="00E46E4F" w:rsidRPr="005A5490" w:rsidRDefault="00F1369A" w:rsidP="00E46E4F">
      <w:pPr>
        <w:jc w:val="right"/>
        <w:rPr>
          <w:rFonts w:ascii="Century Gothic" w:hAnsi="Century Gothic"/>
          <w:b/>
          <w:bCs/>
          <w:color w:val="BFBFBF" w:themeColor="background1" w:themeShade="BF"/>
        </w:rPr>
      </w:pPr>
      <w:r>
        <w:rPr>
          <w:rFonts w:ascii="Century Gothic" w:hAnsi="Century Gothic"/>
          <w:b/>
          <w:bCs/>
          <w:color w:val="BFBFBF" w:themeColor="background1" w:themeShade="BF"/>
        </w:rPr>
        <w:t>COMUNICADO DE IMPRENSA</w:t>
      </w:r>
    </w:p>
    <w:p w14:paraId="4F3D7FA0" w14:textId="77777777" w:rsidR="004912F0" w:rsidRPr="00896592" w:rsidRDefault="004912F0" w:rsidP="00B470FE">
      <w:pPr>
        <w:pStyle w:val="NormalWeb"/>
        <w:spacing w:before="0" w:beforeAutospacing="0" w:after="0" w:afterAutospacing="0"/>
        <w:jc w:val="both"/>
        <w:rPr>
          <w:rFonts w:ascii="Century Gothic" w:eastAsiaTheme="minorHAnsi" w:hAnsi="Century Gothic" w:cstheme="minorBidi"/>
          <w:b/>
          <w:bCs/>
          <w:kern w:val="2"/>
          <w:sz w:val="14"/>
          <w:szCs w:val="20"/>
          <w:lang w:eastAsia="en-US"/>
          <w14:ligatures w14:val="standardContextual"/>
        </w:rPr>
      </w:pPr>
    </w:p>
    <w:p w14:paraId="690D9BD2" w14:textId="6F04CCAA" w:rsidR="004D7263" w:rsidRPr="00E07327" w:rsidRDefault="00E07327" w:rsidP="004D7263">
      <w:pPr>
        <w:pStyle w:val="NormalWeb"/>
        <w:spacing w:before="0" w:beforeAutospacing="0" w:after="0" w:afterAutospacing="0"/>
        <w:jc w:val="center"/>
        <w:rPr>
          <w:rFonts w:ascii="Century Gothic" w:hAnsi="Century Gothic"/>
          <w:b/>
          <w:bCs/>
          <w:sz w:val="40"/>
          <w:szCs w:val="40"/>
        </w:rPr>
      </w:pPr>
      <w:r w:rsidRPr="00E07327">
        <w:rPr>
          <w:rFonts w:ascii="Century Gothic" w:hAnsi="Century Gothic"/>
          <w:b/>
          <w:bCs/>
          <w:sz w:val="40"/>
          <w:szCs w:val="40"/>
        </w:rPr>
        <w:t>Maior complexidade das decisões financeiras leva Universidade Europeia Online a reforçar oferta nesta área</w:t>
      </w:r>
    </w:p>
    <w:p w14:paraId="4222C1D0" w14:textId="77777777" w:rsidR="00E07327" w:rsidRPr="004D7263" w:rsidRDefault="00E07327" w:rsidP="004D7263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79ADF1B1" w14:textId="77777777" w:rsidR="004D7263" w:rsidRPr="004D7263" w:rsidRDefault="004D7263" w:rsidP="004D7263">
      <w:pPr>
        <w:pStyle w:val="NormalWeb"/>
        <w:spacing w:before="0" w:beforeAutospacing="0" w:after="0" w:afterAutospacing="0"/>
        <w:ind w:right="-1"/>
        <w:jc w:val="center"/>
        <w:rPr>
          <w:rFonts w:ascii="Century Gothic" w:hAnsi="Century Gothic"/>
          <w:b/>
          <w:bCs/>
        </w:rPr>
      </w:pPr>
      <w:r w:rsidRPr="004D7263">
        <w:rPr>
          <w:rFonts w:ascii="Century Gothic" w:hAnsi="Century Gothic"/>
          <w:b/>
          <w:bCs/>
        </w:rPr>
        <w:t>Novas formações 100% online respondem à crescente necessidade de profissionais capazes de cruzar análise financeira, controlo de gestão e decisões estratégicas em contextos de transformação empresarial</w:t>
      </w:r>
    </w:p>
    <w:p w14:paraId="6DDAB7AF" w14:textId="77777777" w:rsidR="004D7263" w:rsidRDefault="004D7263" w:rsidP="004D7263">
      <w:pPr>
        <w:pStyle w:val="NormalWeb"/>
        <w:spacing w:before="0" w:beforeAutospacing="0" w:after="0" w:afterAutospacing="0"/>
        <w:ind w:right="-1"/>
        <w:jc w:val="center"/>
        <w:rPr>
          <w:rFonts w:ascii="Century Gothic" w:hAnsi="Century Gothic"/>
          <w:b/>
          <w:bCs/>
          <w:sz w:val="26"/>
          <w:szCs w:val="26"/>
        </w:rPr>
      </w:pPr>
    </w:p>
    <w:p w14:paraId="31831388" w14:textId="77777777" w:rsidR="004D7263" w:rsidRPr="004D7263" w:rsidRDefault="004D7263" w:rsidP="004D7263">
      <w:pPr>
        <w:pStyle w:val="NormalWeb"/>
        <w:spacing w:before="0" w:beforeAutospacing="0" w:after="0" w:afterAutospacing="0"/>
        <w:ind w:right="-1"/>
        <w:jc w:val="center"/>
        <w:rPr>
          <w:rFonts w:ascii="Century Gothic" w:hAnsi="Century Gothic"/>
          <w:b/>
          <w:bCs/>
          <w:sz w:val="26"/>
          <w:szCs w:val="26"/>
        </w:rPr>
      </w:pPr>
    </w:p>
    <w:p w14:paraId="412E041F" w14:textId="747149DC" w:rsidR="004D7263" w:rsidRPr="00E137CE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sz w:val="22"/>
          <w:szCs w:val="22"/>
        </w:rPr>
        <w:t xml:space="preserve">A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Universidade Europeia Online</w:t>
      </w:r>
      <w:r w:rsidRPr="004D7263">
        <w:rPr>
          <w:rFonts w:ascii="Century Gothic" w:hAnsi="Century Gothic" w:cstheme="minorHAnsi"/>
          <w:sz w:val="22"/>
          <w:szCs w:val="22"/>
        </w:rPr>
        <w:t xml:space="preserve"> reforça a sua oferta de formação avançada na área financeira com o lançamento do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Executive Master em Management Control &amp; Corporate Finance</w:t>
      </w:r>
      <w:r w:rsidRPr="004D7263">
        <w:rPr>
          <w:rFonts w:ascii="Century Gothic" w:hAnsi="Century Gothic" w:cstheme="minorHAnsi"/>
          <w:sz w:val="22"/>
          <w:szCs w:val="22"/>
        </w:rPr>
        <w:t xml:space="preserve"> e da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Pós-Graduação em Fusões, Aquisições e Reestruturações</w:t>
      </w:r>
      <w:r w:rsidRPr="004D7263">
        <w:rPr>
          <w:rFonts w:ascii="Century Gothic" w:hAnsi="Century Gothic" w:cstheme="minorHAnsi"/>
          <w:sz w:val="22"/>
          <w:szCs w:val="22"/>
        </w:rPr>
        <w:t xml:space="preserve">. Os dois novos programas, com início em novembro, procuram responder à crescente complexidade das decisões financeiras e </w:t>
      </w:r>
      <w:r w:rsidR="00E137CE" w:rsidRPr="00E137CE">
        <w:rPr>
          <w:rFonts w:ascii="Century Gothic" w:hAnsi="Century Gothic" w:cstheme="minorHAnsi"/>
          <w:sz w:val="22"/>
          <w:szCs w:val="22"/>
        </w:rPr>
        <w:t>ao papel cada vez mais estratégico das áreas financeiras nas organizações.</w:t>
      </w:r>
    </w:p>
    <w:p w14:paraId="766854B5" w14:textId="77777777" w:rsidR="00E137CE" w:rsidRPr="004D7263" w:rsidRDefault="00E137CE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</w:p>
    <w:p w14:paraId="1AD6427E" w14:textId="1D60ECA9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sz w:val="22"/>
          <w:szCs w:val="22"/>
        </w:rPr>
        <w:t xml:space="preserve">Com uma duração de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oito meses e em formato 100% online e pós-laboral</w:t>
      </w:r>
      <w:r w:rsidRPr="004D7263">
        <w:rPr>
          <w:rFonts w:ascii="Century Gothic" w:hAnsi="Century Gothic" w:cstheme="minorHAnsi"/>
          <w:sz w:val="22"/>
          <w:szCs w:val="22"/>
        </w:rPr>
        <w:t xml:space="preserve">, as duas </w:t>
      </w:r>
      <w:bookmarkStart w:id="0" w:name="_GoBack"/>
      <w:r w:rsidRPr="004D7263">
        <w:rPr>
          <w:rFonts w:ascii="Century Gothic" w:hAnsi="Century Gothic" w:cstheme="minorHAnsi"/>
          <w:sz w:val="22"/>
          <w:szCs w:val="22"/>
        </w:rPr>
        <w:t xml:space="preserve">formações abordam diferentes dimensões da gestão financeira </w:t>
      </w:r>
      <w:bookmarkEnd w:id="0"/>
      <w:r w:rsidRPr="004D7263">
        <w:rPr>
          <w:rFonts w:ascii="Century Gothic" w:hAnsi="Century Gothic" w:cstheme="minorHAnsi"/>
          <w:sz w:val="22"/>
          <w:szCs w:val="22"/>
        </w:rPr>
        <w:t xml:space="preserve">e empresarial. O Executive Master centra-se na articulação entre controlo de gestão, finanças empresariais e planeamento estratégico, enquanto a Pós-Graduação aprofunda as competências necessárias à estruturação, avaliação, negociação e execução de operações de fusão, aquisição e reestruturação. </w:t>
      </w:r>
    </w:p>
    <w:p w14:paraId="512C0BB1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</w:p>
    <w:p w14:paraId="28C18CA1" w14:textId="21C959AC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sz w:val="22"/>
          <w:szCs w:val="22"/>
        </w:rPr>
        <w:t xml:space="preserve">O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Executive Master em Management Control &amp; Corporate Finance</w:t>
      </w:r>
      <w:r w:rsidRPr="004D7263">
        <w:rPr>
          <w:rFonts w:ascii="Century Gothic" w:hAnsi="Century Gothic" w:cstheme="minorHAnsi"/>
          <w:sz w:val="22"/>
          <w:szCs w:val="22"/>
        </w:rPr>
        <w:t xml:space="preserve"> prepara profissionais para interpretar informação financeira, avaliar desempenho e apoiar decisões de investimento e financiamento numa lógica de criação de valor. O plano de estudos percorre áreas como informação financeira para a gestão, controlo e performance, gestão de custos e </w:t>
      </w:r>
      <w:r w:rsidRPr="004D7263">
        <w:rPr>
          <w:rFonts w:ascii="Century Gothic" w:hAnsi="Century Gothic" w:cstheme="minorHAnsi"/>
          <w:i/>
          <w:iCs/>
          <w:sz w:val="22"/>
          <w:szCs w:val="22"/>
        </w:rPr>
        <w:t>pricing</w:t>
      </w:r>
      <w:r w:rsidRPr="004D7263">
        <w:rPr>
          <w:rFonts w:ascii="Century Gothic" w:hAnsi="Century Gothic" w:cstheme="minorHAnsi"/>
          <w:sz w:val="22"/>
          <w:szCs w:val="22"/>
        </w:rPr>
        <w:t xml:space="preserve">, </w:t>
      </w:r>
      <w:r w:rsidRPr="004D7263">
        <w:rPr>
          <w:rFonts w:ascii="Century Gothic" w:hAnsi="Century Gothic" w:cstheme="minorHAnsi"/>
          <w:i/>
          <w:iCs/>
          <w:sz w:val="22"/>
          <w:szCs w:val="22"/>
        </w:rPr>
        <w:t>corporate finance</w:t>
      </w:r>
      <w:r w:rsidRPr="004D7263">
        <w:rPr>
          <w:rFonts w:ascii="Century Gothic" w:hAnsi="Century Gothic" w:cstheme="minorHAnsi"/>
          <w:sz w:val="22"/>
          <w:szCs w:val="22"/>
        </w:rPr>
        <w:t xml:space="preserve">, estrutura de capital, gestão do risco e planeamento estratégico. </w:t>
      </w:r>
    </w:p>
    <w:p w14:paraId="45F5A21F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</w:p>
    <w:p w14:paraId="243CC073" w14:textId="7B59587F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sz w:val="22"/>
          <w:szCs w:val="22"/>
        </w:rPr>
        <w:t xml:space="preserve">Um dos elementos diferenciadores do programa é o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Decision Lab: Finanças e Controlo Aplicados</w:t>
      </w:r>
      <w:r w:rsidRPr="004D7263">
        <w:rPr>
          <w:rFonts w:ascii="Century Gothic" w:hAnsi="Century Gothic" w:cstheme="minorHAnsi"/>
          <w:sz w:val="22"/>
          <w:szCs w:val="22"/>
        </w:rPr>
        <w:t xml:space="preserve">, a unidade curricular final, na qual os participantes trabalham desafios empresariais reais ou simulados através de modelos de análise e simulação, ferramentas digitais e Inteligência Artificial. A componente inclui diagnóstico empresarial assistido por IA, modelização financeira e automatização analítica, análise de performance, simulação de cenários e </w:t>
      </w:r>
      <w:r w:rsidRPr="004D7263">
        <w:rPr>
          <w:rFonts w:ascii="Century Gothic" w:hAnsi="Century Gothic" w:cstheme="minorHAnsi"/>
          <w:i/>
          <w:iCs/>
          <w:sz w:val="22"/>
          <w:szCs w:val="22"/>
        </w:rPr>
        <w:t>stress testing</w:t>
      </w:r>
      <w:r w:rsidRPr="004D7263">
        <w:rPr>
          <w:rFonts w:ascii="Century Gothic" w:hAnsi="Century Gothic" w:cstheme="minorHAnsi"/>
          <w:sz w:val="22"/>
          <w:szCs w:val="22"/>
        </w:rPr>
        <w:t xml:space="preserve">. </w:t>
      </w:r>
    </w:p>
    <w:p w14:paraId="2FF66550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</w:p>
    <w:p w14:paraId="49AFCBF3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i/>
          <w:iCs/>
          <w:sz w:val="22"/>
          <w:szCs w:val="22"/>
        </w:rPr>
        <w:t>“A incerteza deixou de ser exceção para passar a fazer parte do contexto em que as organizações tomam decisões. Por isso, é cada vez mais importante saber integrar informação financeira, antecipar cenários e compreender o impacto das diferentes opções no desempenho das organizações. O objetivo deste programa é reforçar essa capacidade de transformar análise em decisões sustentadas e orientadas para a criação de valor”</w:t>
      </w:r>
      <w:r w:rsidRPr="004D7263">
        <w:rPr>
          <w:rFonts w:ascii="Century Gothic" w:hAnsi="Century Gothic" w:cstheme="minorHAnsi"/>
          <w:sz w:val="22"/>
          <w:szCs w:val="22"/>
        </w:rPr>
        <w:t xml:space="preserve">, afirma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Ana Lucas, diretora do Executive Master em Management Control &amp; Corporate Finance da Universidade Europeia</w:t>
      </w:r>
      <w:r w:rsidRPr="004D7263">
        <w:rPr>
          <w:rFonts w:ascii="Century Gothic" w:hAnsi="Century Gothic" w:cstheme="minorHAnsi"/>
          <w:sz w:val="22"/>
          <w:szCs w:val="22"/>
        </w:rPr>
        <w:t>.</w:t>
      </w:r>
    </w:p>
    <w:p w14:paraId="0EE59BC2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</w:p>
    <w:p w14:paraId="783010C0" w14:textId="1995133B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sz w:val="22"/>
          <w:szCs w:val="22"/>
        </w:rPr>
        <w:t xml:space="preserve">Já a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Pós-Graduação em Fusões, Aquisições e Reestruturações</w:t>
      </w:r>
      <w:r w:rsidRPr="004D7263">
        <w:rPr>
          <w:rFonts w:ascii="Century Gothic" w:hAnsi="Century Gothic" w:cstheme="minorHAnsi"/>
          <w:sz w:val="22"/>
          <w:szCs w:val="22"/>
        </w:rPr>
        <w:t xml:space="preserve"> parte da crescente relevância destas operações na estratégia empresarial e combina numa única formação as dimensões financeira, estratégica, jurídica, fiscal e contabilística dos processos de M&amp;A e reestruturação. O programa aborda todo o ciclo destas operações, desde a estratégia e avaliação de empresas à </w:t>
      </w:r>
      <w:r w:rsidRPr="004D7263">
        <w:rPr>
          <w:rFonts w:ascii="Century Gothic" w:hAnsi="Century Gothic" w:cstheme="minorHAnsi"/>
          <w:i/>
          <w:iCs/>
          <w:sz w:val="22"/>
          <w:szCs w:val="22"/>
        </w:rPr>
        <w:t>due diligence</w:t>
      </w:r>
      <w:r w:rsidRPr="004D7263">
        <w:rPr>
          <w:rFonts w:ascii="Century Gothic" w:hAnsi="Century Gothic" w:cstheme="minorHAnsi"/>
          <w:sz w:val="22"/>
          <w:szCs w:val="22"/>
        </w:rPr>
        <w:t xml:space="preserve">, negociação, estruturação da transação e respetivo enquadramento jurídico e fiscal. </w:t>
      </w:r>
    </w:p>
    <w:p w14:paraId="7A12A0F7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</w:p>
    <w:p w14:paraId="66FF9008" w14:textId="37B60FB4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sz w:val="22"/>
          <w:szCs w:val="22"/>
        </w:rPr>
        <w:t xml:space="preserve">Esta abordagem permite também alargar o perfil dos destinatários. Além de diretores e responsáveis financeiros, contabilistas, auditores, profissionais de banca de investimento, </w:t>
      </w:r>
      <w:r w:rsidRPr="004D7263">
        <w:rPr>
          <w:rFonts w:ascii="Century Gothic" w:hAnsi="Century Gothic" w:cstheme="minorHAnsi"/>
          <w:i/>
          <w:iCs/>
          <w:sz w:val="22"/>
          <w:szCs w:val="22"/>
        </w:rPr>
        <w:t>corporate finance</w:t>
      </w:r>
      <w:r w:rsidRPr="004D7263">
        <w:rPr>
          <w:rFonts w:ascii="Century Gothic" w:hAnsi="Century Gothic" w:cstheme="minorHAnsi"/>
          <w:sz w:val="22"/>
          <w:szCs w:val="22"/>
        </w:rPr>
        <w:t xml:space="preserve">, </w:t>
      </w:r>
      <w:r w:rsidRPr="004D7263">
        <w:rPr>
          <w:rFonts w:ascii="Century Gothic" w:hAnsi="Century Gothic" w:cstheme="minorHAnsi"/>
          <w:i/>
          <w:iCs/>
          <w:sz w:val="22"/>
          <w:szCs w:val="22"/>
        </w:rPr>
        <w:t>private equity</w:t>
      </w:r>
      <w:r w:rsidRPr="004D7263">
        <w:rPr>
          <w:rFonts w:ascii="Century Gothic" w:hAnsi="Century Gothic" w:cstheme="minorHAnsi"/>
          <w:sz w:val="22"/>
          <w:szCs w:val="22"/>
        </w:rPr>
        <w:t xml:space="preserve"> e </w:t>
      </w:r>
      <w:r w:rsidRPr="004D7263">
        <w:rPr>
          <w:rFonts w:ascii="Century Gothic" w:hAnsi="Century Gothic" w:cstheme="minorHAnsi"/>
          <w:i/>
          <w:iCs/>
          <w:sz w:val="22"/>
          <w:szCs w:val="22"/>
        </w:rPr>
        <w:t>venture capital</w:t>
      </w:r>
      <w:r w:rsidRPr="004D7263">
        <w:rPr>
          <w:rFonts w:ascii="Century Gothic" w:hAnsi="Century Gothic" w:cstheme="minorHAnsi"/>
          <w:sz w:val="22"/>
          <w:szCs w:val="22"/>
        </w:rPr>
        <w:t xml:space="preserve">, a formação dirige-se a </w:t>
      </w:r>
      <w:r w:rsidRPr="004A66B4">
        <w:rPr>
          <w:rFonts w:ascii="Century Gothic" w:hAnsi="Century Gothic" w:cstheme="minorHAnsi"/>
          <w:sz w:val="22"/>
          <w:szCs w:val="22"/>
        </w:rPr>
        <w:t>advogados com atuação em Direito Societário, Fiscal ou M&amp;A</w:t>
      </w:r>
      <w:r w:rsidRPr="004D7263">
        <w:rPr>
          <w:rFonts w:ascii="Century Gothic" w:hAnsi="Century Gothic" w:cstheme="minorHAnsi"/>
          <w:sz w:val="22"/>
          <w:szCs w:val="22"/>
        </w:rPr>
        <w:t>, bem como a empresários envolvidos em processos de crescimento, venda ou reestruturação.</w:t>
      </w:r>
    </w:p>
    <w:p w14:paraId="386E67EB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</w:p>
    <w:p w14:paraId="75456D87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i/>
          <w:iCs/>
          <w:sz w:val="22"/>
          <w:szCs w:val="22"/>
        </w:rPr>
        <w:t>“As operações de fusão, aquisição ou reestruturação exigem hoje uma leitura que vai muito além da componente financeira. É necessário compreender simultaneamente o valor do negócio, os riscos, o enquadramento jurídico e fiscal e as implicações estratégicas de cada decisão. A Pós-Graduação foi construída precisamente para proporcionar essa visão integrada e aproximar a formação das exigências concretas destes processos”</w:t>
      </w:r>
      <w:r w:rsidRPr="004D7263">
        <w:rPr>
          <w:rFonts w:ascii="Century Gothic" w:hAnsi="Century Gothic" w:cstheme="minorHAnsi"/>
          <w:sz w:val="22"/>
          <w:szCs w:val="22"/>
        </w:rPr>
        <w:t xml:space="preserve">, explica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Daniela Monteiro, diretora da Pós-Graduação em Fusões, Aquisições e Reestruturações da Universidade Europeia</w:t>
      </w:r>
      <w:r w:rsidRPr="004D7263">
        <w:rPr>
          <w:rFonts w:ascii="Century Gothic" w:hAnsi="Century Gothic" w:cstheme="minorHAnsi"/>
          <w:sz w:val="22"/>
          <w:szCs w:val="22"/>
        </w:rPr>
        <w:t>.</w:t>
      </w:r>
    </w:p>
    <w:p w14:paraId="4785F865" w14:textId="77777777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</w:p>
    <w:p w14:paraId="0387C018" w14:textId="7E957A69" w:rsidR="004D7263" w:rsidRPr="004D7263" w:rsidRDefault="004D7263" w:rsidP="004D7263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2"/>
          <w:szCs w:val="22"/>
        </w:rPr>
      </w:pPr>
      <w:r w:rsidRPr="004D7263">
        <w:rPr>
          <w:rFonts w:ascii="Century Gothic" w:hAnsi="Century Gothic" w:cstheme="minorHAnsi"/>
          <w:sz w:val="22"/>
          <w:szCs w:val="22"/>
        </w:rPr>
        <w:t xml:space="preserve">Com estes dois novos programas, a </w:t>
      </w:r>
      <w:r w:rsidRPr="004D7263">
        <w:rPr>
          <w:rFonts w:ascii="Century Gothic" w:hAnsi="Century Gothic" w:cstheme="minorHAnsi"/>
          <w:b/>
          <w:bCs/>
          <w:sz w:val="22"/>
          <w:szCs w:val="22"/>
        </w:rPr>
        <w:t>Universidade Europeia Online reforça a aposta na formação avançada dirigida a profissionais</w:t>
      </w:r>
      <w:r w:rsidRPr="004D7263">
        <w:rPr>
          <w:rFonts w:ascii="Century Gothic" w:hAnsi="Century Gothic" w:cstheme="minorHAnsi"/>
          <w:sz w:val="22"/>
          <w:szCs w:val="22"/>
        </w:rPr>
        <w:t>, através de modelos que permitem conciliar especialização e atividade profissional e que procuram aproximar os conteúdos académicos dos desafios atuais das empresas.</w:t>
      </w:r>
    </w:p>
    <w:p w14:paraId="620D0512" w14:textId="77777777" w:rsidR="004D7263" w:rsidRDefault="004D7263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17B46763" w14:textId="77777777" w:rsidR="004D7263" w:rsidRDefault="004D7263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34407564" w14:textId="77777777" w:rsidR="004D7263" w:rsidRDefault="004D7263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33094AB2" w14:textId="77777777" w:rsidR="008B0985" w:rsidRDefault="008B0985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78952252" w14:textId="77777777" w:rsidR="008B0985" w:rsidRPr="00A2706D" w:rsidRDefault="008B0985" w:rsidP="00F931DB">
      <w:pPr>
        <w:pStyle w:val="NormalWeb"/>
        <w:spacing w:before="0" w:beforeAutospacing="0" w:after="0" w:afterAutospacing="0"/>
        <w:jc w:val="center"/>
        <w:rPr>
          <w:rFonts w:ascii="Century Gothic" w:hAnsi="Century Gothic" w:cstheme="minorHAnsi"/>
          <w:sz w:val="20"/>
          <w:szCs w:val="20"/>
        </w:rPr>
      </w:pPr>
    </w:p>
    <w:p w14:paraId="196AAB71" w14:textId="77777777" w:rsidR="00606CEB" w:rsidRDefault="00606CEB" w:rsidP="00D25832">
      <w:pPr>
        <w:pStyle w:val="NormalWeb"/>
        <w:spacing w:before="0" w:beforeAutospacing="0" w:after="0" w:afterAutospacing="0"/>
        <w:jc w:val="center"/>
        <w:rPr>
          <w:rFonts w:ascii="Century Gothic" w:hAnsi="Century Gothic"/>
          <w:b/>
          <w:bCs/>
        </w:rPr>
      </w:pPr>
    </w:p>
    <w:p w14:paraId="11AA4DE1" w14:textId="2A6490BF" w:rsidR="006E354E" w:rsidRPr="00896592" w:rsidRDefault="006E354E" w:rsidP="006E354E">
      <w:pPr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  <w:bookmarkStart w:id="1" w:name="_Hlk129253996"/>
      <w:r w:rsidRPr="00896592">
        <w:rPr>
          <w:rFonts w:ascii="Century Gothic" w:hAnsi="Century Gothic"/>
          <w:b/>
          <w:bCs/>
          <w:sz w:val="16"/>
          <w:szCs w:val="16"/>
          <w:u w:val="single"/>
        </w:rPr>
        <w:t>Sobre a Universidade Europeia</w:t>
      </w:r>
    </w:p>
    <w:p w14:paraId="6D37EE92" w14:textId="6F11B1FF" w:rsidR="006E354E" w:rsidRPr="00896592" w:rsidRDefault="006E354E" w:rsidP="006E354E">
      <w:pPr>
        <w:jc w:val="both"/>
        <w:rPr>
          <w:rFonts w:ascii="Century Gothic" w:hAnsi="Century Gothic"/>
          <w:bCs/>
          <w:sz w:val="16"/>
          <w:szCs w:val="16"/>
        </w:rPr>
      </w:pPr>
      <w:r w:rsidRPr="00896592">
        <w:rPr>
          <w:rFonts w:ascii="Century Gothic" w:hAnsi="Century Gothic"/>
          <w:bCs/>
          <w:sz w:val="16"/>
          <w:szCs w:val="16"/>
        </w:rPr>
        <w:t>A Universidade Europeia é uma universidade inovadora, internacional e multidisciplinar que tem como missão formar líderes e profissionais preparados para responder às necessidades de um mundo global, através de um modelo académico avançado de aprendizagem experiencial, com uma estreita ligação ao mercado e às empresas. Através desta abordagem de ensino inovadora, os estudantes embarcam numa jornada única que os prepara para as profissões do futuro.</w:t>
      </w:r>
    </w:p>
    <w:p w14:paraId="3EC839BA" w14:textId="6259D76F" w:rsidR="006E354E" w:rsidRPr="00896592" w:rsidRDefault="006E354E" w:rsidP="006E354E">
      <w:pPr>
        <w:jc w:val="both"/>
        <w:rPr>
          <w:rFonts w:ascii="Century Gothic" w:hAnsi="Century Gothic"/>
          <w:bCs/>
          <w:sz w:val="16"/>
          <w:szCs w:val="16"/>
        </w:rPr>
      </w:pPr>
      <w:r w:rsidRPr="00896592">
        <w:rPr>
          <w:rFonts w:ascii="Century Gothic" w:hAnsi="Century Gothic"/>
          <w:bCs/>
          <w:sz w:val="16"/>
          <w:szCs w:val="16"/>
        </w:rPr>
        <w:t>Com uma oferta educativa diversificada de Licenciaturas, Mestrados, Doutoramentos e Formação de Executivos, nas áreas de conhecimento da Gestão, Direito, Turismo, Gestão do Desporto, Design, Comunicação, Engenharia e Ciências da Saúde, a Universidade Europeia proporciona uma experiência de estudo vibrante e internacional nos seus campus em Lisboa ou através da UE Online, a Faculdade online privada líder em Portugal.</w:t>
      </w:r>
    </w:p>
    <w:p w14:paraId="2BAAA64D" w14:textId="77777777" w:rsidR="00CA2D60" w:rsidRPr="00896592" w:rsidRDefault="00CA2D60" w:rsidP="006E354E">
      <w:pPr>
        <w:jc w:val="both"/>
        <w:rPr>
          <w:rFonts w:ascii="Century Gothic" w:hAnsi="Century Gothic"/>
          <w:bCs/>
          <w:sz w:val="16"/>
          <w:szCs w:val="16"/>
        </w:rPr>
      </w:pPr>
    </w:p>
    <w:p w14:paraId="225B61C0" w14:textId="77777777" w:rsidR="006E354E" w:rsidRPr="00896592" w:rsidRDefault="006E354E" w:rsidP="006E354E">
      <w:pPr>
        <w:jc w:val="both"/>
        <w:rPr>
          <w:rFonts w:ascii="Century Gothic" w:hAnsi="Century Gothic"/>
          <w:bCs/>
          <w:sz w:val="16"/>
          <w:szCs w:val="16"/>
        </w:rPr>
      </w:pPr>
      <w:r w:rsidRPr="00896592">
        <w:rPr>
          <w:rFonts w:ascii="Century Gothic" w:hAnsi="Century Gothic"/>
          <w:bCs/>
          <w:sz w:val="16"/>
          <w:szCs w:val="16"/>
        </w:rPr>
        <w:t xml:space="preserve">Para mais informações sobre a Universidade Europeia: </w:t>
      </w:r>
      <w:hyperlink r:id="rId10" w:history="1">
        <w:r w:rsidRPr="00896592">
          <w:rPr>
            <w:rStyle w:val="Hyperlink"/>
            <w:rFonts w:ascii="Century Gothic" w:hAnsi="Century Gothic"/>
            <w:bCs/>
            <w:sz w:val="16"/>
            <w:szCs w:val="16"/>
          </w:rPr>
          <w:t>www.europeia.pt</w:t>
        </w:r>
      </w:hyperlink>
    </w:p>
    <w:bookmarkEnd w:id="1"/>
    <w:p w14:paraId="2F627962" w14:textId="77777777" w:rsidR="006E354E" w:rsidRPr="00896592" w:rsidRDefault="006E354E" w:rsidP="006E354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eastAsia="Noto Sans" w:hAnsi="Century Gothic" w:cstheme="minorHAnsi"/>
          <w:color w:val="000000"/>
          <w:sz w:val="16"/>
          <w:szCs w:val="16"/>
        </w:rPr>
      </w:pPr>
      <w:r w:rsidRPr="00896592">
        <w:rPr>
          <w:rStyle w:val="normaltextrun"/>
          <w:rFonts w:ascii="Century Gothic" w:eastAsiaTheme="majorEastAsia" w:hAnsi="Century Gothic" w:cstheme="minorHAnsi"/>
          <w:b/>
          <w:bCs/>
          <w:color w:val="000000"/>
          <w:sz w:val="16"/>
          <w:szCs w:val="16"/>
        </w:rPr>
        <w:t>Para mais informações contactar:</w:t>
      </w:r>
    </w:p>
    <w:p w14:paraId="6FD78422" w14:textId="77777777" w:rsidR="006E354E" w:rsidRPr="00896592" w:rsidRDefault="006E354E" w:rsidP="006E354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 w:cstheme="minorHAnsi"/>
          <w:sz w:val="16"/>
          <w:szCs w:val="16"/>
        </w:rPr>
      </w:pPr>
    </w:p>
    <w:p w14:paraId="39F4FCE5" w14:textId="77777777" w:rsidR="006E354E" w:rsidRPr="00896592" w:rsidRDefault="006E354E" w:rsidP="006E354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eastAsiaTheme="majorEastAsia" w:hAnsi="Century Gothic" w:cstheme="minorHAnsi"/>
          <w:sz w:val="16"/>
          <w:szCs w:val="16"/>
        </w:rPr>
      </w:pPr>
      <w:r w:rsidRPr="00896592">
        <w:rPr>
          <w:rFonts w:ascii="Century Gothic" w:hAnsi="Century Gothic"/>
          <w:noProof/>
          <w:sz w:val="16"/>
          <w:szCs w:val="16"/>
        </w:rPr>
        <w:drawing>
          <wp:inline distT="0" distB="0" distL="0" distR="0" wp14:anchorId="4F797CEA" wp14:editId="33172648">
            <wp:extent cx="2075291" cy="420246"/>
            <wp:effectExtent l="0" t="0" r="1270" b="0"/>
            <wp:docPr id="2" name="Imagem 2" descr="Uma imagem com preto, escurid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preto, escuridã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990" cy="44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6B071" w14:textId="3391E17C" w:rsidR="006E354E" w:rsidRDefault="006E354E" w:rsidP="006E354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</w:pPr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Ana Santos | </w:t>
      </w:r>
      <w:hyperlink r:id="rId12" w:history="1">
        <w:r w:rsidRPr="00896592">
          <w:rPr>
            <w:rStyle w:val="Hyperlink"/>
            <w:rFonts w:ascii="Century Gothic" w:eastAsiaTheme="minorEastAsia" w:hAnsi="Century Gothic" w:cstheme="minorHAnsi"/>
            <w:noProof/>
            <w:sz w:val="16"/>
            <w:szCs w:val="16"/>
          </w:rPr>
          <w:t>ana.santos@lift.com.pt</w:t>
        </w:r>
      </w:hyperlink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 | +351 914 409</w:t>
      </w:r>
      <w:r w:rsidR="008B7CB5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> </w:t>
      </w:r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>595</w:t>
      </w:r>
    </w:p>
    <w:p w14:paraId="02B8AD52" w14:textId="4B7F34EE" w:rsidR="008B7CB5" w:rsidRPr="00896592" w:rsidRDefault="008B7CB5" w:rsidP="00555082">
      <w:pPr>
        <w:jc w:val="center"/>
        <w:rPr>
          <w:rStyle w:val="normaltextrun"/>
          <w:rFonts w:ascii="Century Gothic" w:eastAsiaTheme="majorEastAsia" w:hAnsi="Century Gothic" w:cstheme="minorHAnsi"/>
          <w:color w:val="333333"/>
          <w:sz w:val="16"/>
          <w:szCs w:val="16"/>
        </w:rPr>
      </w:pPr>
      <w:r w:rsidRPr="008B7CB5">
        <w:rPr>
          <w:rFonts w:ascii="Century Gothic" w:hAnsi="Century Gothic"/>
          <w:sz w:val="16"/>
          <w:szCs w:val="16"/>
        </w:rPr>
        <w:t xml:space="preserve">Eunice Gaspar| </w:t>
      </w:r>
      <w:hyperlink r:id="rId13" w:history="1">
        <w:r w:rsidRPr="008B7CB5">
          <w:rPr>
            <w:rStyle w:val="Hyperlink"/>
            <w:rFonts w:ascii="Century Gothic" w:hAnsi="Century Gothic"/>
            <w:sz w:val="16"/>
            <w:szCs w:val="16"/>
          </w:rPr>
          <w:t>eunice.gaspar@lift.com.pt</w:t>
        </w:r>
      </w:hyperlink>
      <w:r w:rsidRPr="008B7CB5">
        <w:rPr>
          <w:rFonts w:ascii="Century Gothic" w:hAnsi="Century Gothic"/>
          <w:sz w:val="16"/>
          <w:szCs w:val="16"/>
        </w:rPr>
        <w:t xml:space="preserve"> | +351 911 774 428</w:t>
      </w:r>
      <w:r w:rsidRPr="008B7CB5">
        <w:rPr>
          <w:rFonts w:ascii="Century Gothic" w:hAnsi="Century Gothic"/>
          <w:sz w:val="16"/>
          <w:szCs w:val="16"/>
        </w:rPr>
        <w:br/>
        <w:t xml:space="preserve">Bruna Rocha | </w:t>
      </w:r>
      <w:hyperlink r:id="rId14" w:history="1">
        <w:r w:rsidRPr="008B7CB5">
          <w:rPr>
            <w:rStyle w:val="Hyperlink"/>
            <w:rFonts w:ascii="Century Gothic" w:hAnsi="Century Gothic"/>
            <w:sz w:val="16"/>
            <w:szCs w:val="16"/>
          </w:rPr>
          <w:t>bruna.rocha@lift.com.pt</w:t>
        </w:r>
      </w:hyperlink>
      <w:r w:rsidRPr="008B7CB5">
        <w:rPr>
          <w:rFonts w:ascii="Century Gothic" w:hAnsi="Century Gothic"/>
          <w:sz w:val="16"/>
          <w:szCs w:val="16"/>
        </w:rPr>
        <w:t xml:space="preserve"> | +351 910 751 944</w:t>
      </w:r>
    </w:p>
    <w:sectPr w:rsidR="008B7CB5" w:rsidRPr="00896592" w:rsidSect="000433EA">
      <w:pgSz w:w="11906" w:h="16838"/>
      <w:pgMar w:top="993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D1E52" w14:textId="77777777" w:rsidR="00F9766A" w:rsidRDefault="00F9766A" w:rsidP="00F9766A">
      <w:pPr>
        <w:spacing w:after="0" w:line="240" w:lineRule="auto"/>
      </w:pPr>
      <w:r>
        <w:separator/>
      </w:r>
    </w:p>
  </w:endnote>
  <w:endnote w:type="continuationSeparator" w:id="0">
    <w:p w14:paraId="3744E9D4" w14:textId="77777777" w:rsidR="00F9766A" w:rsidRDefault="00F9766A" w:rsidP="00F97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37B77" w14:textId="77777777" w:rsidR="00F9766A" w:rsidRDefault="00F9766A" w:rsidP="00F9766A">
      <w:pPr>
        <w:spacing w:after="0" w:line="240" w:lineRule="auto"/>
      </w:pPr>
      <w:r>
        <w:separator/>
      </w:r>
    </w:p>
  </w:footnote>
  <w:footnote w:type="continuationSeparator" w:id="0">
    <w:p w14:paraId="4AB27873" w14:textId="77777777" w:rsidR="00F9766A" w:rsidRDefault="00F9766A" w:rsidP="00F976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4F"/>
    <w:rsid w:val="00000D82"/>
    <w:rsid w:val="00000E40"/>
    <w:rsid w:val="00042AD7"/>
    <w:rsid w:val="000433EA"/>
    <w:rsid w:val="0005064E"/>
    <w:rsid w:val="00050F7E"/>
    <w:rsid w:val="00091AF8"/>
    <w:rsid w:val="000A3802"/>
    <w:rsid w:val="000B68B2"/>
    <w:rsid w:val="000F7C6E"/>
    <w:rsid w:val="001221CE"/>
    <w:rsid w:val="001237D1"/>
    <w:rsid w:val="0014516D"/>
    <w:rsid w:val="00147B9A"/>
    <w:rsid w:val="00147C9E"/>
    <w:rsid w:val="00152549"/>
    <w:rsid w:val="00171EFE"/>
    <w:rsid w:val="00196042"/>
    <w:rsid w:val="001A207C"/>
    <w:rsid w:val="001D1780"/>
    <w:rsid w:val="001D3BBC"/>
    <w:rsid w:val="001E6A76"/>
    <w:rsid w:val="001F5A8D"/>
    <w:rsid w:val="00217906"/>
    <w:rsid w:val="00244717"/>
    <w:rsid w:val="0025270D"/>
    <w:rsid w:val="00263292"/>
    <w:rsid w:val="0027499C"/>
    <w:rsid w:val="00276EDD"/>
    <w:rsid w:val="002951B2"/>
    <w:rsid w:val="00296D94"/>
    <w:rsid w:val="002A0034"/>
    <w:rsid w:val="002A4018"/>
    <w:rsid w:val="002F04C7"/>
    <w:rsid w:val="003013B7"/>
    <w:rsid w:val="00302424"/>
    <w:rsid w:val="00303012"/>
    <w:rsid w:val="00330530"/>
    <w:rsid w:val="003405CF"/>
    <w:rsid w:val="003454F5"/>
    <w:rsid w:val="003455FD"/>
    <w:rsid w:val="003C4EC6"/>
    <w:rsid w:val="003E1981"/>
    <w:rsid w:val="003E2182"/>
    <w:rsid w:val="003F125F"/>
    <w:rsid w:val="003F4FB6"/>
    <w:rsid w:val="00411C82"/>
    <w:rsid w:val="00412E59"/>
    <w:rsid w:val="00435A8C"/>
    <w:rsid w:val="00444F2B"/>
    <w:rsid w:val="004912F0"/>
    <w:rsid w:val="004A66B4"/>
    <w:rsid w:val="004B57C5"/>
    <w:rsid w:val="004D24BA"/>
    <w:rsid w:val="004D7263"/>
    <w:rsid w:val="004E1F74"/>
    <w:rsid w:val="004E3FED"/>
    <w:rsid w:val="004E4DF1"/>
    <w:rsid w:val="00506C5A"/>
    <w:rsid w:val="005271F5"/>
    <w:rsid w:val="00555082"/>
    <w:rsid w:val="005665ED"/>
    <w:rsid w:val="005904F6"/>
    <w:rsid w:val="00590A65"/>
    <w:rsid w:val="0059474C"/>
    <w:rsid w:val="005A0CFB"/>
    <w:rsid w:val="005D29EA"/>
    <w:rsid w:val="005F2B49"/>
    <w:rsid w:val="00606CEB"/>
    <w:rsid w:val="00612355"/>
    <w:rsid w:val="00647E46"/>
    <w:rsid w:val="00667DAD"/>
    <w:rsid w:val="0067552E"/>
    <w:rsid w:val="00680B97"/>
    <w:rsid w:val="00686C16"/>
    <w:rsid w:val="006B335A"/>
    <w:rsid w:val="006C2EE2"/>
    <w:rsid w:val="006C486D"/>
    <w:rsid w:val="006E354E"/>
    <w:rsid w:val="0073254B"/>
    <w:rsid w:val="0074187E"/>
    <w:rsid w:val="00756DA8"/>
    <w:rsid w:val="0075792A"/>
    <w:rsid w:val="0077431F"/>
    <w:rsid w:val="00774BF8"/>
    <w:rsid w:val="007B7CB8"/>
    <w:rsid w:val="007C124D"/>
    <w:rsid w:val="007D0A0C"/>
    <w:rsid w:val="007E78AE"/>
    <w:rsid w:val="0080728D"/>
    <w:rsid w:val="00815F4C"/>
    <w:rsid w:val="00844273"/>
    <w:rsid w:val="008608A3"/>
    <w:rsid w:val="00877107"/>
    <w:rsid w:val="00890FF2"/>
    <w:rsid w:val="0089330A"/>
    <w:rsid w:val="00896592"/>
    <w:rsid w:val="008B0985"/>
    <w:rsid w:val="008B1F0E"/>
    <w:rsid w:val="008B7CB5"/>
    <w:rsid w:val="00904462"/>
    <w:rsid w:val="009141D3"/>
    <w:rsid w:val="00920B19"/>
    <w:rsid w:val="00922062"/>
    <w:rsid w:val="0092458A"/>
    <w:rsid w:val="009450DB"/>
    <w:rsid w:val="00951522"/>
    <w:rsid w:val="00970420"/>
    <w:rsid w:val="00991B95"/>
    <w:rsid w:val="009A31B9"/>
    <w:rsid w:val="009E3BAF"/>
    <w:rsid w:val="009E5181"/>
    <w:rsid w:val="00A059EF"/>
    <w:rsid w:val="00A05D85"/>
    <w:rsid w:val="00A2706D"/>
    <w:rsid w:val="00A411C7"/>
    <w:rsid w:val="00A512DF"/>
    <w:rsid w:val="00A54D01"/>
    <w:rsid w:val="00A646B3"/>
    <w:rsid w:val="00AA0C07"/>
    <w:rsid w:val="00AC158D"/>
    <w:rsid w:val="00B23FA3"/>
    <w:rsid w:val="00B45F41"/>
    <w:rsid w:val="00B470FE"/>
    <w:rsid w:val="00B7428F"/>
    <w:rsid w:val="00B80B6A"/>
    <w:rsid w:val="00B9354D"/>
    <w:rsid w:val="00BC705F"/>
    <w:rsid w:val="00BD6273"/>
    <w:rsid w:val="00BE73E4"/>
    <w:rsid w:val="00C1167C"/>
    <w:rsid w:val="00C16CF8"/>
    <w:rsid w:val="00C266B9"/>
    <w:rsid w:val="00C26FFF"/>
    <w:rsid w:val="00C70174"/>
    <w:rsid w:val="00C76D8D"/>
    <w:rsid w:val="00CA2D60"/>
    <w:rsid w:val="00CA72D7"/>
    <w:rsid w:val="00CA7747"/>
    <w:rsid w:val="00CC4FB3"/>
    <w:rsid w:val="00CE3E09"/>
    <w:rsid w:val="00CF0387"/>
    <w:rsid w:val="00CF04DA"/>
    <w:rsid w:val="00CF2EB0"/>
    <w:rsid w:val="00D06954"/>
    <w:rsid w:val="00D25832"/>
    <w:rsid w:val="00D47B65"/>
    <w:rsid w:val="00D62A10"/>
    <w:rsid w:val="00D6447B"/>
    <w:rsid w:val="00D67C0F"/>
    <w:rsid w:val="00DA0DF6"/>
    <w:rsid w:val="00DB1146"/>
    <w:rsid w:val="00E07327"/>
    <w:rsid w:val="00E137CE"/>
    <w:rsid w:val="00E173E1"/>
    <w:rsid w:val="00E2213D"/>
    <w:rsid w:val="00E23448"/>
    <w:rsid w:val="00E44492"/>
    <w:rsid w:val="00E46E4F"/>
    <w:rsid w:val="00E56F8A"/>
    <w:rsid w:val="00E84F04"/>
    <w:rsid w:val="00E90E44"/>
    <w:rsid w:val="00EB0D6E"/>
    <w:rsid w:val="00EC2D42"/>
    <w:rsid w:val="00ED0670"/>
    <w:rsid w:val="00ED1676"/>
    <w:rsid w:val="00ED30EF"/>
    <w:rsid w:val="00ED4D30"/>
    <w:rsid w:val="00ED6A7D"/>
    <w:rsid w:val="00EF29D0"/>
    <w:rsid w:val="00F1306A"/>
    <w:rsid w:val="00F1369A"/>
    <w:rsid w:val="00F34150"/>
    <w:rsid w:val="00F61F14"/>
    <w:rsid w:val="00F808D4"/>
    <w:rsid w:val="00F931DB"/>
    <w:rsid w:val="00F95AD5"/>
    <w:rsid w:val="00F9766A"/>
    <w:rsid w:val="00F97D1C"/>
    <w:rsid w:val="00FA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AF0D"/>
  <w15:chartTrackingRefBased/>
  <w15:docId w15:val="{5F38C9EA-8E01-4B60-87A3-F93C1804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E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E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E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E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E4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354E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6E354E"/>
  </w:style>
  <w:style w:type="paragraph" w:customStyle="1" w:styleId="paragraph">
    <w:name w:val="paragraph"/>
    <w:basedOn w:val="Normal"/>
    <w:rsid w:val="006E3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customStyle="1" w:styleId="eop">
    <w:name w:val="eop"/>
    <w:basedOn w:val="DefaultParagraphFont"/>
    <w:rsid w:val="006E354E"/>
  </w:style>
  <w:style w:type="character" w:styleId="UnresolvedMention">
    <w:name w:val="Unresolved Mention"/>
    <w:basedOn w:val="DefaultParagraphFont"/>
    <w:uiPriority w:val="99"/>
    <w:semiHidden/>
    <w:unhideWhenUsed/>
    <w:rsid w:val="0030301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F7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9354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90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Strong">
    <w:name w:val="Strong"/>
    <w:basedOn w:val="DefaultParagraphFont"/>
    <w:uiPriority w:val="22"/>
    <w:qFormat/>
    <w:rsid w:val="00890FF2"/>
    <w:rPr>
      <w:b/>
      <w:bCs/>
    </w:rPr>
  </w:style>
  <w:style w:type="character" w:styleId="Emphasis">
    <w:name w:val="Emphasis"/>
    <w:basedOn w:val="DefaultParagraphFont"/>
    <w:uiPriority w:val="20"/>
    <w:qFormat/>
    <w:rsid w:val="00606CEB"/>
    <w:rPr>
      <w:i/>
      <w:iCs/>
    </w:rPr>
  </w:style>
  <w:style w:type="paragraph" w:customStyle="1" w:styleId="isselectedend">
    <w:name w:val="isselectedend"/>
    <w:basedOn w:val="Normal"/>
    <w:rsid w:val="00147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76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66A"/>
  </w:style>
  <w:style w:type="paragraph" w:styleId="Footer">
    <w:name w:val="footer"/>
    <w:basedOn w:val="Normal"/>
    <w:link w:val="FooterChar"/>
    <w:uiPriority w:val="99"/>
    <w:unhideWhenUsed/>
    <w:rsid w:val="00F976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unice.gaspar@lift.com.pt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ana.santos@lift.com.p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europeia.pt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bruna.rocha@lift.com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CCB8456FAFD49B212A64E1F3C0E54" ma:contentTypeVersion="11" ma:contentTypeDescription="Criar um novo documento." ma:contentTypeScope="" ma:versionID="381dbe8673faa2e6891e33e047cfb7c0">
  <xsd:schema xmlns:xsd="http://www.w3.org/2001/XMLSchema" xmlns:xs="http://www.w3.org/2001/XMLSchema" xmlns:p="http://schemas.microsoft.com/office/2006/metadata/properties" xmlns:ns2="82ac94ed-d3f7-4e9c-ad7e-e9f2042c5030" xmlns:ns3="def5a29a-5f42-4330-9ef7-3ef7d289a416" targetNamespace="http://schemas.microsoft.com/office/2006/metadata/properties" ma:root="true" ma:fieldsID="957e29afb88e0f8c64454d127bb95d05" ns2:_="" ns3:_="">
    <xsd:import namespace="82ac94ed-d3f7-4e9c-ad7e-e9f2042c5030"/>
    <xsd:import namespace="def5a29a-5f42-4330-9ef7-3ef7d289a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c94ed-d3f7-4e9c-ad7e-e9f2042c50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m" ma:readOnly="false" ma:fieldId="{5cf76f15-5ced-4ddc-b409-7134ff3c332f}" ma:taxonomyMulti="true" ma:sspId="3b160d0a-bcb5-45c7-82cd-f524957be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5a29a-5f42-4330-9ef7-3ef7d289a4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1f22676-4cc0-45ce-bcc6-6d7ed0fb3c9a}" ma:internalName="TaxCatchAll" ma:showField="CatchAllData" ma:web="def5a29a-5f42-4330-9ef7-3ef7d289a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f5a29a-5f42-4330-9ef7-3ef7d289a416" xsi:nil="true"/>
    <lcf76f155ced4ddcb4097134ff3c332f xmlns="82ac94ed-d3f7-4e9c-ad7e-e9f2042c503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DE08CD-D748-4A2F-91EA-FF0F2AC5C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c94ed-d3f7-4e9c-ad7e-e9f2042c5030"/>
    <ds:schemaRef ds:uri="def5a29a-5f42-4330-9ef7-3ef7d289a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3B55C7-7AB6-475A-A5AC-6BD4AE2695F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  <ds:schemaRef ds:uri="def5a29a-5f42-4330-9ef7-3ef7d289a416"/>
    <ds:schemaRef ds:uri="http://purl.org/dc/elements/1.1/"/>
    <ds:schemaRef ds:uri="82ac94ed-d3f7-4e9c-ad7e-e9f2042c5030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3D16A00-28B4-4538-AA19-88A3722CB3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893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Carvalho</dc:creator>
  <cp:keywords/>
  <dc:description/>
  <cp:lastModifiedBy>Sara Filipe</cp:lastModifiedBy>
  <cp:revision>8</cp:revision>
  <dcterms:created xsi:type="dcterms:W3CDTF">2026-09-29T12:14:00Z</dcterms:created>
  <dcterms:modified xsi:type="dcterms:W3CDTF">2026-09-29T14:53:00Z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0x0101007F1CCB8456FAFD49B212A64E1F3C0E54</vt:lpwstr>
  </property>
  <property fmtid="{D5CDD505-2E9C-101B-9397-08002B2CF9AE}" pid="3" name="MediaServiceImageTags">
    <vt:lpwstr/>
  </property>
</Properties>
</file>