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13215" w14:textId="77777777" w:rsidR="00B90A90" w:rsidRPr="0046445C" w:rsidRDefault="00B90A90" w:rsidP="00B90A90">
      <w:pPr>
        <w:pStyle w:val="Legalentity"/>
        <w:spacing w:after="140" w:line="240" w:lineRule="auto"/>
        <w:ind w:left="7088"/>
        <w:rPr>
          <w:rFonts w:ascii="Calibri Light" w:hAnsi="Calibri Light" w:cs="Calibri Light"/>
          <w:color w:val="auto"/>
          <w:sz w:val="18"/>
        </w:rPr>
      </w:pPr>
      <w:r w:rsidRPr="0046445C">
        <w:rPr>
          <w:rFonts w:ascii="Calibri Light" w:hAnsi="Calibri Light" w:cs="Calibri Light"/>
          <w:noProof/>
          <w:color w:val="auto"/>
          <w:lang w:eastAsia="pl-PL"/>
        </w:rPr>
        <w:drawing>
          <wp:anchor distT="0" distB="0" distL="114300" distR="114300" simplePos="0" relativeHeight="251658241" behindDoc="0" locked="1" layoutInCell="1" allowOverlap="1" wp14:anchorId="570C5C2A" wp14:editId="76CB6C62">
            <wp:simplePos x="0" y="0"/>
            <wp:positionH relativeFrom="page">
              <wp:posOffset>870585</wp:posOffset>
            </wp:positionH>
            <wp:positionV relativeFrom="page">
              <wp:posOffset>607060</wp:posOffset>
            </wp:positionV>
            <wp:extent cx="1871980" cy="348615"/>
            <wp:effectExtent l="0" t="0" r="0" b="0"/>
            <wp:wrapNone/>
            <wp:docPr id="12" name="Picture 12" descr="Obraz zawierający Czcionka, Grafika, logo,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Obraz zawierający Czcionka, Grafika, logo, tekst&#10;&#10;Opis wygenerowany automatyczni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34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445C">
        <w:rPr>
          <w:rFonts w:ascii="Calibri Light" w:hAnsi="Calibri Light" w:cs="Calibri Light"/>
          <w:color w:val="auto"/>
        </w:rPr>
        <w:t>Deloitte Polska</w:t>
      </w:r>
      <w:r w:rsidRPr="0046445C">
        <w:rPr>
          <w:rFonts w:ascii="Calibri Light" w:hAnsi="Calibri Light" w:cs="Calibri Light"/>
          <w:color w:val="auto"/>
        </w:rPr>
        <w:br/>
        <w:t>Al. Jana Pawła II 22</w:t>
      </w:r>
      <w:r w:rsidRPr="0046445C">
        <w:rPr>
          <w:rFonts w:ascii="Calibri Light" w:hAnsi="Calibri Light" w:cs="Calibri Light"/>
          <w:color w:val="auto"/>
        </w:rPr>
        <w:br/>
        <w:t>00-133 Warszawa</w:t>
      </w:r>
      <w:r w:rsidRPr="0046445C">
        <w:rPr>
          <w:rFonts w:ascii="Calibri Light" w:hAnsi="Calibri Light" w:cs="Calibri Light"/>
          <w:color w:val="auto"/>
        </w:rPr>
        <w:br/>
        <w:t>Polska</w:t>
      </w:r>
    </w:p>
    <w:p w14:paraId="425B45DE" w14:textId="77777777" w:rsidR="00B90A90" w:rsidRPr="0046445C" w:rsidRDefault="00B90A90" w:rsidP="00B90A90">
      <w:pPr>
        <w:pStyle w:val="Nagwek"/>
        <w:tabs>
          <w:tab w:val="clear" w:pos="4320"/>
          <w:tab w:val="clear" w:pos="8640"/>
          <w:tab w:val="left" w:pos="3070"/>
        </w:tabs>
        <w:spacing w:before="80" w:line="180" w:lineRule="exact"/>
        <w:ind w:left="7088"/>
        <w:rPr>
          <w:rFonts w:ascii="Calibri Light" w:hAnsi="Calibri Light" w:cs="Calibri Light"/>
          <w:lang w:val="en-US"/>
        </w:rPr>
      </w:pPr>
      <w:r w:rsidRPr="0046445C">
        <w:rPr>
          <w:rFonts w:ascii="Calibri Light" w:hAnsi="Calibri Light" w:cs="Calibri Light"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065389" wp14:editId="1BBF9BDE">
                <wp:simplePos x="0" y="0"/>
                <wp:positionH relativeFrom="column">
                  <wp:posOffset>2095</wp:posOffset>
                </wp:positionH>
                <wp:positionV relativeFrom="page">
                  <wp:posOffset>2155370</wp:posOffset>
                </wp:positionV>
                <wp:extent cx="3949700" cy="480951"/>
                <wp:effectExtent l="0" t="0" r="12700" b="146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0" cy="480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2206AE" w14:textId="77777777" w:rsidR="00B90A90" w:rsidRPr="00450249" w:rsidRDefault="00B90A90" w:rsidP="00B90A90">
                            <w:pPr>
                              <w:pStyle w:val="Fax"/>
                              <w:spacing w:line="600" w:lineRule="exact"/>
                            </w:pPr>
                            <w:r w:rsidRPr="003463C5">
                              <w:rPr>
                                <w:rFonts w:ascii="Open Sans" w:hAnsi="Open Sans" w:cs="Open Sans"/>
                                <w:color w:val="000000" w:themeColor="text1"/>
                              </w:rPr>
                              <w:t>Informacja prasowa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0653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15pt;margin-top:169.7pt;width:311pt;height:37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" filled="f" stroked="f">
                <v:textbox inset="0,0,0,0">
                  <w:txbxContent>
                    <w:p w14:paraId="702206AE" w14:textId="77777777" w:rsidR="00B90A90" w:rsidRPr="00450249" w:rsidRDefault="00B90A90" w:rsidP="00B90A90">
                      <w:pPr>
                        <w:pStyle w:val="Fax"/>
                        <w:spacing w:line="600" w:lineRule="exact"/>
                      </w:pPr>
                      <w:r w:rsidRPr="003463C5">
                        <w:rPr>
                          <w:rFonts w:ascii="Open Sans" w:hAnsi="Open Sans" w:cs="Open Sans"/>
                          <w:color w:val="000000" w:themeColor="text1"/>
                        </w:rPr>
                        <w:t>Informacja prasowa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6445C">
        <w:rPr>
          <w:rFonts w:ascii="Calibri Light" w:hAnsi="Calibri Light" w:cs="Calibri Light"/>
          <w:sz w:val="15"/>
          <w:lang w:val="en-US"/>
        </w:rPr>
        <w:t>Tel.: +48 22 511 08 11/12</w:t>
      </w:r>
      <w:r w:rsidRPr="0046445C">
        <w:rPr>
          <w:rFonts w:ascii="Calibri Light" w:hAnsi="Calibri Light" w:cs="Calibri Light"/>
          <w:sz w:val="15"/>
          <w:lang w:val="en-US"/>
        </w:rPr>
        <w:br/>
      </w:r>
      <w:r w:rsidRPr="0046445C">
        <w:rPr>
          <w:rFonts w:ascii="Calibri Light" w:hAnsi="Calibri Light" w:cs="Calibri Light"/>
          <w:spacing w:val="-2"/>
          <w:sz w:val="15"/>
          <w:lang w:val="en-US"/>
        </w:rPr>
        <w:t>Fax:</w:t>
      </w:r>
      <w:r w:rsidRPr="0046445C">
        <w:rPr>
          <w:rFonts w:ascii="Calibri Light" w:hAnsi="Calibri Light" w:cs="Calibri Light"/>
          <w:sz w:val="15"/>
          <w:lang w:val="en-US"/>
        </w:rPr>
        <w:t xml:space="preserve"> +48 22 511 08 13</w:t>
      </w:r>
      <w:r w:rsidRPr="0046445C">
        <w:rPr>
          <w:rFonts w:ascii="Calibri Light" w:hAnsi="Calibri Light" w:cs="Calibri Light"/>
          <w:spacing w:val="-2"/>
          <w:sz w:val="15"/>
          <w:lang w:val="en-US"/>
        </w:rPr>
        <w:br/>
      </w:r>
      <w:hyperlink r:id="rId12" w:history="1">
        <w:r w:rsidRPr="0046445C">
          <w:rPr>
            <w:rStyle w:val="Hipercze"/>
            <w:rFonts w:ascii="Calibri Light" w:hAnsi="Calibri Light" w:cs="Calibri Light"/>
            <w:color w:val="auto"/>
            <w:sz w:val="15"/>
            <w:lang w:val="en-US"/>
          </w:rPr>
          <w:t>www.deloitte.com/pl</w:t>
        </w:r>
      </w:hyperlink>
      <w:r w:rsidRPr="0046445C">
        <w:rPr>
          <w:rFonts w:ascii="Calibri Light" w:hAnsi="Calibri Light" w:cs="Calibri Light"/>
          <w:sz w:val="15"/>
          <w:lang w:val="en-US"/>
        </w:rPr>
        <w:t xml:space="preserve"> </w:t>
      </w:r>
    </w:p>
    <w:p w14:paraId="42942140" w14:textId="77777777" w:rsidR="00B90A90" w:rsidRPr="0046445C" w:rsidRDefault="00B90A90" w:rsidP="00B90A90">
      <w:pPr>
        <w:pStyle w:val="Maintext"/>
        <w:spacing w:after="120" w:line="240" w:lineRule="auto"/>
        <w:rPr>
          <w:rFonts w:ascii="Calibri Light" w:hAnsi="Calibri Light" w:cs="Calibri Light"/>
          <w:color w:val="auto"/>
          <w:lang w:val="en-US"/>
        </w:rPr>
      </w:pPr>
    </w:p>
    <w:p w14:paraId="47CC78A7" w14:textId="77777777" w:rsidR="00B90A90" w:rsidRPr="0046445C" w:rsidRDefault="00B90A90" w:rsidP="00B90A90">
      <w:pPr>
        <w:pStyle w:val="Maintext"/>
        <w:spacing w:after="120" w:line="240" w:lineRule="auto"/>
        <w:rPr>
          <w:rFonts w:ascii="Calibri Light" w:hAnsi="Calibri Light" w:cs="Calibri Light"/>
          <w:color w:val="auto"/>
          <w:lang w:val="en-US"/>
        </w:rPr>
      </w:pPr>
    </w:p>
    <w:tbl>
      <w:tblPr>
        <w:tblW w:w="9654" w:type="dxa"/>
        <w:tblLook w:val="00A0" w:firstRow="1" w:lastRow="0" w:firstColumn="1" w:lastColumn="0" w:noHBand="0" w:noVBand="0"/>
      </w:tblPr>
      <w:tblGrid>
        <w:gridCol w:w="4077"/>
        <w:gridCol w:w="426"/>
        <w:gridCol w:w="5151"/>
      </w:tblGrid>
      <w:tr w:rsidR="00B90A90" w:rsidRPr="0046445C" w14:paraId="691CDCA7" w14:textId="77777777" w:rsidTr="007D0F15">
        <w:tc>
          <w:tcPr>
            <w:tcW w:w="4077" w:type="dxa"/>
          </w:tcPr>
          <w:p w14:paraId="0A3D87CC" w14:textId="77777777" w:rsidR="00B90A90" w:rsidRPr="0046445C" w:rsidRDefault="00B90A90" w:rsidP="007D0F15">
            <w:pPr>
              <w:pStyle w:val="Maintext"/>
              <w:rPr>
                <w:rFonts w:ascii="Calibri Light" w:hAnsi="Calibri Light" w:cs="Calibri Light"/>
                <w:sz w:val="18"/>
                <w:szCs w:val="18"/>
              </w:rPr>
            </w:pPr>
            <w:r w:rsidRPr="0046445C">
              <w:rPr>
                <w:rFonts w:ascii="Calibri Light" w:hAnsi="Calibri Light" w:cs="Calibri Light"/>
                <w:sz w:val="18"/>
                <w:szCs w:val="18"/>
              </w:rPr>
              <w:t>Kontakt: Biuro Prasowe Deloitte</w:t>
            </w:r>
          </w:p>
          <w:p w14:paraId="758F4A83" w14:textId="77777777" w:rsidR="00B90A90" w:rsidRPr="0046445C" w:rsidRDefault="00B90A90" w:rsidP="007D0F15">
            <w:pPr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46445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Tel.: +48 728 484 476</w:t>
            </w:r>
          </w:p>
          <w:p w14:paraId="152A86A4" w14:textId="77777777" w:rsidR="00B90A90" w:rsidRPr="0046445C" w:rsidRDefault="00B90A90" w:rsidP="007D0F15">
            <w:pPr>
              <w:pStyle w:val="Maintext"/>
              <w:spacing w:line="240" w:lineRule="auto"/>
              <w:rPr>
                <w:rFonts w:ascii="Calibri Light" w:hAnsi="Calibri Light" w:cs="Calibri Light"/>
              </w:rPr>
            </w:pPr>
            <w:r w:rsidRPr="0046445C">
              <w:rPr>
                <w:rFonts w:ascii="Calibri Light" w:hAnsi="Calibri Light" w:cs="Calibri Light"/>
                <w:sz w:val="18"/>
                <w:szCs w:val="18"/>
              </w:rPr>
              <w:t xml:space="preserve">E-mail: </w:t>
            </w:r>
            <w:hyperlink r:id="rId13" w:history="1">
              <w:r w:rsidRPr="0046445C">
                <w:rPr>
                  <w:rFonts w:ascii="Calibri Light" w:hAnsi="Calibri Light" w:cs="Calibri Light"/>
                  <w:sz w:val="18"/>
                  <w:szCs w:val="18"/>
                </w:rPr>
                <w:t>media@deloittece.com</w:t>
              </w:r>
            </w:hyperlink>
          </w:p>
          <w:p w14:paraId="1B7C0F95" w14:textId="77777777" w:rsidR="00B90A90" w:rsidRPr="0046445C" w:rsidRDefault="00B90A90" w:rsidP="007D0F15">
            <w:pPr>
              <w:pStyle w:val="Maintext"/>
              <w:spacing w:line="240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016E7DFB" w14:textId="77777777" w:rsidR="00B90A90" w:rsidRPr="0046445C" w:rsidRDefault="00B90A90" w:rsidP="007D0F15">
            <w:pPr>
              <w:pStyle w:val="Maintext"/>
              <w:spacing w:line="240" w:lineRule="auto"/>
              <w:rPr>
                <w:rFonts w:ascii="Calibri Light" w:hAnsi="Calibri Light" w:cs="Calibri Light"/>
                <w:color w:val="auto"/>
                <w:lang w:val="de-DE"/>
              </w:rPr>
            </w:pPr>
          </w:p>
        </w:tc>
        <w:tc>
          <w:tcPr>
            <w:tcW w:w="5151" w:type="dxa"/>
          </w:tcPr>
          <w:p w14:paraId="06E3B82A" w14:textId="77777777" w:rsidR="00B90A90" w:rsidRPr="0046445C" w:rsidRDefault="00B90A90" w:rsidP="007D0F15">
            <w:pPr>
              <w:pStyle w:val="Maintext"/>
              <w:spacing w:line="240" w:lineRule="auto"/>
              <w:rPr>
                <w:rFonts w:ascii="Calibri Light" w:hAnsi="Calibri Light" w:cs="Calibri Light"/>
                <w:color w:val="auto"/>
                <w:lang w:val="de-DE"/>
              </w:rPr>
            </w:pPr>
          </w:p>
        </w:tc>
      </w:tr>
    </w:tbl>
    <w:p w14:paraId="4257BC45" w14:textId="77777777" w:rsidR="00907AB3" w:rsidRPr="0046445C" w:rsidRDefault="00907AB3" w:rsidP="00D83355">
      <w:pPr>
        <w:jc w:val="center"/>
        <w:rPr>
          <w:rFonts w:ascii="Calibri Light" w:hAnsi="Calibri Light" w:cs="Calibri Light"/>
          <w:i/>
          <w:iCs/>
          <w:sz w:val="28"/>
          <w:szCs w:val="28"/>
        </w:rPr>
      </w:pPr>
    </w:p>
    <w:p w14:paraId="1D0AF1C2" w14:textId="4B0EE749" w:rsidR="001C6192" w:rsidRPr="0046445C" w:rsidRDefault="00F81CC1" w:rsidP="00D83355">
      <w:pPr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46445C">
        <w:rPr>
          <w:rFonts w:ascii="Calibri Light" w:hAnsi="Calibri Light" w:cs="Calibri Light"/>
          <w:b/>
          <w:bCs/>
          <w:sz w:val="28"/>
          <w:szCs w:val="28"/>
        </w:rPr>
        <w:t xml:space="preserve">Dyrektorzy finansowi coraz mocniej kształtują wartość spółek portfelowych </w:t>
      </w:r>
      <w:proofErr w:type="spellStart"/>
      <w:r w:rsidRPr="0046445C">
        <w:rPr>
          <w:rFonts w:ascii="Calibri Light" w:hAnsi="Calibri Light" w:cs="Calibri Light"/>
          <w:b/>
          <w:bCs/>
          <w:sz w:val="28"/>
          <w:szCs w:val="28"/>
        </w:rPr>
        <w:t>private</w:t>
      </w:r>
      <w:proofErr w:type="spellEnd"/>
      <w:r w:rsidRPr="0046445C">
        <w:rPr>
          <w:rFonts w:ascii="Calibri Light" w:hAnsi="Calibri Light" w:cs="Calibri Light"/>
          <w:b/>
          <w:bCs/>
          <w:sz w:val="28"/>
          <w:szCs w:val="28"/>
        </w:rPr>
        <w:t xml:space="preserve"> equity</w:t>
      </w:r>
    </w:p>
    <w:p w14:paraId="435DF791" w14:textId="77777777" w:rsidR="00F81CC1" w:rsidRPr="0046445C" w:rsidRDefault="00F81CC1" w:rsidP="00D83355">
      <w:pPr>
        <w:jc w:val="center"/>
        <w:rPr>
          <w:rFonts w:ascii="Calibri Light" w:hAnsi="Calibri Light" w:cs="Calibri Light"/>
          <w:i/>
          <w:iCs/>
          <w:sz w:val="24"/>
          <w:szCs w:val="24"/>
        </w:rPr>
      </w:pPr>
    </w:p>
    <w:p w14:paraId="34F84438" w14:textId="16B06E9E" w:rsidR="00364798" w:rsidRPr="0046445C" w:rsidRDefault="00A33823" w:rsidP="00493377">
      <w:pPr>
        <w:jc w:val="center"/>
        <w:rPr>
          <w:rFonts w:ascii="Calibri Light" w:hAnsi="Calibri Light" w:cs="Calibri Light"/>
          <w:i/>
          <w:iCs/>
          <w:sz w:val="24"/>
          <w:szCs w:val="24"/>
        </w:rPr>
      </w:pPr>
      <w:r w:rsidRPr="0046445C">
        <w:rPr>
          <w:rFonts w:ascii="Calibri Light" w:hAnsi="Calibri Light" w:cs="Calibri Light"/>
          <w:i/>
          <w:iCs/>
          <w:sz w:val="24"/>
          <w:szCs w:val="24"/>
        </w:rPr>
        <w:t xml:space="preserve">Działania </w:t>
      </w:r>
      <w:r w:rsidR="00493377" w:rsidRPr="0046445C">
        <w:rPr>
          <w:rFonts w:ascii="Calibri Light" w:hAnsi="Calibri Light" w:cs="Calibri Light"/>
          <w:i/>
          <w:iCs/>
          <w:sz w:val="24"/>
          <w:szCs w:val="24"/>
        </w:rPr>
        <w:t>CFO mo</w:t>
      </w:r>
      <w:r w:rsidR="006663A4" w:rsidRPr="0046445C">
        <w:rPr>
          <w:rFonts w:ascii="Calibri Light" w:hAnsi="Calibri Light" w:cs="Calibri Light"/>
          <w:i/>
          <w:iCs/>
          <w:sz w:val="24"/>
          <w:szCs w:val="24"/>
        </w:rPr>
        <w:t>gą</w:t>
      </w:r>
      <w:r w:rsidR="00493377" w:rsidRPr="0046445C">
        <w:rPr>
          <w:rFonts w:ascii="Calibri Light" w:hAnsi="Calibri Light" w:cs="Calibri Light"/>
          <w:i/>
          <w:iCs/>
          <w:sz w:val="24"/>
          <w:szCs w:val="24"/>
        </w:rPr>
        <w:t xml:space="preserve"> podnieść wartość spółki przy wyjściu z inwestycji o 20 proc. lub więcej</w:t>
      </w:r>
    </w:p>
    <w:p w14:paraId="1B448164" w14:textId="77777777" w:rsidR="00493377" w:rsidRPr="0046445C" w:rsidRDefault="00493377" w:rsidP="00572CA8">
      <w:pPr>
        <w:rPr>
          <w:rFonts w:ascii="Calibri Light" w:hAnsi="Calibri Light" w:cs="Calibri Light"/>
          <w:i/>
          <w:iCs/>
          <w:sz w:val="24"/>
          <w:szCs w:val="24"/>
        </w:rPr>
      </w:pPr>
    </w:p>
    <w:p w14:paraId="6F7DBB39" w14:textId="3558FECD" w:rsidR="008F2C33" w:rsidRPr="0046445C" w:rsidRDefault="00B90A90" w:rsidP="00575353">
      <w:pPr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Warszawa,</w:t>
      </w:r>
      <w:r w:rsidR="00253135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</w:t>
      </w:r>
      <w:r w:rsidR="0046445C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8 października</w:t>
      </w:r>
      <w:r w:rsidR="00CF7987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</w:t>
      </w:r>
      <w:r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202</w:t>
      </w:r>
      <w:r w:rsidR="00C91E32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6</w:t>
      </w:r>
      <w:r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r. </w:t>
      </w:r>
      <w:bookmarkStart w:id="0" w:name="_Hlk187325298"/>
      <w:r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–</w:t>
      </w:r>
      <w:bookmarkEnd w:id="0"/>
      <w:r w:rsidR="00F2661D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</w:t>
      </w:r>
      <w:r w:rsidR="00E90149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60 proc. inwestorów </w:t>
      </w:r>
      <w:proofErr w:type="spellStart"/>
      <w:r w:rsidR="00E90149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private</w:t>
      </w:r>
      <w:proofErr w:type="spellEnd"/>
      <w:r w:rsidR="00E90149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equity spodziewa się, że w ciągu najbliższych dwóch lat ponad połowa spółek z ich portfeli przejdzie proces wyjścia z inwestycji. Jednocześnie finansowe </w:t>
      </w:r>
      <w:proofErr w:type="spellStart"/>
      <w:r w:rsidR="00E90149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due</w:t>
      </w:r>
      <w:proofErr w:type="spellEnd"/>
      <w:r w:rsidR="00E90149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E90149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diligence</w:t>
      </w:r>
      <w:proofErr w:type="spellEnd"/>
      <w:r w:rsidR="00E90149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trwa obecnie niemal dwa razy dłużej niż średnio dekadę temu. W efekcie przygotowanie spółki do sprzedaży powinno rozpoczynać się już na początku inwestycji. Równolegle rośnie zakres odpowiedzialności dyrektorów finansowych, którzy coraz częściej uczestniczą w budowaniu wartości spółki przez cały cykl inwestycyjny </w:t>
      </w:r>
      <w:r w:rsidR="002C1D0C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– wynika z globalnego raportu firmy doradczej Deloitte </w:t>
      </w:r>
      <w:r w:rsidR="00486C07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„</w:t>
      </w:r>
      <w:proofErr w:type="spellStart"/>
      <w:r w:rsidR="00486C07" w:rsidRPr="0046445C">
        <w:fldChar w:fldCharType="begin"/>
      </w:r>
      <w:r w:rsidR="00486C07" w:rsidRPr="0046445C">
        <w:instrText>HYPERLINK "https://www.deloitte.com/global/en/industries/investment-management/perspectives/raising-the-game.html"</w:instrText>
      </w:r>
      <w:r w:rsidR="00486C07" w:rsidRPr="0046445C">
        <w:fldChar w:fldCharType="separate"/>
      </w:r>
      <w:r w:rsidR="00486C07" w:rsidRPr="0046445C">
        <w:rPr>
          <w:rStyle w:val="Hipercze"/>
          <w:rFonts w:ascii="Calibri Light" w:hAnsi="Calibri Light" w:cs="Calibri Light"/>
          <w:b/>
          <w:bCs/>
          <w:sz w:val="22"/>
          <w:szCs w:val="22"/>
        </w:rPr>
        <w:t>Raising</w:t>
      </w:r>
      <w:proofErr w:type="spellEnd"/>
      <w:r w:rsidR="00486C07" w:rsidRPr="0046445C">
        <w:rPr>
          <w:rStyle w:val="Hipercze"/>
          <w:rFonts w:ascii="Calibri Light" w:hAnsi="Calibri Light" w:cs="Calibri Light"/>
          <w:b/>
          <w:bCs/>
          <w:sz w:val="22"/>
          <w:szCs w:val="22"/>
        </w:rPr>
        <w:t xml:space="preserve"> the </w:t>
      </w:r>
      <w:proofErr w:type="spellStart"/>
      <w:r w:rsidR="00486C07" w:rsidRPr="0046445C">
        <w:rPr>
          <w:rStyle w:val="Hipercze"/>
          <w:rFonts w:ascii="Calibri Light" w:hAnsi="Calibri Light" w:cs="Calibri Light"/>
          <w:b/>
          <w:bCs/>
          <w:sz w:val="22"/>
          <w:szCs w:val="22"/>
        </w:rPr>
        <w:t>game</w:t>
      </w:r>
      <w:proofErr w:type="spellEnd"/>
      <w:r w:rsidR="00486C07" w:rsidRPr="0046445C">
        <w:fldChar w:fldCharType="end"/>
      </w:r>
      <w:r w:rsidR="00486C07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”.</w:t>
      </w:r>
    </w:p>
    <w:p w14:paraId="1C54943E" w14:textId="77777777" w:rsidR="00486C07" w:rsidRPr="0046445C" w:rsidRDefault="00486C07" w:rsidP="00575353">
      <w:pPr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</w:p>
    <w:p w14:paraId="4D3FAE02" w14:textId="474F8B12" w:rsidR="00D639A0" w:rsidRPr="0046445C" w:rsidRDefault="00DC79F5" w:rsidP="00575353">
      <w:pPr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Autorzy opracowania analizują pięć obszarów, które zmieniają sposób działania CFO i ich zespołów w spółkach portfelowych </w:t>
      </w:r>
      <w:proofErr w:type="spellStart"/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private</w:t>
      </w:r>
      <w:proofErr w:type="spellEnd"/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equity. Wśród nich znalazły się wykorzystanie sztucznej inteligencji, większy udział </w:t>
      </w:r>
      <w:r w:rsidR="00A1191A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działów finansowych 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w tworzeniu strategii, planowanie scenariuszowe, zarządzanie kosztami oraz rozwój kompetencji analitycznych i cyfrowych. Każdy z tych obszarów Deloitte rozpatruje na trzech etapach cyklu inwestycyjnego: bezpośrednio po przejęciu spółki, w okresie optymalizacji jej działalności oraz podczas przygotowania do sprzedaży.</w:t>
      </w:r>
    </w:p>
    <w:p w14:paraId="0F085647" w14:textId="77777777" w:rsidR="00DC79F5" w:rsidRPr="0046445C" w:rsidRDefault="00DC79F5" w:rsidP="00575353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17AA2EDB" w14:textId="098F4A40" w:rsidR="00EA262E" w:rsidRPr="0046445C" w:rsidRDefault="56D633FD" w:rsidP="27855996">
      <w:pPr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– </w:t>
      </w:r>
      <w:r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W </w:t>
      </w:r>
      <w:proofErr w:type="spellStart"/>
      <w:r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private</w:t>
      </w:r>
      <w:proofErr w:type="spellEnd"/>
      <w:r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equity rola CFO coraz wyraźniej wykracza poza zarządzanie funkcją finansową. </w:t>
      </w:r>
      <w:r w:rsidR="00F34425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Coraz rzadziej </w:t>
      </w:r>
      <w:r w:rsidR="0046445C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f</w:t>
      </w:r>
      <w:r w:rsidR="00F34425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unduszom</w:t>
      </w:r>
      <w:r w:rsidR="0046445C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udaje się</w:t>
      </w:r>
      <w:r w:rsidR="00F34425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podnieść wartość </w:t>
      </w:r>
      <w:r w:rsidR="00653FA7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przedsiębiorstwa </w:t>
      </w:r>
      <w:r w:rsidR="00F34425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poprzez inżynierie finansowe</w:t>
      </w:r>
      <w:r w:rsidR="00653FA7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, a coraz częściej jedyną drogą staje się budowa trwałej wartości</w:t>
      </w:r>
      <w:r w:rsidR="00F34425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. </w:t>
      </w:r>
      <w:r w:rsidR="007C319A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W związku z tym </w:t>
      </w:r>
      <w:r w:rsidR="001710FE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również </w:t>
      </w:r>
      <w:r w:rsidR="007C319A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od </w:t>
      </w:r>
      <w:r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dyrektora finansowego oczekuje się dziś dobrej znajomości operacji biznesowych, udziału w decyzjach dotyczących kierunków rozwoju, sprawnego planowania scenariuszy oraz dyscypliny w zarządzaniu kosztami i gotówką. Coraz większe znaczenie mają przy tym jakość danych, analityka i umiejętne wykorzystanie technologii, ponieważ pozwalają szybciej oceniać efekty podejmowanych działań i korygować je w trakcie inwestycji. </w:t>
      </w:r>
      <w:r w:rsidR="603D7C6A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Ma to szczególne znaczenie w momencie sprzedaży </w:t>
      </w:r>
      <w:r w:rsidR="58214CFE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–</w:t>
      </w:r>
      <w:r w:rsidR="603D7C6A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fundusz i zarząd powinni wówczas potrafić wykazać, co odpowiada za wzrost EBITDA, poprawę marży czy rozwój przychodów oraz na ile te efekty są trwałe 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– mówi </w:t>
      </w:r>
      <w:r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Adam Malarski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, </w:t>
      </w:r>
      <w:r w:rsidR="0A16BB65" w:rsidRPr="0046445C">
        <w:rPr>
          <w:rFonts w:ascii="Calibri Light" w:hAnsi="Calibri Light" w:cs="Calibri Light"/>
          <w:color w:val="000000" w:themeColor="text1"/>
          <w:sz w:val="22"/>
          <w:szCs w:val="22"/>
        </w:rPr>
        <w:t>p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artner </w:t>
      </w:r>
      <w:proofErr w:type="spellStart"/>
      <w:r w:rsidR="0A16BB65" w:rsidRPr="0046445C">
        <w:rPr>
          <w:rFonts w:ascii="Calibri Light" w:hAnsi="Calibri Light" w:cs="Calibri Light"/>
          <w:color w:val="000000" w:themeColor="text1"/>
          <w:sz w:val="22"/>
          <w:szCs w:val="22"/>
        </w:rPr>
        <w:t>a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ssociate</w:t>
      </w:r>
      <w:proofErr w:type="spellEnd"/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, </w:t>
      </w:r>
      <w:r w:rsidR="0046445C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lider obszaru 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Value </w:t>
      </w:r>
      <w:proofErr w:type="spellStart"/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Creation</w:t>
      </w:r>
      <w:proofErr w:type="spellEnd"/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and </w:t>
      </w:r>
      <w:proofErr w:type="spellStart"/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Strategy</w:t>
      </w:r>
      <w:proofErr w:type="spellEnd"/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, Deloitte.</w:t>
      </w:r>
    </w:p>
    <w:p w14:paraId="75287B61" w14:textId="011539D6" w:rsidR="003A0306" w:rsidRPr="0046445C" w:rsidRDefault="003A0306" w:rsidP="002A54F3">
      <w:pPr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lastRenderedPageBreak/>
        <w:t>AI: od testów do mierzalnych efektów</w:t>
      </w:r>
    </w:p>
    <w:p w14:paraId="3DD4D1CD" w14:textId="77777777" w:rsidR="0046445C" w:rsidRPr="0046445C" w:rsidRDefault="0046445C" w:rsidP="002A54F3">
      <w:pPr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</w:p>
    <w:p w14:paraId="65CC4FDE" w14:textId="20F0C8C8" w:rsidR="00507748" w:rsidRPr="0046445C" w:rsidRDefault="00673F30" w:rsidP="00507748">
      <w:pPr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Jednym z obszarów, w których rozszerza się rola CFO, jest wykorzystanie sztucznej inteligencji</w:t>
      </w:r>
      <w:r w:rsidR="00066235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. </w:t>
      </w:r>
      <w:r w:rsidR="00852D9B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63 proc. globalnych liderów finansowych aktywnie korzysta z AI w obszarze finansów. Wśród osób </w:t>
      </w:r>
      <w:r w:rsidR="00FB2F7B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sięgających po te rozwiązania </w:t>
      </w:r>
      <w:r w:rsidR="00852D9B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21 proc. dostrzega jasną, mierzalną wartość wynikającą z ich </w:t>
      </w:r>
      <w:r w:rsidR="00FB4EE7" w:rsidRPr="0046445C">
        <w:rPr>
          <w:rFonts w:ascii="Calibri Light" w:hAnsi="Calibri Light" w:cs="Calibri Light"/>
          <w:color w:val="000000" w:themeColor="text1"/>
          <w:sz w:val="22"/>
          <w:szCs w:val="22"/>
        </w:rPr>
        <w:t>użycia</w:t>
      </w:r>
      <w:r w:rsidR="00852D9B" w:rsidRPr="0046445C">
        <w:rPr>
          <w:rFonts w:ascii="Calibri Light" w:hAnsi="Calibri Light" w:cs="Calibri Light"/>
          <w:color w:val="000000" w:themeColor="text1"/>
          <w:sz w:val="22"/>
          <w:szCs w:val="22"/>
        </w:rPr>
        <w:t>, a 14 proc. badanych w pełni zintegrowało zaawansowanych agentów AI z procesami finansowymi.</w:t>
      </w:r>
      <w:r w:rsidR="007242BD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r w:rsidR="00FB2F7B" w:rsidRPr="0046445C">
        <w:rPr>
          <w:rFonts w:ascii="Calibri Light" w:hAnsi="Calibri Light" w:cs="Calibri Light"/>
          <w:color w:val="000000" w:themeColor="text1"/>
          <w:sz w:val="22"/>
          <w:szCs w:val="22"/>
        </w:rPr>
        <w:t>Autorzy raportu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podkreślają, </w:t>
      </w:r>
      <w:r w:rsidR="00507748"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ż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>e wdro</w:t>
      </w:r>
      <w:r w:rsidR="00507748"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ż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>enia powinny koncentrowa</w:t>
      </w:r>
      <w:r w:rsidR="00507748"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ć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si</w:t>
      </w:r>
      <w:r w:rsidR="00507748"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ę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na zastosowaniach, których efekty mo</w:t>
      </w:r>
      <w:r w:rsidR="00507748"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ż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>na oceni</w:t>
      </w:r>
      <w:r w:rsidR="00507748"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ć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>, takich jak prognozowanie, zarz</w:t>
      </w:r>
      <w:r w:rsidR="00507748"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dzanie </w:t>
      </w:r>
      <w:r w:rsidR="00B51546" w:rsidRPr="0046445C">
        <w:rPr>
          <w:rFonts w:ascii="Calibri Light" w:hAnsi="Calibri Light" w:cs="Calibri Light"/>
          <w:color w:val="000000" w:themeColor="text1"/>
          <w:sz w:val="22"/>
          <w:szCs w:val="22"/>
        </w:rPr>
        <w:t>płynnością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czy wykrywanie anomalii. Na etapie sprzeda</w:t>
      </w:r>
      <w:r w:rsidR="00507748"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ż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>y znaczenie ma mo</w:t>
      </w:r>
      <w:r w:rsidR="00507748"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ż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>liwo</w:t>
      </w:r>
      <w:r w:rsidR="00507748"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ść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wykazania osi</w:t>
      </w:r>
      <w:r w:rsidR="00507748"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>gni</w:t>
      </w:r>
      <w:r w:rsidR="00507748"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ę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>tego zwrotu z inwestycji oraz trwa</w:t>
      </w:r>
      <w:r w:rsidR="00507748"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ł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>ego osadzenia rozwi</w:t>
      </w:r>
      <w:r w:rsidR="00507748"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>za</w:t>
      </w:r>
      <w:r w:rsidR="00507748"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ń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AI w procesach przedsi</w:t>
      </w:r>
      <w:r w:rsidR="00507748"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ę</w:t>
      </w:r>
      <w:r w:rsidR="00507748" w:rsidRPr="0046445C">
        <w:rPr>
          <w:rFonts w:ascii="Calibri Light" w:hAnsi="Calibri Light" w:cs="Calibri Light"/>
          <w:color w:val="000000" w:themeColor="text1"/>
          <w:sz w:val="22"/>
          <w:szCs w:val="22"/>
        </w:rPr>
        <w:t>biorstwa.</w:t>
      </w:r>
    </w:p>
    <w:p w14:paraId="6A20E557" w14:textId="77777777" w:rsidR="00507748" w:rsidRPr="0046445C" w:rsidRDefault="00507748" w:rsidP="00507748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09B0DF81" w14:textId="1FE5F6C6" w:rsidR="00DA3F57" w:rsidRPr="0046445C" w:rsidRDefault="00507748" w:rsidP="00507748">
      <w:pPr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Podobny obraz wyłania się</w:t>
      </w:r>
      <w:r w:rsidR="00DF0FE3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także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z ostatniej edycji </w:t>
      </w:r>
      <w:r w:rsidR="00113D3E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raportu Deloitte </w:t>
      </w:r>
      <w:hyperlink r:id="rId14" w:history="1">
        <w:r w:rsidRPr="0046445C">
          <w:rPr>
            <w:rStyle w:val="Hipercze"/>
            <w:rFonts w:ascii="Calibri Light" w:hAnsi="Calibri Light" w:cs="Calibri Light"/>
            <w:sz w:val="22"/>
            <w:szCs w:val="22"/>
          </w:rPr>
          <w:t>„</w:t>
        </w:r>
        <w:r w:rsidR="007242BD" w:rsidRPr="0046445C">
          <w:rPr>
            <w:rStyle w:val="Hipercze"/>
            <w:rFonts w:ascii="Calibri Light" w:hAnsi="Calibri Light" w:cs="Calibri Light"/>
            <w:sz w:val="22"/>
            <w:szCs w:val="22"/>
          </w:rPr>
          <w:t>CE</w:t>
        </w:r>
        <w:r w:rsidRPr="0046445C">
          <w:rPr>
            <w:rStyle w:val="Hipercze"/>
            <w:rFonts w:ascii="Calibri Light" w:hAnsi="Calibri Light" w:cs="Calibri Light"/>
            <w:sz w:val="22"/>
            <w:szCs w:val="22"/>
          </w:rPr>
          <w:t xml:space="preserve"> </w:t>
        </w:r>
        <w:proofErr w:type="spellStart"/>
        <w:r w:rsidRPr="0046445C">
          <w:rPr>
            <w:rStyle w:val="Hipercze"/>
            <w:rFonts w:ascii="Calibri Light" w:hAnsi="Calibri Light" w:cs="Calibri Light"/>
            <w:sz w:val="22"/>
            <w:szCs w:val="22"/>
          </w:rPr>
          <w:t>Private</w:t>
        </w:r>
        <w:proofErr w:type="spellEnd"/>
        <w:r w:rsidRPr="0046445C">
          <w:rPr>
            <w:rStyle w:val="Hipercze"/>
            <w:rFonts w:ascii="Calibri Light" w:hAnsi="Calibri Light" w:cs="Calibri Light"/>
            <w:sz w:val="22"/>
            <w:szCs w:val="22"/>
          </w:rPr>
          <w:t xml:space="preserve"> Equity </w:t>
        </w:r>
        <w:proofErr w:type="spellStart"/>
        <w:r w:rsidRPr="0046445C">
          <w:rPr>
            <w:rStyle w:val="Hipercze"/>
            <w:rFonts w:ascii="Calibri Light" w:hAnsi="Calibri Light" w:cs="Calibri Light"/>
            <w:sz w:val="22"/>
            <w:szCs w:val="22"/>
          </w:rPr>
          <w:t>Confidence</w:t>
        </w:r>
        <w:proofErr w:type="spellEnd"/>
        <w:r w:rsidRPr="0046445C">
          <w:rPr>
            <w:rStyle w:val="Hipercze"/>
            <w:rFonts w:ascii="Calibri Light" w:hAnsi="Calibri Light" w:cs="Calibri Light"/>
            <w:sz w:val="22"/>
            <w:szCs w:val="22"/>
          </w:rPr>
          <w:t xml:space="preserve"> </w:t>
        </w:r>
        <w:proofErr w:type="spellStart"/>
        <w:r w:rsidRPr="0046445C">
          <w:rPr>
            <w:rStyle w:val="Hipercze"/>
            <w:rFonts w:ascii="Calibri Light" w:hAnsi="Calibri Light" w:cs="Calibri Light"/>
            <w:sz w:val="22"/>
            <w:szCs w:val="22"/>
          </w:rPr>
          <w:t>Survey</w:t>
        </w:r>
        <w:proofErr w:type="spellEnd"/>
        <w:r w:rsidRPr="0046445C">
          <w:rPr>
            <w:rStyle w:val="Hipercze"/>
            <w:rFonts w:ascii="Calibri Light" w:hAnsi="Calibri Light" w:cs="Calibri Light"/>
            <w:sz w:val="22"/>
            <w:szCs w:val="22"/>
          </w:rPr>
          <w:t>”</w:t>
        </w:r>
      </w:hyperlink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. 56 proc. przedstawicieli funduszy </w:t>
      </w:r>
      <w:proofErr w:type="spellStart"/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private</w:t>
      </w:r>
      <w:proofErr w:type="spellEnd"/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equity z Europy Środkowej deklaruje umiarkowane wykorzystanie AI, a tylko co dziesiąty ma ją w pełni osadzoną w procesach inwestycyjnych i zarządzaniu portfelem. 38 proc. badanych </w:t>
      </w:r>
      <w:r w:rsidR="005C363E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już 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dostrzega pozytywny wpływ AI na wartość spółek portfelowych, podczas gdy 46 proc. nadal analizuje jej znaczenie.</w:t>
      </w:r>
    </w:p>
    <w:p w14:paraId="4A26A67D" w14:textId="77777777" w:rsidR="00DA3F57" w:rsidRPr="0046445C" w:rsidRDefault="00DA3F57" w:rsidP="002A54F3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2FD9A5FE" w14:textId="77777777" w:rsidR="00C94B2E" w:rsidRPr="0046445C" w:rsidRDefault="00C94B2E" w:rsidP="00C94B2E">
      <w:pPr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Większa odpowiedzialność CFO za strategię i dane</w:t>
      </w:r>
    </w:p>
    <w:p w14:paraId="1602575C" w14:textId="77777777" w:rsidR="00C94B2E" w:rsidRPr="0046445C" w:rsidRDefault="00C94B2E" w:rsidP="00C94B2E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57500ABB" w14:textId="5F484DF8" w:rsidR="00534C32" w:rsidRPr="0046445C" w:rsidRDefault="0065500F" w:rsidP="00C94B2E">
      <w:pPr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Większe wykorzystanie analityki i nowych technologii idzie w parze ze znaczeniem informacji zarządczej w decyzjach dotyczących rozwoju spółki, kosztów czy alokacji kapitału</w:t>
      </w:r>
      <w:r w:rsidR="009148E6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. Aż 97 proc. inwestorów </w:t>
      </w:r>
      <w:proofErr w:type="spellStart"/>
      <w:r w:rsidR="009148E6" w:rsidRPr="0046445C">
        <w:rPr>
          <w:rFonts w:ascii="Calibri Light" w:hAnsi="Calibri Light" w:cs="Calibri Light"/>
          <w:color w:val="000000" w:themeColor="text1"/>
          <w:sz w:val="22"/>
          <w:szCs w:val="22"/>
        </w:rPr>
        <w:t>private</w:t>
      </w:r>
      <w:proofErr w:type="spellEnd"/>
      <w:r w:rsidR="009148E6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equity, 85 proc. dyrektorów finansowych i 89 proc. prezesów wskazuje, że dla maksymalizacji wartości spółki przy wyjściu szczególne znaczenie ma dogłębna wiedza CFO o działalności przedsiębiorstwa, jego finansach, informacji zarządczej oraz wskaźnikach KPI. Obejmuje to m.in. umiejętność powiązania zmian wyniku z cenami, wolumenami, kosztami, przepływami pieniężnymi czy wynikami poszczególnych części biznesu.</w:t>
      </w:r>
    </w:p>
    <w:p w14:paraId="30E00BBB" w14:textId="77777777" w:rsidR="009148E6" w:rsidRPr="0046445C" w:rsidRDefault="009148E6" w:rsidP="00C94B2E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6405FB7A" w14:textId="77777777" w:rsidR="00C94B2E" w:rsidRPr="0046445C" w:rsidRDefault="00C94B2E" w:rsidP="00C94B2E">
      <w:pPr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Na początku inwestycji szczególnego znaczenia nabiera uporządkowanie rozproszonych systemów, procesów raportowych i wskaźników KPI. W kolejnych latach dane powinny umożliwiać wyjaśnienie źródeł wzrostu, zmian rentowności oraz wpływu decyzji operacyjnych na wyniki spółki. Przed wyjściem z inwestycji dane historyczne, założenia wyceny i materiały transakcyjne muszą pozostawać ze sobą spójne. Ponad połowa CFO i 67 proc. prezesów uważa, że przygotowania do sprzedaży powinny rozpocząć się bezpośrednio po przejęciu przedsiębiorstwa.</w:t>
      </w:r>
    </w:p>
    <w:p w14:paraId="4CAC6B36" w14:textId="77777777" w:rsidR="00C94B2E" w:rsidRPr="0046445C" w:rsidRDefault="00C94B2E" w:rsidP="00C94B2E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4F0D256F" w14:textId="77777777" w:rsidR="00C94B2E" w:rsidRPr="0046445C" w:rsidRDefault="00C94B2E" w:rsidP="00C94B2E">
      <w:pPr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Planowanie i dyscyplina finansowa wspierają wartość spółki</w:t>
      </w:r>
    </w:p>
    <w:p w14:paraId="2025A3D8" w14:textId="77777777" w:rsidR="00C94B2E" w:rsidRPr="0046445C" w:rsidRDefault="00C94B2E" w:rsidP="00C94B2E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4661EB97" w14:textId="374DBFFB" w:rsidR="00C94B2E" w:rsidRPr="0046445C" w:rsidRDefault="00C94B2E" w:rsidP="00C94B2E">
      <w:pPr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Wśród pozostałych trendów </w:t>
      </w:r>
      <w:r w:rsidR="00031E2D" w:rsidRPr="0046445C">
        <w:rPr>
          <w:rFonts w:ascii="Calibri Light" w:hAnsi="Calibri Light" w:cs="Calibri Light"/>
          <w:color w:val="000000" w:themeColor="text1"/>
          <w:sz w:val="22"/>
          <w:szCs w:val="22"/>
        </w:rPr>
        <w:t>eksperci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r w:rsidR="00031E2D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wymieniają 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rozwój zaawansowanego planowania scenariuszowego. </w:t>
      </w:r>
      <w:r w:rsidR="001B1B19" w:rsidRPr="0046445C">
        <w:rPr>
          <w:rFonts w:ascii="Calibri Light" w:hAnsi="Calibri Light" w:cs="Calibri Light"/>
          <w:color w:val="000000" w:themeColor="text1"/>
          <w:sz w:val="22"/>
          <w:szCs w:val="22"/>
        </w:rPr>
        <w:t>Ich zdaniem m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odele finansowe powinny pozwalać na ocenę wpływu </w:t>
      </w:r>
      <w:r w:rsidR="00702F8A" w:rsidRPr="0046445C">
        <w:rPr>
          <w:rFonts w:ascii="Calibri Light" w:hAnsi="Calibri Light" w:cs="Calibri Light"/>
          <w:color w:val="000000" w:themeColor="text1"/>
          <w:sz w:val="22"/>
          <w:szCs w:val="22"/>
        </w:rPr>
        <w:t>zmian rynkowych, kosztów, kursów walutowych czy potencjalnych przejęć na wyniki spółki. Deloitte wskazuje także na potrzebę uwzględniania zmian cen i wolumenów sprzedaży, wrażliwości EBITDA oraz sytuacji gotówkowej przedsiębiorstwa.</w:t>
      </w:r>
      <w:r w:rsidR="005A3A8D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W okresie optymalizacji </w:t>
      </w:r>
      <w:r w:rsidR="005A3A8D" w:rsidRPr="0046445C">
        <w:rPr>
          <w:rFonts w:ascii="Calibri Light" w:hAnsi="Calibri Light" w:cs="Calibri Light"/>
          <w:color w:val="000000" w:themeColor="text1"/>
          <w:sz w:val="22"/>
          <w:szCs w:val="22"/>
        </w:rPr>
        <w:t>zwracają uwagę</w:t>
      </w:r>
      <w:r w:rsidR="001B1B19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natomiast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m.in. na ciągłe prognozowanie oraz formalny, 13-tygodniowy proces prognozowania przepływów pieniężnych powiązany z założeniami operacyjnymi i handlowymi.</w:t>
      </w:r>
    </w:p>
    <w:p w14:paraId="50674D29" w14:textId="77777777" w:rsidR="00C94B2E" w:rsidRPr="0046445C" w:rsidRDefault="00C94B2E" w:rsidP="00C94B2E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3597D8A5" w14:textId="7B7CF924" w:rsidR="00C94B2E" w:rsidRDefault="00C94B2E" w:rsidP="00C94B2E">
      <w:pPr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Istotnym obszarem pozostaje również zarządzanie kosztami. Po przejęciu spółki model transakcyjny może zostać przełożony na 100-dniowy plan generowania wartości, </w:t>
      </w:r>
      <w:r w:rsidR="007F29D5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który pozwala </w:t>
      </w:r>
      <w:proofErr w:type="spellStart"/>
      <w:r w:rsidR="007F29D5" w:rsidRPr="0046445C">
        <w:rPr>
          <w:rFonts w:ascii="Calibri Light" w:hAnsi="Calibri Light" w:cs="Calibri Light"/>
          <w:color w:val="000000" w:themeColor="text1"/>
          <w:sz w:val="22"/>
          <w:szCs w:val="22"/>
        </w:rPr>
        <w:t>priorytetyzować</w:t>
      </w:r>
      <w:proofErr w:type="spellEnd"/>
      <w:r w:rsidR="007F29D5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i monitorować synergie kosztowe, marżowe i przychodowe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. W kolejnych etapach </w:t>
      </w:r>
      <w:r w:rsidR="00F85B66" w:rsidRPr="0046445C">
        <w:rPr>
          <w:rFonts w:ascii="Calibri Light" w:hAnsi="Calibri Light" w:cs="Calibri Light"/>
          <w:color w:val="000000" w:themeColor="text1"/>
          <w:sz w:val="22"/>
          <w:szCs w:val="22"/>
        </w:rPr>
        <w:t>eksperci wymieniają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m.in. centralizację procesów, centra usług wspólnych, zarządzanie cenami oraz selektywne budżetowanie 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lastRenderedPageBreak/>
        <w:t>od zera. Przy sprzedaży przedsiębiorstwa znaczenie ma możliwość wykazania trwałej poprawy marży oraz oszczędności potwierdzonych danymi i wskaźnikami KPI.</w:t>
      </w:r>
    </w:p>
    <w:p w14:paraId="0D37A87F" w14:textId="77777777" w:rsidR="0046445C" w:rsidRPr="0046445C" w:rsidRDefault="0046445C" w:rsidP="00C94B2E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1D5F1526" w14:textId="77777777" w:rsidR="00C94B2E" w:rsidRPr="0046445C" w:rsidRDefault="00C94B2E" w:rsidP="00C94B2E">
      <w:pPr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Finanse potrzebują nowych kompetencji</w:t>
      </w:r>
    </w:p>
    <w:p w14:paraId="1597662A" w14:textId="77777777" w:rsidR="00C94B2E" w:rsidRPr="0046445C" w:rsidRDefault="00C94B2E" w:rsidP="00C94B2E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3ED7FC4A" w14:textId="7FF253D4" w:rsidR="00834E07" w:rsidRPr="0046445C" w:rsidRDefault="00C94B2E" w:rsidP="00C94B2E">
      <w:pPr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Ostatni z analizowanych trendów dotyczy kompetencji zespołów finansowych. 64 proc. globalnych liderów finansowych planuje zwiększyć w najbliższym roku umiejętności techniczne i cyfrowe swoich pracowników.</w:t>
      </w:r>
      <w:r w:rsidR="00834E07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r w:rsidR="00207D03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Raport 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Deloitte wskazuje</w:t>
      </w:r>
      <w:r w:rsidR="00834E07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również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na </w:t>
      </w:r>
      <w:r w:rsidR="00782D6B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wartość 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rozw</w:t>
      </w:r>
      <w:r w:rsidR="00782D6B" w:rsidRPr="0046445C">
        <w:rPr>
          <w:rFonts w:ascii="Calibri Light" w:hAnsi="Calibri Light" w:cs="Calibri Light"/>
          <w:color w:val="000000" w:themeColor="text1"/>
          <w:sz w:val="22"/>
          <w:szCs w:val="22"/>
        </w:rPr>
        <w:t>o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j</w:t>
      </w:r>
      <w:r w:rsidR="00782D6B" w:rsidRPr="0046445C">
        <w:rPr>
          <w:rFonts w:ascii="Calibri Light" w:hAnsi="Calibri Light" w:cs="Calibri Light"/>
          <w:color w:val="000000" w:themeColor="text1"/>
          <w:sz w:val="22"/>
          <w:szCs w:val="22"/>
        </w:rPr>
        <w:t>u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r w:rsidR="0099563A" w:rsidRPr="0046445C">
        <w:rPr>
          <w:rFonts w:ascii="Calibri Light" w:hAnsi="Calibri Light" w:cs="Calibri Light"/>
          <w:color w:val="000000" w:themeColor="text1"/>
          <w:sz w:val="22"/>
          <w:szCs w:val="22"/>
        </w:rPr>
        <w:t>umiejętności łączących wiedzę księgową i finansową z analizą oraz wizualizacją danych, automatyzacją i wykorzystaniem AI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. </w:t>
      </w:r>
    </w:p>
    <w:p w14:paraId="32913395" w14:textId="77777777" w:rsidR="00834E07" w:rsidRPr="0046445C" w:rsidRDefault="00834E07" w:rsidP="00C94B2E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03E4F1DC" w14:textId="327D6A51" w:rsidR="00C16A90" w:rsidRPr="0046445C" w:rsidRDefault="006A0237" w:rsidP="00C16A90">
      <w:pPr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– </w:t>
      </w:r>
      <w:r w:rsidR="00D929F8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Zmienia się profil kompetencji potrzebnych w zespołach finansowych. Obok wiedzy księgowej i finansowej coraz większego znaczenia nabiera swobodne poruszanie się w danych, analityce i technologii oraz umiejętność przekładania liczb na wnioski dla biznesu. W spółkach portfelowych </w:t>
      </w:r>
      <w:proofErr w:type="spellStart"/>
      <w:r w:rsidR="00D929F8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private</w:t>
      </w:r>
      <w:proofErr w:type="spellEnd"/>
      <w:r w:rsidR="00D929F8" w:rsidRPr="0046445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equity dochodzi do tego tempo działania – zespół musi sprawnie obsługiwać integracje, reorganizacje czy okresy szybkiego wzrostu, bez utraty jakości raportowania. Dlatego ważne jest również takie budowanie funkcji finansowej, aby wiedza i odpowiedzialność nie były skupione w rękach pojedynczych osób, a procesy mogły działać stabilnie także przy zmianach w organizacji</w:t>
      </w:r>
      <w:r w:rsidR="00D929F8" w:rsidRPr="0046445C" w:rsidDel="00D929F8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r w:rsidR="00272801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– mówi </w:t>
      </w:r>
      <w:r w:rsidR="00272801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Monika Warmbier</w:t>
      </w:r>
      <w:r w:rsidR="00272801"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, </w:t>
      </w:r>
      <w:r w:rsidR="00C16A90" w:rsidRPr="0046445C">
        <w:rPr>
          <w:rFonts w:ascii="Calibri Light" w:hAnsi="Calibri Light" w:cs="Calibri Light"/>
          <w:color w:val="000000" w:themeColor="text1"/>
          <w:sz w:val="22"/>
          <w:szCs w:val="22"/>
        </w:rPr>
        <w:t>partnerka, liderka obszaru CFO, Deloitte.</w:t>
      </w:r>
      <w:r w:rsidR="00C16A90" w:rsidRPr="0046445C" w:rsidDel="00C16A90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</w:p>
    <w:p w14:paraId="253D4796" w14:textId="77777777" w:rsidR="00256FAD" w:rsidRPr="0046445C" w:rsidRDefault="00256FAD" w:rsidP="00C16A90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6AB3F2C8" w14:textId="53CD0369" w:rsidR="00DF09F3" w:rsidRPr="0046445C" w:rsidRDefault="00DF09F3" w:rsidP="00DF09F3">
      <w:pPr>
        <w:spacing w:after="120"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Pe</w:t>
      </w:r>
      <w:r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ł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ny raport do pobrania znajduje si</w:t>
      </w:r>
      <w:r w:rsidRPr="0046445C">
        <w:rPr>
          <w:rFonts w:ascii="Calibri Light" w:hAnsi="Calibri Light" w:cs="Calibri Light" w:hint="eastAsia"/>
          <w:color w:val="000000" w:themeColor="text1"/>
          <w:sz w:val="22"/>
          <w:szCs w:val="22"/>
        </w:rPr>
        <w:t>ę</w:t>
      </w:r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hyperlink r:id="rId15" w:history="1">
        <w:r w:rsidRPr="0046445C">
          <w:rPr>
            <w:rStyle w:val="Hipercze"/>
            <w:rFonts w:ascii="Calibri Light" w:hAnsi="Calibri Light" w:cs="Calibri Light"/>
            <w:sz w:val="22"/>
            <w:szCs w:val="22"/>
          </w:rPr>
          <w:t>tutaj</w:t>
        </w:r>
      </w:hyperlink>
      <w:r w:rsidRPr="0046445C">
        <w:rPr>
          <w:rFonts w:ascii="Calibri Light" w:hAnsi="Calibri Light" w:cs="Calibri Light"/>
          <w:color w:val="000000" w:themeColor="text1"/>
          <w:sz w:val="22"/>
          <w:szCs w:val="22"/>
        </w:rPr>
        <w:t>.</w:t>
      </w:r>
    </w:p>
    <w:p w14:paraId="2DC53650" w14:textId="77777777" w:rsidR="002A54F3" w:rsidRPr="0046445C" w:rsidRDefault="002A54F3" w:rsidP="00DF09F3">
      <w:pPr>
        <w:spacing w:line="240" w:lineRule="auto"/>
        <w:rPr>
          <w:rFonts w:ascii="Calibri Light" w:hAnsi="Calibri Light" w:cs="Calibri Light"/>
          <w:b/>
          <w:bCs/>
          <w:color w:val="000000" w:themeColor="text1"/>
        </w:rPr>
      </w:pPr>
    </w:p>
    <w:p w14:paraId="04823DAA" w14:textId="122B9A25" w:rsidR="00DF09F3" w:rsidRPr="0046445C" w:rsidRDefault="00DF09F3" w:rsidP="00DF09F3">
      <w:pPr>
        <w:spacing w:line="240" w:lineRule="auto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46445C">
        <w:rPr>
          <w:rFonts w:ascii="Calibri Light" w:hAnsi="Calibri Light" w:cs="Calibri Light"/>
          <w:color w:val="000000" w:themeColor="text1"/>
          <w:sz w:val="18"/>
          <w:szCs w:val="18"/>
        </w:rPr>
        <w:t>Subskrypcja:</w:t>
      </w:r>
    </w:p>
    <w:p w14:paraId="13845EB4" w14:textId="77777777" w:rsidR="00DF09F3" w:rsidRPr="0046445C" w:rsidRDefault="00DF09F3" w:rsidP="00DF09F3">
      <w:pPr>
        <w:spacing w:line="240" w:lineRule="auto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46445C">
        <w:rPr>
          <w:rFonts w:ascii="Calibri Light" w:hAnsi="Calibri Light" w:cs="Calibri Light"/>
          <w:color w:val="000000" w:themeColor="text1"/>
          <w:sz w:val="18"/>
          <w:szCs w:val="18"/>
        </w:rPr>
        <w:t>Otrzymuj powiadomienia o kolejnych informacjach prasowych Deloitte na stronie:</w:t>
      </w:r>
    </w:p>
    <w:p w14:paraId="046080E8" w14:textId="15766B9A" w:rsidR="00383B9F" w:rsidRPr="00EE1DFF" w:rsidRDefault="00DF09F3" w:rsidP="00EE1DFF">
      <w:pPr>
        <w:spacing w:line="240" w:lineRule="auto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46445C">
        <w:rPr>
          <w:rFonts w:ascii="Calibri Light" w:hAnsi="Calibri Light" w:cs="Calibri Light"/>
          <w:color w:val="000000" w:themeColor="text1"/>
          <w:sz w:val="18"/>
          <w:szCs w:val="18"/>
        </w:rPr>
        <w:t>www.deloitte.com/pl/subskrypcje</w:t>
      </w:r>
    </w:p>
    <w:sectPr w:rsidR="00383B9F" w:rsidRPr="00EE1DFF" w:rsidSect="001076E4">
      <w:headerReference w:type="default" r:id="rId16"/>
      <w:footerReference w:type="default" r:id="rId17"/>
      <w:footerReference w:type="first" r:id="rId18"/>
      <w:pgSz w:w="11901" w:h="16840" w:code="9"/>
      <w:pgMar w:top="2101" w:right="1134" w:bottom="454" w:left="1418" w:header="851" w:footer="44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DC059" w14:textId="77777777" w:rsidR="00FF00C5" w:rsidRDefault="00FF00C5" w:rsidP="00B90A90">
      <w:pPr>
        <w:spacing w:line="240" w:lineRule="auto"/>
      </w:pPr>
      <w:r>
        <w:separator/>
      </w:r>
    </w:p>
  </w:endnote>
  <w:endnote w:type="continuationSeparator" w:id="0">
    <w:p w14:paraId="1D265D7B" w14:textId="77777777" w:rsidR="00FF00C5" w:rsidRDefault="00FF00C5" w:rsidP="00B90A90">
      <w:pPr>
        <w:spacing w:line="240" w:lineRule="auto"/>
      </w:pPr>
      <w:r>
        <w:continuationSeparator/>
      </w:r>
    </w:p>
  </w:endnote>
  <w:endnote w:type="continuationNotice" w:id="1">
    <w:p w14:paraId="317D844B" w14:textId="77777777" w:rsidR="00FF00C5" w:rsidRDefault="00FF00C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45 Light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ramond3LTStd">
    <w:altName w:val="Times New Roman"/>
    <w:panose1 w:val="00000000000000000000"/>
    <w:charset w:val="4D"/>
    <w:family w:val="auto"/>
    <w:notTrueType/>
    <w:pitch w:val="default"/>
    <w:sig w:usb0="00000000" w:usb1="00000000" w:usb2="00000000" w:usb3="00000000" w:csb0="00000001" w:csb1="00000000"/>
  </w:font>
  <w:font w:name="FrutigerNextPro-Light">
    <w:altName w:val="Times New Roman"/>
    <w:panose1 w:val="00000000000000000000"/>
    <w:charset w:val="4D"/>
    <w:family w:val="auto"/>
    <w:notTrueType/>
    <w:pitch w:val="default"/>
    <w:sig w:usb0="00000005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49E14" w14:textId="77777777" w:rsidR="00624B92" w:rsidRDefault="00624B92" w:rsidP="00624B92">
    <w:pPr>
      <w:pStyle w:val="Stopka"/>
      <w:rPr>
        <w:rFonts w:ascii="Calibri Light" w:hAnsi="Calibri Light" w:cs="Calibri Light"/>
      </w:rPr>
    </w:pPr>
  </w:p>
  <w:p w14:paraId="33FDE3A4" w14:textId="75E52F79" w:rsidR="00B90A90" w:rsidRPr="00253135" w:rsidRDefault="00B90A90" w:rsidP="00624B92">
    <w:pPr>
      <w:pStyle w:val="Stopka"/>
      <w:rPr>
        <w:rFonts w:ascii="Arial" w:hAnsi="Arial" w:cs="Arial"/>
        <w:sz w:val="13"/>
        <w:szCs w:val="13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B8095" w14:textId="77777777" w:rsidR="00101FE8" w:rsidRDefault="00101FE8" w:rsidP="00573C7E">
    <w:pPr>
      <w:pStyle w:val="Amember"/>
      <w:ind w:right="-7"/>
      <w:rPr>
        <w:rFonts w:ascii="Arial" w:hAnsi="Arial" w:cs="Arial"/>
        <w:sz w:val="13"/>
        <w:szCs w:val="13"/>
      </w:rPr>
    </w:pPr>
  </w:p>
  <w:p w14:paraId="57B0DF05" w14:textId="407BC4AC" w:rsidR="0046445C" w:rsidRDefault="0046445C" w:rsidP="0046445C">
    <w:pPr>
      <w:pStyle w:val="Amember"/>
      <w:ind w:right="-7"/>
      <w:rPr>
        <w:rFonts w:ascii="Arial" w:hAnsi="Arial" w:cs="Arial"/>
        <w:sz w:val="13"/>
        <w:szCs w:val="13"/>
      </w:rPr>
    </w:pPr>
    <w:r w:rsidRPr="0046445C">
      <w:rPr>
        <w:rFonts w:ascii="Arial" w:hAnsi="Arial" w:cs="Arial"/>
        <w:sz w:val="13"/>
        <w:szCs w:val="13"/>
      </w:rPr>
      <w:t xml:space="preserve">Nazwa Deloitte odnosi się do jednej lub kilku jednostek Deloitte </w:t>
    </w:r>
    <w:proofErr w:type="spellStart"/>
    <w:r w:rsidRPr="0046445C">
      <w:rPr>
        <w:rFonts w:ascii="Arial" w:hAnsi="Arial" w:cs="Arial"/>
        <w:sz w:val="13"/>
        <w:szCs w:val="13"/>
      </w:rPr>
      <w:t>Touche</w:t>
    </w:r>
    <w:proofErr w:type="spellEnd"/>
    <w:r w:rsidRPr="0046445C">
      <w:rPr>
        <w:rFonts w:ascii="Arial" w:hAnsi="Arial" w:cs="Arial"/>
        <w:sz w:val="13"/>
        <w:szCs w:val="13"/>
      </w:rPr>
      <w:t xml:space="preserve"> </w:t>
    </w:r>
    <w:proofErr w:type="spellStart"/>
    <w:r w:rsidRPr="0046445C">
      <w:rPr>
        <w:rFonts w:ascii="Arial" w:hAnsi="Arial" w:cs="Arial"/>
        <w:sz w:val="13"/>
        <w:szCs w:val="13"/>
      </w:rPr>
      <w:t>Tohmatsu</w:t>
    </w:r>
    <w:proofErr w:type="spellEnd"/>
    <w:r w:rsidRPr="0046445C">
      <w:rPr>
        <w:rFonts w:ascii="Arial" w:hAnsi="Arial" w:cs="Arial"/>
        <w:sz w:val="13"/>
        <w:szCs w:val="13"/>
      </w:rPr>
      <w:t xml:space="preserve"> Limited, („DTTL”) i jej firm członkowskich oraz ich jednostek stowarzyszonych (zwanych łącznie „organizacją Deloitte”). DTTL (zwana również „Deloitte Global”), jej firmy członkowskie i podmioty z nimi powiązane są prawnie odrębnymi, niezależnymi podmiotami, które nie mogą podejmować decyzji ani zobowiązań za inne podmioty wobec osób trzecich. DTTL, jej firmy członkowskie i podmioty z nimi powiązane ponoszą odpowiedzialność wyłącznie za własne działania i zaniechania, a nie za działania i zaniechania innych firm członkowskich. DTTL nie świadczy usług na rzecz klientów. Więcej informacji o Deloitte Polska: </w:t>
    </w:r>
    <w:hyperlink r:id="rId1" w:history="1">
      <w:r w:rsidRPr="00071CFE">
        <w:rPr>
          <w:rStyle w:val="Hipercze"/>
          <w:rFonts w:ascii="Arial" w:hAnsi="Arial" w:cs="Arial"/>
          <w:sz w:val="13"/>
          <w:szCs w:val="13"/>
        </w:rPr>
        <w:t>www.deloitte.com/pl/onas</w:t>
      </w:r>
    </w:hyperlink>
  </w:p>
  <w:p w14:paraId="5BD01659" w14:textId="77777777" w:rsidR="0046445C" w:rsidRDefault="0046445C" w:rsidP="0046445C">
    <w:pPr>
      <w:pStyle w:val="Amember"/>
      <w:ind w:right="-7"/>
      <w:rPr>
        <w:rFonts w:ascii="Arial" w:hAnsi="Arial" w:cs="Arial"/>
        <w:sz w:val="13"/>
        <w:szCs w:val="13"/>
      </w:rPr>
    </w:pPr>
  </w:p>
  <w:p w14:paraId="6EF176BC" w14:textId="28CE335D" w:rsidR="0046445C" w:rsidRDefault="0046445C" w:rsidP="0046445C">
    <w:pPr>
      <w:pStyle w:val="Amember"/>
      <w:ind w:right="-7"/>
      <w:rPr>
        <w:rFonts w:ascii="Arial" w:hAnsi="Arial" w:cs="Arial"/>
        <w:sz w:val="13"/>
        <w:szCs w:val="13"/>
      </w:rPr>
    </w:pPr>
    <w:r w:rsidRPr="0046445C">
      <w:rPr>
        <w:rFonts w:ascii="Arial" w:hAnsi="Arial" w:cs="Arial"/>
        <w:sz w:val="13"/>
        <w:szCs w:val="13"/>
      </w:rPr>
      <w:t xml:space="preserve">Deloitte świadczy najwyższej jakości usługi rewizji finansowej, doradztwa gospodarczego i podatkowego niemal 90 procent firm z rankingu </w:t>
    </w:r>
    <w:proofErr w:type="spellStart"/>
    <w:r w:rsidRPr="0046445C">
      <w:rPr>
        <w:rFonts w:ascii="Arial" w:hAnsi="Arial" w:cs="Arial"/>
        <w:sz w:val="13"/>
        <w:szCs w:val="13"/>
      </w:rPr>
      <w:t>Fortune</w:t>
    </w:r>
    <w:proofErr w:type="spellEnd"/>
    <w:r w:rsidRPr="0046445C">
      <w:rPr>
        <w:rFonts w:ascii="Arial" w:hAnsi="Arial" w:cs="Arial"/>
        <w:sz w:val="13"/>
        <w:szCs w:val="13"/>
      </w:rPr>
      <w:t xml:space="preserve"> Global 500® i tysiącom spółek prywatnych. Nasi specjaliści działają w wielu branżach kształtujących dzisiejszy rynek, wypracowując wymierne, trwałe wyniki, które zwiększają zaufanie publiczne do rynków kapitałowych, inspirują klientów do podejmowania ambitnych decyzji biznesowych i wspierają rozwój gospodarczy i społeczny. Czerpiąc z ponad 180 lat doświadczenia zdobytego na rynku, Deloitte prowadzi działalność w ponad 150 krajach na całym świecie. Aby dowiedzieć się, w jaki sposób </w:t>
    </w:r>
    <w:r>
      <w:rPr>
        <w:rFonts w:ascii="Arial" w:hAnsi="Arial" w:cs="Arial"/>
        <w:sz w:val="13"/>
        <w:szCs w:val="13"/>
      </w:rPr>
      <w:t>niemal</w:t>
    </w:r>
    <w:r w:rsidRPr="0046445C">
      <w:rPr>
        <w:rFonts w:ascii="Arial" w:hAnsi="Arial" w:cs="Arial"/>
        <w:sz w:val="13"/>
        <w:szCs w:val="13"/>
      </w:rPr>
      <w:t xml:space="preserve"> </w:t>
    </w:r>
    <w:r>
      <w:rPr>
        <w:rFonts w:ascii="Arial" w:hAnsi="Arial" w:cs="Arial"/>
        <w:sz w:val="13"/>
        <w:szCs w:val="13"/>
      </w:rPr>
      <w:t>50</w:t>
    </w:r>
    <w:r w:rsidRPr="0046445C">
      <w:rPr>
        <w:rFonts w:ascii="Arial" w:hAnsi="Arial" w:cs="Arial"/>
        <w:sz w:val="13"/>
        <w:szCs w:val="13"/>
      </w:rPr>
      <w:t>0 tysięcy naszych pracowników wywiera pozytywny wpływ na środowisko i otoczenie, w którym żyją i pracują, zachęcamy do odwiedzenia strony </w:t>
    </w:r>
    <w:hyperlink r:id="rId2" w:tgtFrame="_blank" w:history="1">
      <w:r w:rsidRPr="0046445C">
        <w:rPr>
          <w:rStyle w:val="Hipercze"/>
          <w:rFonts w:ascii="Arial" w:hAnsi="Arial" w:cs="Arial"/>
          <w:sz w:val="13"/>
          <w:szCs w:val="13"/>
        </w:rPr>
        <w:t>www.deloitte.com</w:t>
      </w:r>
    </w:hyperlink>
    <w:r w:rsidRPr="0046445C">
      <w:rPr>
        <w:rFonts w:ascii="Arial" w:hAnsi="Arial" w:cs="Arial"/>
        <w:sz w:val="13"/>
        <w:szCs w:val="13"/>
      </w:rPr>
      <w:t>. </w:t>
    </w:r>
  </w:p>
  <w:p w14:paraId="00A6B06D" w14:textId="6B12D02F" w:rsidR="00FD45A7" w:rsidRPr="00CA48E9" w:rsidRDefault="00FD45A7" w:rsidP="0046445C">
    <w:pPr>
      <w:pStyle w:val="Amember"/>
      <w:ind w:right="-7"/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481BF" w14:textId="77777777" w:rsidR="00FF00C5" w:rsidRDefault="00FF00C5" w:rsidP="00B90A90">
      <w:pPr>
        <w:spacing w:line="240" w:lineRule="auto"/>
      </w:pPr>
      <w:r>
        <w:separator/>
      </w:r>
    </w:p>
  </w:footnote>
  <w:footnote w:type="continuationSeparator" w:id="0">
    <w:p w14:paraId="1437AE30" w14:textId="77777777" w:rsidR="00FF00C5" w:rsidRDefault="00FF00C5" w:rsidP="00B90A90">
      <w:pPr>
        <w:spacing w:line="240" w:lineRule="auto"/>
      </w:pPr>
      <w:r>
        <w:continuationSeparator/>
      </w:r>
    </w:p>
  </w:footnote>
  <w:footnote w:type="continuationNotice" w:id="1">
    <w:p w14:paraId="325575D8" w14:textId="77777777" w:rsidR="00FF00C5" w:rsidRDefault="00FF00C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B591C" w14:textId="77777777" w:rsidR="00FD45A7" w:rsidRDefault="001111D6" w:rsidP="0070135B">
    <w:pPr>
      <w:pStyle w:val="Legalentity"/>
      <w:spacing w:after="140" w:line="240" w:lineRule="auto"/>
      <w:rPr>
        <w:sz w:val="18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27CA93AE" wp14:editId="21903D3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30680" cy="304800"/>
          <wp:effectExtent l="0" t="0" r="7620" b="0"/>
          <wp:wrapNone/>
          <wp:docPr id="1" name="Picture 3" descr="DEL_PRI_GREY_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L_PRI_GREY_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624104"/>
    <w:multiLevelType w:val="hybridMultilevel"/>
    <w:tmpl w:val="155E11DC"/>
    <w:lvl w:ilvl="0" w:tplc="84925ADC">
      <w:start w:val="1"/>
      <w:numFmt w:val="decimal"/>
      <w:lvlText w:val="%1)"/>
      <w:lvlJc w:val="left"/>
      <w:pPr>
        <w:ind w:left="1020" w:hanging="360"/>
      </w:pPr>
    </w:lvl>
    <w:lvl w:ilvl="1" w:tplc="0492CD12">
      <w:start w:val="1"/>
      <w:numFmt w:val="decimal"/>
      <w:lvlText w:val="%2)"/>
      <w:lvlJc w:val="left"/>
      <w:pPr>
        <w:ind w:left="1020" w:hanging="360"/>
      </w:pPr>
    </w:lvl>
    <w:lvl w:ilvl="2" w:tplc="BBAC280A">
      <w:start w:val="1"/>
      <w:numFmt w:val="decimal"/>
      <w:lvlText w:val="%3)"/>
      <w:lvlJc w:val="left"/>
      <w:pPr>
        <w:ind w:left="1020" w:hanging="360"/>
      </w:pPr>
    </w:lvl>
    <w:lvl w:ilvl="3" w:tplc="885A88B0">
      <w:start w:val="1"/>
      <w:numFmt w:val="decimal"/>
      <w:lvlText w:val="%4)"/>
      <w:lvlJc w:val="left"/>
      <w:pPr>
        <w:ind w:left="1020" w:hanging="360"/>
      </w:pPr>
    </w:lvl>
    <w:lvl w:ilvl="4" w:tplc="4D66C324">
      <w:start w:val="1"/>
      <w:numFmt w:val="decimal"/>
      <w:lvlText w:val="%5)"/>
      <w:lvlJc w:val="left"/>
      <w:pPr>
        <w:ind w:left="1020" w:hanging="360"/>
      </w:pPr>
    </w:lvl>
    <w:lvl w:ilvl="5" w:tplc="B680BA0E">
      <w:start w:val="1"/>
      <w:numFmt w:val="decimal"/>
      <w:lvlText w:val="%6)"/>
      <w:lvlJc w:val="left"/>
      <w:pPr>
        <w:ind w:left="1020" w:hanging="360"/>
      </w:pPr>
    </w:lvl>
    <w:lvl w:ilvl="6" w:tplc="271A672C">
      <w:start w:val="1"/>
      <w:numFmt w:val="decimal"/>
      <w:lvlText w:val="%7)"/>
      <w:lvlJc w:val="left"/>
      <w:pPr>
        <w:ind w:left="1020" w:hanging="360"/>
      </w:pPr>
    </w:lvl>
    <w:lvl w:ilvl="7" w:tplc="8B4EC5DA">
      <w:start w:val="1"/>
      <w:numFmt w:val="decimal"/>
      <w:lvlText w:val="%8)"/>
      <w:lvlJc w:val="left"/>
      <w:pPr>
        <w:ind w:left="1020" w:hanging="360"/>
      </w:pPr>
    </w:lvl>
    <w:lvl w:ilvl="8" w:tplc="BABA18D8">
      <w:start w:val="1"/>
      <w:numFmt w:val="decimal"/>
      <w:lvlText w:val="%9)"/>
      <w:lvlJc w:val="left"/>
      <w:pPr>
        <w:ind w:left="1020" w:hanging="360"/>
      </w:pPr>
    </w:lvl>
  </w:abstractNum>
  <w:num w:numId="1" w16cid:durableId="1279022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3A9"/>
    <w:rsid w:val="000002DD"/>
    <w:rsid w:val="00000BFD"/>
    <w:rsid w:val="00003E56"/>
    <w:rsid w:val="0001032A"/>
    <w:rsid w:val="00012D05"/>
    <w:rsid w:val="000142A0"/>
    <w:rsid w:val="00014FD9"/>
    <w:rsid w:val="00015923"/>
    <w:rsid w:val="0002422C"/>
    <w:rsid w:val="00024A58"/>
    <w:rsid w:val="00025A83"/>
    <w:rsid w:val="00031E2D"/>
    <w:rsid w:val="00033BB1"/>
    <w:rsid w:val="00034272"/>
    <w:rsid w:val="00034E4A"/>
    <w:rsid w:val="0003629F"/>
    <w:rsid w:val="00041EDD"/>
    <w:rsid w:val="00043480"/>
    <w:rsid w:val="00043594"/>
    <w:rsid w:val="00050064"/>
    <w:rsid w:val="000515C7"/>
    <w:rsid w:val="000565FD"/>
    <w:rsid w:val="000607A4"/>
    <w:rsid w:val="000660FF"/>
    <w:rsid w:val="00066235"/>
    <w:rsid w:val="000701D3"/>
    <w:rsid w:val="00070CBF"/>
    <w:rsid w:val="000729A5"/>
    <w:rsid w:val="000776E6"/>
    <w:rsid w:val="00083A61"/>
    <w:rsid w:val="00090437"/>
    <w:rsid w:val="00091CEB"/>
    <w:rsid w:val="00096222"/>
    <w:rsid w:val="00097AED"/>
    <w:rsid w:val="000A1ACC"/>
    <w:rsid w:val="000A49EC"/>
    <w:rsid w:val="000A520C"/>
    <w:rsid w:val="000A648E"/>
    <w:rsid w:val="000B213E"/>
    <w:rsid w:val="000B4047"/>
    <w:rsid w:val="000C2893"/>
    <w:rsid w:val="000C36CD"/>
    <w:rsid w:val="000C3C26"/>
    <w:rsid w:val="000C48DA"/>
    <w:rsid w:val="000C60CC"/>
    <w:rsid w:val="000D172D"/>
    <w:rsid w:val="000D2638"/>
    <w:rsid w:val="000D2C28"/>
    <w:rsid w:val="000D4B8E"/>
    <w:rsid w:val="000E3773"/>
    <w:rsid w:val="000E6632"/>
    <w:rsid w:val="000E6838"/>
    <w:rsid w:val="000F0713"/>
    <w:rsid w:val="000F0A89"/>
    <w:rsid w:val="000F298B"/>
    <w:rsid w:val="000F52C4"/>
    <w:rsid w:val="00101990"/>
    <w:rsid w:val="00101FE8"/>
    <w:rsid w:val="0010255E"/>
    <w:rsid w:val="00102E4A"/>
    <w:rsid w:val="00104EFA"/>
    <w:rsid w:val="001076E4"/>
    <w:rsid w:val="001111D6"/>
    <w:rsid w:val="00113586"/>
    <w:rsid w:val="00113B1B"/>
    <w:rsid w:val="00113D3E"/>
    <w:rsid w:val="001200DF"/>
    <w:rsid w:val="00121316"/>
    <w:rsid w:val="0012741C"/>
    <w:rsid w:val="001317F9"/>
    <w:rsid w:val="001344CA"/>
    <w:rsid w:val="00137213"/>
    <w:rsid w:val="0015074D"/>
    <w:rsid w:val="00156F6A"/>
    <w:rsid w:val="00160BFC"/>
    <w:rsid w:val="00161B09"/>
    <w:rsid w:val="00164F70"/>
    <w:rsid w:val="00165396"/>
    <w:rsid w:val="00170D09"/>
    <w:rsid w:val="00170F26"/>
    <w:rsid w:val="001710FE"/>
    <w:rsid w:val="00174B85"/>
    <w:rsid w:val="00177ECD"/>
    <w:rsid w:val="001804F6"/>
    <w:rsid w:val="001827EA"/>
    <w:rsid w:val="0018315F"/>
    <w:rsid w:val="001848CC"/>
    <w:rsid w:val="00185D54"/>
    <w:rsid w:val="00190DEC"/>
    <w:rsid w:val="001951C8"/>
    <w:rsid w:val="0019565A"/>
    <w:rsid w:val="001A2BA5"/>
    <w:rsid w:val="001A34F9"/>
    <w:rsid w:val="001B0F8E"/>
    <w:rsid w:val="001B1808"/>
    <w:rsid w:val="001B1B19"/>
    <w:rsid w:val="001B270D"/>
    <w:rsid w:val="001B300B"/>
    <w:rsid w:val="001B3952"/>
    <w:rsid w:val="001B3AEE"/>
    <w:rsid w:val="001B641D"/>
    <w:rsid w:val="001C37ED"/>
    <w:rsid w:val="001C6192"/>
    <w:rsid w:val="001C61D5"/>
    <w:rsid w:val="001D10FA"/>
    <w:rsid w:val="001D4DFE"/>
    <w:rsid w:val="001D5318"/>
    <w:rsid w:val="001D6F83"/>
    <w:rsid w:val="001E2222"/>
    <w:rsid w:val="001E223C"/>
    <w:rsid w:val="001E2AA8"/>
    <w:rsid w:val="001E2D51"/>
    <w:rsid w:val="001E356E"/>
    <w:rsid w:val="001E43F0"/>
    <w:rsid w:val="001E5BA3"/>
    <w:rsid w:val="001E696C"/>
    <w:rsid w:val="001F0781"/>
    <w:rsid w:val="001F1E7E"/>
    <w:rsid w:val="001F32B0"/>
    <w:rsid w:val="001F595D"/>
    <w:rsid w:val="002039E2"/>
    <w:rsid w:val="00207D03"/>
    <w:rsid w:val="00211EC7"/>
    <w:rsid w:val="00221B24"/>
    <w:rsid w:val="00225D41"/>
    <w:rsid w:val="00226E63"/>
    <w:rsid w:val="00233238"/>
    <w:rsid w:val="00234A26"/>
    <w:rsid w:val="002363B6"/>
    <w:rsid w:val="002364CC"/>
    <w:rsid w:val="002364EA"/>
    <w:rsid w:val="00236EB0"/>
    <w:rsid w:val="00241533"/>
    <w:rsid w:val="00245099"/>
    <w:rsid w:val="00247D48"/>
    <w:rsid w:val="002502EA"/>
    <w:rsid w:val="00251BF1"/>
    <w:rsid w:val="00252D20"/>
    <w:rsid w:val="00253135"/>
    <w:rsid w:val="00256853"/>
    <w:rsid w:val="00256FAD"/>
    <w:rsid w:val="00265672"/>
    <w:rsid w:val="002700AD"/>
    <w:rsid w:val="00272405"/>
    <w:rsid w:val="002727EB"/>
    <w:rsid w:val="00272801"/>
    <w:rsid w:val="0027538E"/>
    <w:rsid w:val="00276857"/>
    <w:rsid w:val="00277AFC"/>
    <w:rsid w:val="002809DB"/>
    <w:rsid w:val="0028187C"/>
    <w:rsid w:val="002825B1"/>
    <w:rsid w:val="0028493A"/>
    <w:rsid w:val="00285B3D"/>
    <w:rsid w:val="00293831"/>
    <w:rsid w:val="002939AE"/>
    <w:rsid w:val="00295207"/>
    <w:rsid w:val="00297DED"/>
    <w:rsid w:val="002A0A81"/>
    <w:rsid w:val="002A54F3"/>
    <w:rsid w:val="002A70F3"/>
    <w:rsid w:val="002B0B6E"/>
    <w:rsid w:val="002B1A42"/>
    <w:rsid w:val="002B4A23"/>
    <w:rsid w:val="002B5A0A"/>
    <w:rsid w:val="002B695E"/>
    <w:rsid w:val="002B7D0A"/>
    <w:rsid w:val="002C0552"/>
    <w:rsid w:val="002C1BBF"/>
    <w:rsid w:val="002C1D0C"/>
    <w:rsid w:val="002C44C5"/>
    <w:rsid w:val="002C585D"/>
    <w:rsid w:val="002D11BE"/>
    <w:rsid w:val="002D74EC"/>
    <w:rsid w:val="002E1589"/>
    <w:rsid w:val="002E2DC0"/>
    <w:rsid w:val="002E49BF"/>
    <w:rsid w:val="002E4E61"/>
    <w:rsid w:val="002E6175"/>
    <w:rsid w:val="002E6FD0"/>
    <w:rsid w:val="002F03DF"/>
    <w:rsid w:val="002F0A54"/>
    <w:rsid w:val="002F367F"/>
    <w:rsid w:val="002F3CA5"/>
    <w:rsid w:val="00300A85"/>
    <w:rsid w:val="0030418F"/>
    <w:rsid w:val="00304A54"/>
    <w:rsid w:val="00310F2B"/>
    <w:rsid w:val="0032134D"/>
    <w:rsid w:val="00327081"/>
    <w:rsid w:val="003270F3"/>
    <w:rsid w:val="00330D8A"/>
    <w:rsid w:val="00336A30"/>
    <w:rsid w:val="00340A29"/>
    <w:rsid w:val="003439C3"/>
    <w:rsid w:val="00343BC5"/>
    <w:rsid w:val="00343E6D"/>
    <w:rsid w:val="00344171"/>
    <w:rsid w:val="00347971"/>
    <w:rsid w:val="00350EFC"/>
    <w:rsid w:val="0035201C"/>
    <w:rsid w:val="0035229F"/>
    <w:rsid w:val="0035248C"/>
    <w:rsid w:val="00352CF6"/>
    <w:rsid w:val="00355EAB"/>
    <w:rsid w:val="00360F33"/>
    <w:rsid w:val="003635A9"/>
    <w:rsid w:val="00364798"/>
    <w:rsid w:val="00364E14"/>
    <w:rsid w:val="00365220"/>
    <w:rsid w:val="003743AB"/>
    <w:rsid w:val="00375A24"/>
    <w:rsid w:val="00375AB7"/>
    <w:rsid w:val="00381916"/>
    <w:rsid w:val="003820DA"/>
    <w:rsid w:val="003834DA"/>
    <w:rsid w:val="00383B9F"/>
    <w:rsid w:val="00384867"/>
    <w:rsid w:val="00392CA5"/>
    <w:rsid w:val="00395852"/>
    <w:rsid w:val="00397A3D"/>
    <w:rsid w:val="00397A6B"/>
    <w:rsid w:val="003A0306"/>
    <w:rsid w:val="003A11EE"/>
    <w:rsid w:val="003B2259"/>
    <w:rsid w:val="003B52AF"/>
    <w:rsid w:val="003B64F7"/>
    <w:rsid w:val="003C12E2"/>
    <w:rsid w:val="003C441F"/>
    <w:rsid w:val="003D1038"/>
    <w:rsid w:val="003D33A9"/>
    <w:rsid w:val="003D3E03"/>
    <w:rsid w:val="003D4211"/>
    <w:rsid w:val="003D4E39"/>
    <w:rsid w:val="003D5325"/>
    <w:rsid w:val="003D5EB0"/>
    <w:rsid w:val="003D7ECB"/>
    <w:rsid w:val="003E0B52"/>
    <w:rsid w:val="003E1C2D"/>
    <w:rsid w:val="003E403F"/>
    <w:rsid w:val="003E4614"/>
    <w:rsid w:val="003E4EFB"/>
    <w:rsid w:val="003F1039"/>
    <w:rsid w:val="00402C07"/>
    <w:rsid w:val="00403FBD"/>
    <w:rsid w:val="00404308"/>
    <w:rsid w:val="00404A8F"/>
    <w:rsid w:val="004056DA"/>
    <w:rsid w:val="004076D6"/>
    <w:rsid w:val="00410847"/>
    <w:rsid w:val="00417913"/>
    <w:rsid w:val="004203FE"/>
    <w:rsid w:val="00420B38"/>
    <w:rsid w:val="00421A46"/>
    <w:rsid w:val="00427B63"/>
    <w:rsid w:val="0043098A"/>
    <w:rsid w:val="00440757"/>
    <w:rsid w:val="0044265D"/>
    <w:rsid w:val="004428CE"/>
    <w:rsid w:val="00446EB7"/>
    <w:rsid w:val="00457CF3"/>
    <w:rsid w:val="004604C7"/>
    <w:rsid w:val="00460F89"/>
    <w:rsid w:val="0046445C"/>
    <w:rsid w:val="00464A6A"/>
    <w:rsid w:val="00465D39"/>
    <w:rsid w:val="004719E8"/>
    <w:rsid w:val="00472CDA"/>
    <w:rsid w:val="00473C20"/>
    <w:rsid w:val="00474970"/>
    <w:rsid w:val="00474D34"/>
    <w:rsid w:val="0047615C"/>
    <w:rsid w:val="00481C3F"/>
    <w:rsid w:val="00482052"/>
    <w:rsid w:val="00486C07"/>
    <w:rsid w:val="00491B61"/>
    <w:rsid w:val="00492881"/>
    <w:rsid w:val="00493377"/>
    <w:rsid w:val="00494AD7"/>
    <w:rsid w:val="004977FD"/>
    <w:rsid w:val="004A4C9D"/>
    <w:rsid w:val="004A5099"/>
    <w:rsid w:val="004A77AF"/>
    <w:rsid w:val="004B7E3E"/>
    <w:rsid w:val="004D1CBD"/>
    <w:rsid w:val="004D62D2"/>
    <w:rsid w:val="004E2658"/>
    <w:rsid w:val="004E2F0E"/>
    <w:rsid w:val="004E37E2"/>
    <w:rsid w:val="004E4052"/>
    <w:rsid w:val="004F7FE8"/>
    <w:rsid w:val="00500D9C"/>
    <w:rsid w:val="00502C16"/>
    <w:rsid w:val="00504461"/>
    <w:rsid w:val="00505559"/>
    <w:rsid w:val="00507748"/>
    <w:rsid w:val="0051368B"/>
    <w:rsid w:val="00517113"/>
    <w:rsid w:val="00523A1E"/>
    <w:rsid w:val="00523B84"/>
    <w:rsid w:val="00524485"/>
    <w:rsid w:val="0052470E"/>
    <w:rsid w:val="00531247"/>
    <w:rsid w:val="005330EE"/>
    <w:rsid w:val="0053398E"/>
    <w:rsid w:val="00534C32"/>
    <w:rsid w:val="00544A6C"/>
    <w:rsid w:val="00545774"/>
    <w:rsid w:val="00545836"/>
    <w:rsid w:val="00546935"/>
    <w:rsid w:val="00547ABB"/>
    <w:rsid w:val="005553CF"/>
    <w:rsid w:val="00557082"/>
    <w:rsid w:val="00561B06"/>
    <w:rsid w:val="005644B0"/>
    <w:rsid w:val="00565DA2"/>
    <w:rsid w:val="00565F4A"/>
    <w:rsid w:val="00572CA8"/>
    <w:rsid w:val="00574537"/>
    <w:rsid w:val="00575353"/>
    <w:rsid w:val="00575A45"/>
    <w:rsid w:val="00576D08"/>
    <w:rsid w:val="00581D72"/>
    <w:rsid w:val="0058635D"/>
    <w:rsid w:val="00586ABD"/>
    <w:rsid w:val="00587563"/>
    <w:rsid w:val="00591690"/>
    <w:rsid w:val="00592FFD"/>
    <w:rsid w:val="0059409C"/>
    <w:rsid w:val="005A0610"/>
    <w:rsid w:val="005A2E6A"/>
    <w:rsid w:val="005A3A8D"/>
    <w:rsid w:val="005A530F"/>
    <w:rsid w:val="005A625F"/>
    <w:rsid w:val="005A6E25"/>
    <w:rsid w:val="005A7D75"/>
    <w:rsid w:val="005B06C8"/>
    <w:rsid w:val="005B25CF"/>
    <w:rsid w:val="005B4CDD"/>
    <w:rsid w:val="005C31B7"/>
    <w:rsid w:val="005C363E"/>
    <w:rsid w:val="005C40D5"/>
    <w:rsid w:val="005C76FE"/>
    <w:rsid w:val="005D2C80"/>
    <w:rsid w:val="005D3D16"/>
    <w:rsid w:val="005D517C"/>
    <w:rsid w:val="005D617A"/>
    <w:rsid w:val="005E040E"/>
    <w:rsid w:val="005E06FF"/>
    <w:rsid w:val="005E0E22"/>
    <w:rsid w:val="005E165C"/>
    <w:rsid w:val="005E1793"/>
    <w:rsid w:val="005E21E8"/>
    <w:rsid w:val="005E4DF2"/>
    <w:rsid w:val="005F3197"/>
    <w:rsid w:val="005F5A47"/>
    <w:rsid w:val="005F7DA1"/>
    <w:rsid w:val="00603FFC"/>
    <w:rsid w:val="00604030"/>
    <w:rsid w:val="00610532"/>
    <w:rsid w:val="00616477"/>
    <w:rsid w:val="00623E99"/>
    <w:rsid w:val="00624B92"/>
    <w:rsid w:val="006316A6"/>
    <w:rsid w:val="00631E59"/>
    <w:rsid w:val="00632917"/>
    <w:rsid w:val="00634A53"/>
    <w:rsid w:val="006366CF"/>
    <w:rsid w:val="00640959"/>
    <w:rsid w:val="006413CB"/>
    <w:rsid w:val="006413E8"/>
    <w:rsid w:val="00643B00"/>
    <w:rsid w:val="006505C4"/>
    <w:rsid w:val="0065063E"/>
    <w:rsid w:val="00651180"/>
    <w:rsid w:val="0065384F"/>
    <w:rsid w:val="00653FA7"/>
    <w:rsid w:val="0065500F"/>
    <w:rsid w:val="00655E00"/>
    <w:rsid w:val="006641D3"/>
    <w:rsid w:val="00665A5B"/>
    <w:rsid w:val="006663A4"/>
    <w:rsid w:val="006705D6"/>
    <w:rsid w:val="00673F30"/>
    <w:rsid w:val="00676656"/>
    <w:rsid w:val="00677B05"/>
    <w:rsid w:val="00683744"/>
    <w:rsid w:val="00684CE7"/>
    <w:rsid w:val="00684DDC"/>
    <w:rsid w:val="0068666C"/>
    <w:rsid w:val="006876A4"/>
    <w:rsid w:val="00687F40"/>
    <w:rsid w:val="006A0223"/>
    <w:rsid w:val="006A0237"/>
    <w:rsid w:val="006A3C3C"/>
    <w:rsid w:val="006A626B"/>
    <w:rsid w:val="006A7506"/>
    <w:rsid w:val="006A7869"/>
    <w:rsid w:val="006C25BF"/>
    <w:rsid w:val="006C36EC"/>
    <w:rsid w:val="006C4D53"/>
    <w:rsid w:val="006C5BAB"/>
    <w:rsid w:val="006C6053"/>
    <w:rsid w:val="006C61C0"/>
    <w:rsid w:val="006D0456"/>
    <w:rsid w:val="006D32A1"/>
    <w:rsid w:val="006E0894"/>
    <w:rsid w:val="006E226A"/>
    <w:rsid w:val="006E3ED1"/>
    <w:rsid w:val="006E7FBE"/>
    <w:rsid w:val="006F0B63"/>
    <w:rsid w:val="00702F8A"/>
    <w:rsid w:val="00704210"/>
    <w:rsid w:val="00704833"/>
    <w:rsid w:val="007107DD"/>
    <w:rsid w:val="00716246"/>
    <w:rsid w:val="00716897"/>
    <w:rsid w:val="007172EF"/>
    <w:rsid w:val="00721A1D"/>
    <w:rsid w:val="007242BD"/>
    <w:rsid w:val="007251D7"/>
    <w:rsid w:val="0072555E"/>
    <w:rsid w:val="00725AF3"/>
    <w:rsid w:val="00726C6E"/>
    <w:rsid w:val="0073438D"/>
    <w:rsid w:val="00734763"/>
    <w:rsid w:val="007403CF"/>
    <w:rsid w:val="007433BB"/>
    <w:rsid w:val="0074406B"/>
    <w:rsid w:val="00753B00"/>
    <w:rsid w:val="00761BE8"/>
    <w:rsid w:val="00764960"/>
    <w:rsid w:val="007654CF"/>
    <w:rsid w:val="007674D1"/>
    <w:rsid w:val="0076760E"/>
    <w:rsid w:val="00771A86"/>
    <w:rsid w:val="00775A73"/>
    <w:rsid w:val="00776973"/>
    <w:rsid w:val="00776B0A"/>
    <w:rsid w:val="00780CFD"/>
    <w:rsid w:val="00782D6B"/>
    <w:rsid w:val="00784586"/>
    <w:rsid w:val="00785BF8"/>
    <w:rsid w:val="00791876"/>
    <w:rsid w:val="00791E09"/>
    <w:rsid w:val="00794369"/>
    <w:rsid w:val="007C1542"/>
    <w:rsid w:val="007C15D8"/>
    <w:rsid w:val="007C319A"/>
    <w:rsid w:val="007C3C40"/>
    <w:rsid w:val="007C60AB"/>
    <w:rsid w:val="007C683A"/>
    <w:rsid w:val="007C68B7"/>
    <w:rsid w:val="007D03B1"/>
    <w:rsid w:val="007E1ECC"/>
    <w:rsid w:val="007E2A18"/>
    <w:rsid w:val="007E4E79"/>
    <w:rsid w:val="007F086D"/>
    <w:rsid w:val="007F2152"/>
    <w:rsid w:val="007F250E"/>
    <w:rsid w:val="007F29D5"/>
    <w:rsid w:val="007F6181"/>
    <w:rsid w:val="0080258B"/>
    <w:rsid w:val="008027F8"/>
    <w:rsid w:val="00802F8F"/>
    <w:rsid w:val="00803D22"/>
    <w:rsid w:val="008101CA"/>
    <w:rsid w:val="0081082F"/>
    <w:rsid w:val="00815A15"/>
    <w:rsid w:val="00817C59"/>
    <w:rsid w:val="0082077F"/>
    <w:rsid w:val="00821D91"/>
    <w:rsid w:val="00822C07"/>
    <w:rsid w:val="00822DB7"/>
    <w:rsid w:val="008230ED"/>
    <w:rsid w:val="008306E5"/>
    <w:rsid w:val="00830FA8"/>
    <w:rsid w:val="008328F9"/>
    <w:rsid w:val="00834934"/>
    <w:rsid w:val="00834E07"/>
    <w:rsid w:val="008354BE"/>
    <w:rsid w:val="00837C57"/>
    <w:rsid w:val="008409E5"/>
    <w:rsid w:val="0084187C"/>
    <w:rsid w:val="00841F4D"/>
    <w:rsid w:val="0084263C"/>
    <w:rsid w:val="00843F3D"/>
    <w:rsid w:val="00852D9B"/>
    <w:rsid w:val="008567EE"/>
    <w:rsid w:val="008640DB"/>
    <w:rsid w:val="0086530C"/>
    <w:rsid w:val="00871BBB"/>
    <w:rsid w:val="00875ABC"/>
    <w:rsid w:val="00875D62"/>
    <w:rsid w:val="008815E0"/>
    <w:rsid w:val="00887491"/>
    <w:rsid w:val="0089122B"/>
    <w:rsid w:val="00894B3C"/>
    <w:rsid w:val="0089594E"/>
    <w:rsid w:val="0089766F"/>
    <w:rsid w:val="008A1332"/>
    <w:rsid w:val="008A1A4B"/>
    <w:rsid w:val="008A2D55"/>
    <w:rsid w:val="008A4E5E"/>
    <w:rsid w:val="008A53FC"/>
    <w:rsid w:val="008B1547"/>
    <w:rsid w:val="008B1A45"/>
    <w:rsid w:val="008B3FF6"/>
    <w:rsid w:val="008B42D2"/>
    <w:rsid w:val="008B6508"/>
    <w:rsid w:val="008B6972"/>
    <w:rsid w:val="008C2575"/>
    <w:rsid w:val="008C2A47"/>
    <w:rsid w:val="008C5D5B"/>
    <w:rsid w:val="008D1EC3"/>
    <w:rsid w:val="008D27C3"/>
    <w:rsid w:val="008D6A9E"/>
    <w:rsid w:val="008E020A"/>
    <w:rsid w:val="008E2368"/>
    <w:rsid w:val="008E4AEA"/>
    <w:rsid w:val="008E51EE"/>
    <w:rsid w:val="008E7A88"/>
    <w:rsid w:val="008F05C1"/>
    <w:rsid w:val="008F0EAE"/>
    <w:rsid w:val="008F1605"/>
    <w:rsid w:val="008F2004"/>
    <w:rsid w:val="008F2A0B"/>
    <w:rsid w:val="008F2C33"/>
    <w:rsid w:val="008F6F24"/>
    <w:rsid w:val="008F7D79"/>
    <w:rsid w:val="009000A7"/>
    <w:rsid w:val="009029E3"/>
    <w:rsid w:val="00907AB3"/>
    <w:rsid w:val="0091097E"/>
    <w:rsid w:val="00911B75"/>
    <w:rsid w:val="009148E6"/>
    <w:rsid w:val="00917BD4"/>
    <w:rsid w:val="009203D7"/>
    <w:rsid w:val="00923897"/>
    <w:rsid w:val="009261D4"/>
    <w:rsid w:val="00927C49"/>
    <w:rsid w:val="009336EF"/>
    <w:rsid w:val="00935C76"/>
    <w:rsid w:val="00935E39"/>
    <w:rsid w:val="009366A5"/>
    <w:rsid w:val="009417F9"/>
    <w:rsid w:val="009444C1"/>
    <w:rsid w:val="00947B37"/>
    <w:rsid w:val="00950B2E"/>
    <w:rsid w:val="009569E3"/>
    <w:rsid w:val="009601E8"/>
    <w:rsid w:val="00962AAD"/>
    <w:rsid w:val="009705A8"/>
    <w:rsid w:val="009728A3"/>
    <w:rsid w:val="00972D55"/>
    <w:rsid w:val="00973850"/>
    <w:rsid w:val="0097693E"/>
    <w:rsid w:val="009778BF"/>
    <w:rsid w:val="00980CC6"/>
    <w:rsid w:val="00981591"/>
    <w:rsid w:val="00982BA7"/>
    <w:rsid w:val="00986155"/>
    <w:rsid w:val="0098689C"/>
    <w:rsid w:val="00986E95"/>
    <w:rsid w:val="009925C6"/>
    <w:rsid w:val="00993976"/>
    <w:rsid w:val="00993E0D"/>
    <w:rsid w:val="009942E3"/>
    <w:rsid w:val="0099563A"/>
    <w:rsid w:val="00995AC3"/>
    <w:rsid w:val="00996F23"/>
    <w:rsid w:val="009977D4"/>
    <w:rsid w:val="009A0586"/>
    <w:rsid w:val="009A1947"/>
    <w:rsid w:val="009A55E6"/>
    <w:rsid w:val="009A5EE5"/>
    <w:rsid w:val="009A6437"/>
    <w:rsid w:val="009A68A9"/>
    <w:rsid w:val="009A6D31"/>
    <w:rsid w:val="009B2E4B"/>
    <w:rsid w:val="009B65DB"/>
    <w:rsid w:val="009C13A4"/>
    <w:rsid w:val="009C2B3C"/>
    <w:rsid w:val="009C5C8A"/>
    <w:rsid w:val="009C74E6"/>
    <w:rsid w:val="009C7E50"/>
    <w:rsid w:val="009D0AEE"/>
    <w:rsid w:val="009D0AF5"/>
    <w:rsid w:val="009D3D62"/>
    <w:rsid w:val="009E0DE3"/>
    <w:rsid w:val="009E3C79"/>
    <w:rsid w:val="009F7087"/>
    <w:rsid w:val="00A10187"/>
    <w:rsid w:val="00A1191A"/>
    <w:rsid w:val="00A11A9E"/>
    <w:rsid w:val="00A127D5"/>
    <w:rsid w:val="00A179B3"/>
    <w:rsid w:val="00A2240F"/>
    <w:rsid w:val="00A22BD6"/>
    <w:rsid w:val="00A238A9"/>
    <w:rsid w:val="00A264C8"/>
    <w:rsid w:val="00A2679C"/>
    <w:rsid w:val="00A3097D"/>
    <w:rsid w:val="00A33823"/>
    <w:rsid w:val="00A338F9"/>
    <w:rsid w:val="00A40473"/>
    <w:rsid w:val="00A4448B"/>
    <w:rsid w:val="00A44ED4"/>
    <w:rsid w:val="00A51B63"/>
    <w:rsid w:val="00A533D0"/>
    <w:rsid w:val="00A60F55"/>
    <w:rsid w:val="00A630C0"/>
    <w:rsid w:val="00A631FC"/>
    <w:rsid w:val="00A63878"/>
    <w:rsid w:val="00A63B37"/>
    <w:rsid w:val="00A77942"/>
    <w:rsid w:val="00A8658B"/>
    <w:rsid w:val="00A873C9"/>
    <w:rsid w:val="00A907E8"/>
    <w:rsid w:val="00A94422"/>
    <w:rsid w:val="00A9489C"/>
    <w:rsid w:val="00A963D5"/>
    <w:rsid w:val="00A96CC9"/>
    <w:rsid w:val="00AA116A"/>
    <w:rsid w:val="00AA19D6"/>
    <w:rsid w:val="00AA2866"/>
    <w:rsid w:val="00AA3804"/>
    <w:rsid w:val="00AA5E5C"/>
    <w:rsid w:val="00AB3729"/>
    <w:rsid w:val="00AB57D3"/>
    <w:rsid w:val="00AB7D5C"/>
    <w:rsid w:val="00AC7F31"/>
    <w:rsid w:val="00AD2B24"/>
    <w:rsid w:val="00AD5AB5"/>
    <w:rsid w:val="00AD742B"/>
    <w:rsid w:val="00AD751C"/>
    <w:rsid w:val="00AE17C2"/>
    <w:rsid w:val="00AE3D73"/>
    <w:rsid w:val="00AE7859"/>
    <w:rsid w:val="00AF0189"/>
    <w:rsid w:val="00AF5D75"/>
    <w:rsid w:val="00B005B8"/>
    <w:rsid w:val="00B04B89"/>
    <w:rsid w:val="00B05426"/>
    <w:rsid w:val="00B11133"/>
    <w:rsid w:val="00B1352D"/>
    <w:rsid w:val="00B150E8"/>
    <w:rsid w:val="00B214A1"/>
    <w:rsid w:val="00B26D26"/>
    <w:rsid w:val="00B360FA"/>
    <w:rsid w:val="00B363B1"/>
    <w:rsid w:val="00B51546"/>
    <w:rsid w:val="00B5276A"/>
    <w:rsid w:val="00B61443"/>
    <w:rsid w:val="00B61DF0"/>
    <w:rsid w:val="00B632BB"/>
    <w:rsid w:val="00B64D25"/>
    <w:rsid w:val="00B70434"/>
    <w:rsid w:val="00B7194E"/>
    <w:rsid w:val="00B731A2"/>
    <w:rsid w:val="00B75CF8"/>
    <w:rsid w:val="00B804B0"/>
    <w:rsid w:val="00B80BD5"/>
    <w:rsid w:val="00B81989"/>
    <w:rsid w:val="00B8428D"/>
    <w:rsid w:val="00B8455D"/>
    <w:rsid w:val="00B84FC8"/>
    <w:rsid w:val="00B90A90"/>
    <w:rsid w:val="00B94178"/>
    <w:rsid w:val="00B95642"/>
    <w:rsid w:val="00B9648B"/>
    <w:rsid w:val="00B97BD4"/>
    <w:rsid w:val="00BA0EE3"/>
    <w:rsid w:val="00BA5D83"/>
    <w:rsid w:val="00BB5DF4"/>
    <w:rsid w:val="00BB66E6"/>
    <w:rsid w:val="00BC0A3E"/>
    <w:rsid w:val="00BC5B5A"/>
    <w:rsid w:val="00BD01E9"/>
    <w:rsid w:val="00BD413E"/>
    <w:rsid w:val="00BD4902"/>
    <w:rsid w:val="00BD6E77"/>
    <w:rsid w:val="00BD7EBE"/>
    <w:rsid w:val="00BD7F3B"/>
    <w:rsid w:val="00BE3A11"/>
    <w:rsid w:val="00BE464B"/>
    <w:rsid w:val="00BE641D"/>
    <w:rsid w:val="00BE6F2C"/>
    <w:rsid w:val="00BE7B7C"/>
    <w:rsid w:val="00BF13B7"/>
    <w:rsid w:val="00BF1B79"/>
    <w:rsid w:val="00BF3882"/>
    <w:rsid w:val="00BF4312"/>
    <w:rsid w:val="00BF7275"/>
    <w:rsid w:val="00BF72AD"/>
    <w:rsid w:val="00C00FCD"/>
    <w:rsid w:val="00C030F6"/>
    <w:rsid w:val="00C04AD4"/>
    <w:rsid w:val="00C07FD3"/>
    <w:rsid w:val="00C11B7E"/>
    <w:rsid w:val="00C157AB"/>
    <w:rsid w:val="00C1699F"/>
    <w:rsid w:val="00C16A90"/>
    <w:rsid w:val="00C232CE"/>
    <w:rsid w:val="00C25198"/>
    <w:rsid w:val="00C266A4"/>
    <w:rsid w:val="00C32024"/>
    <w:rsid w:val="00C34468"/>
    <w:rsid w:val="00C362E0"/>
    <w:rsid w:val="00C3754E"/>
    <w:rsid w:val="00C404CB"/>
    <w:rsid w:val="00C44346"/>
    <w:rsid w:val="00C454B6"/>
    <w:rsid w:val="00C469C2"/>
    <w:rsid w:val="00C46D53"/>
    <w:rsid w:val="00C55535"/>
    <w:rsid w:val="00C55AB2"/>
    <w:rsid w:val="00C5613F"/>
    <w:rsid w:val="00C561EE"/>
    <w:rsid w:val="00C573C5"/>
    <w:rsid w:val="00C5793F"/>
    <w:rsid w:val="00C6483B"/>
    <w:rsid w:val="00C66616"/>
    <w:rsid w:val="00C704FE"/>
    <w:rsid w:val="00C7160A"/>
    <w:rsid w:val="00C7625C"/>
    <w:rsid w:val="00C769DB"/>
    <w:rsid w:val="00C774FF"/>
    <w:rsid w:val="00C8345F"/>
    <w:rsid w:val="00C848DF"/>
    <w:rsid w:val="00C84DEF"/>
    <w:rsid w:val="00C8707C"/>
    <w:rsid w:val="00C87217"/>
    <w:rsid w:val="00C87D5C"/>
    <w:rsid w:val="00C91E32"/>
    <w:rsid w:val="00C92AB8"/>
    <w:rsid w:val="00C93F59"/>
    <w:rsid w:val="00C94B2E"/>
    <w:rsid w:val="00C95FA2"/>
    <w:rsid w:val="00C96D09"/>
    <w:rsid w:val="00C978A5"/>
    <w:rsid w:val="00CA0822"/>
    <w:rsid w:val="00CA3CB0"/>
    <w:rsid w:val="00CA48E9"/>
    <w:rsid w:val="00CA4C41"/>
    <w:rsid w:val="00CA5954"/>
    <w:rsid w:val="00CA6C10"/>
    <w:rsid w:val="00CA70B7"/>
    <w:rsid w:val="00CB0119"/>
    <w:rsid w:val="00CB0268"/>
    <w:rsid w:val="00CB4F3F"/>
    <w:rsid w:val="00CB7E13"/>
    <w:rsid w:val="00CD60F9"/>
    <w:rsid w:val="00CE1435"/>
    <w:rsid w:val="00CE3FA0"/>
    <w:rsid w:val="00CE4529"/>
    <w:rsid w:val="00CE5CA9"/>
    <w:rsid w:val="00CE6CC1"/>
    <w:rsid w:val="00CF7987"/>
    <w:rsid w:val="00CF7F76"/>
    <w:rsid w:val="00D0088D"/>
    <w:rsid w:val="00D0112B"/>
    <w:rsid w:val="00D011F9"/>
    <w:rsid w:val="00D02E4F"/>
    <w:rsid w:val="00D05940"/>
    <w:rsid w:val="00D076BF"/>
    <w:rsid w:val="00D1196E"/>
    <w:rsid w:val="00D11AA8"/>
    <w:rsid w:val="00D12227"/>
    <w:rsid w:val="00D1561E"/>
    <w:rsid w:val="00D15A76"/>
    <w:rsid w:val="00D15FDB"/>
    <w:rsid w:val="00D1688E"/>
    <w:rsid w:val="00D1773B"/>
    <w:rsid w:val="00D17A48"/>
    <w:rsid w:val="00D232B9"/>
    <w:rsid w:val="00D25BA9"/>
    <w:rsid w:val="00D26A3A"/>
    <w:rsid w:val="00D3031F"/>
    <w:rsid w:val="00D33D40"/>
    <w:rsid w:val="00D33DA2"/>
    <w:rsid w:val="00D5073E"/>
    <w:rsid w:val="00D50AAA"/>
    <w:rsid w:val="00D517E0"/>
    <w:rsid w:val="00D54ABF"/>
    <w:rsid w:val="00D550C6"/>
    <w:rsid w:val="00D57DB5"/>
    <w:rsid w:val="00D60174"/>
    <w:rsid w:val="00D609F6"/>
    <w:rsid w:val="00D61EC9"/>
    <w:rsid w:val="00D624C1"/>
    <w:rsid w:val="00D639A0"/>
    <w:rsid w:val="00D666D1"/>
    <w:rsid w:val="00D67182"/>
    <w:rsid w:val="00D7264C"/>
    <w:rsid w:val="00D727FF"/>
    <w:rsid w:val="00D73164"/>
    <w:rsid w:val="00D7588F"/>
    <w:rsid w:val="00D81A2F"/>
    <w:rsid w:val="00D8271F"/>
    <w:rsid w:val="00D83355"/>
    <w:rsid w:val="00D85882"/>
    <w:rsid w:val="00D86198"/>
    <w:rsid w:val="00D871F8"/>
    <w:rsid w:val="00D91AA6"/>
    <w:rsid w:val="00D929F8"/>
    <w:rsid w:val="00D93F57"/>
    <w:rsid w:val="00DA125D"/>
    <w:rsid w:val="00DA17F5"/>
    <w:rsid w:val="00DA3F57"/>
    <w:rsid w:val="00DA5DD4"/>
    <w:rsid w:val="00DA73FA"/>
    <w:rsid w:val="00DA79DF"/>
    <w:rsid w:val="00DB4C0D"/>
    <w:rsid w:val="00DC0FEA"/>
    <w:rsid w:val="00DC1AF8"/>
    <w:rsid w:val="00DC1DF0"/>
    <w:rsid w:val="00DC2A35"/>
    <w:rsid w:val="00DC79F5"/>
    <w:rsid w:val="00DD0B3F"/>
    <w:rsid w:val="00DD2101"/>
    <w:rsid w:val="00DD5B1F"/>
    <w:rsid w:val="00DD5DE4"/>
    <w:rsid w:val="00DD7641"/>
    <w:rsid w:val="00DE03B5"/>
    <w:rsid w:val="00DE0F9E"/>
    <w:rsid w:val="00DE131A"/>
    <w:rsid w:val="00DE5475"/>
    <w:rsid w:val="00DE5E1A"/>
    <w:rsid w:val="00DF09F3"/>
    <w:rsid w:val="00DF0FE3"/>
    <w:rsid w:val="00DF4843"/>
    <w:rsid w:val="00E03AA5"/>
    <w:rsid w:val="00E05D94"/>
    <w:rsid w:val="00E06DC0"/>
    <w:rsid w:val="00E072DD"/>
    <w:rsid w:val="00E101A0"/>
    <w:rsid w:val="00E110B5"/>
    <w:rsid w:val="00E12FA6"/>
    <w:rsid w:val="00E136B6"/>
    <w:rsid w:val="00E150F9"/>
    <w:rsid w:val="00E15496"/>
    <w:rsid w:val="00E159DC"/>
    <w:rsid w:val="00E2152C"/>
    <w:rsid w:val="00E22167"/>
    <w:rsid w:val="00E26473"/>
    <w:rsid w:val="00E30568"/>
    <w:rsid w:val="00E316E5"/>
    <w:rsid w:val="00E42965"/>
    <w:rsid w:val="00E4334C"/>
    <w:rsid w:val="00E45693"/>
    <w:rsid w:val="00E46510"/>
    <w:rsid w:val="00E46AE4"/>
    <w:rsid w:val="00E52025"/>
    <w:rsid w:val="00E55A9B"/>
    <w:rsid w:val="00E62BAA"/>
    <w:rsid w:val="00E707A2"/>
    <w:rsid w:val="00E7204A"/>
    <w:rsid w:val="00E73CB0"/>
    <w:rsid w:val="00E76B9D"/>
    <w:rsid w:val="00E80642"/>
    <w:rsid w:val="00E80F24"/>
    <w:rsid w:val="00E83149"/>
    <w:rsid w:val="00E83686"/>
    <w:rsid w:val="00E84BFB"/>
    <w:rsid w:val="00E87749"/>
    <w:rsid w:val="00E90133"/>
    <w:rsid w:val="00E90149"/>
    <w:rsid w:val="00E9161F"/>
    <w:rsid w:val="00E92FB3"/>
    <w:rsid w:val="00EA179A"/>
    <w:rsid w:val="00EA1A13"/>
    <w:rsid w:val="00EA262E"/>
    <w:rsid w:val="00EA2C9D"/>
    <w:rsid w:val="00EA5196"/>
    <w:rsid w:val="00EB12E7"/>
    <w:rsid w:val="00EC1FF0"/>
    <w:rsid w:val="00EC207D"/>
    <w:rsid w:val="00EC6742"/>
    <w:rsid w:val="00ED0166"/>
    <w:rsid w:val="00ED7859"/>
    <w:rsid w:val="00EE1DFF"/>
    <w:rsid w:val="00EE4545"/>
    <w:rsid w:val="00EE4D4D"/>
    <w:rsid w:val="00EF0B4C"/>
    <w:rsid w:val="00EF1E64"/>
    <w:rsid w:val="00F018B3"/>
    <w:rsid w:val="00F048B0"/>
    <w:rsid w:val="00F11DC6"/>
    <w:rsid w:val="00F176DF"/>
    <w:rsid w:val="00F21350"/>
    <w:rsid w:val="00F24901"/>
    <w:rsid w:val="00F2617B"/>
    <w:rsid w:val="00F2661D"/>
    <w:rsid w:val="00F27A80"/>
    <w:rsid w:val="00F31BE4"/>
    <w:rsid w:val="00F3328A"/>
    <w:rsid w:val="00F34425"/>
    <w:rsid w:val="00F34C78"/>
    <w:rsid w:val="00F356C8"/>
    <w:rsid w:val="00F37F6F"/>
    <w:rsid w:val="00F456FF"/>
    <w:rsid w:val="00F47BC1"/>
    <w:rsid w:val="00F50481"/>
    <w:rsid w:val="00F517EF"/>
    <w:rsid w:val="00F55A35"/>
    <w:rsid w:val="00F561C0"/>
    <w:rsid w:val="00F57D7A"/>
    <w:rsid w:val="00F632B1"/>
    <w:rsid w:val="00F63F32"/>
    <w:rsid w:val="00F64D1A"/>
    <w:rsid w:val="00F67324"/>
    <w:rsid w:val="00F75AA1"/>
    <w:rsid w:val="00F8055A"/>
    <w:rsid w:val="00F81CC1"/>
    <w:rsid w:val="00F85B66"/>
    <w:rsid w:val="00F86223"/>
    <w:rsid w:val="00F9659A"/>
    <w:rsid w:val="00F96E8F"/>
    <w:rsid w:val="00FA22F6"/>
    <w:rsid w:val="00FA700D"/>
    <w:rsid w:val="00FA7F31"/>
    <w:rsid w:val="00FB2B34"/>
    <w:rsid w:val="00FB2F7B"/>
    <w:rsid w:val="00FB3C47"/>
    <w:rsid w:val="00FB4EE7"/>
    <w:rsid w:val="00FB6546"/>
    <w:rsid w:val="00FC117A"/>
    <w:rsid w:val="00FC3939"/>
    <w:rsid w:val="00FC47AE"/>
    <w:rsid w:val="00FC5C8A"/>
    <w:rsid w:val="00FD3275"/>
    <w:rsid w:val="00FD45A7"/>
    <w:rsid w:val="00FD795D"/>
    <w:rsid w:val="00FE0CE0"/>
    <w:rsid w:val="00FE270E"/>
    <w:rsid w:val="00FE4242"/>
    <w:rsid w:val="00FE6ACD"/>
    <w:rsid w:val="00FF00C5"/>
    <w:rsid w:val="00FF10B9"/>
    <w:rsid w:val="00FF5A56"/>
    <w:rsid w:val="00FF6CD7"/>
    <w:rsid w:val="00FF6D99"/>
    <w:rsid w:val="0A16BB65"/>
    <w:rsid w:val="0EE3AB33"/>
    <w:rsid w:val="19B996AF"/>
    <w:rsid w:val="27855996"/>
    <w:rsid w:val="5523FEF6"/>
    <w:rsid w:val="56D633FD"/>
    <w:rsid w:val="58214CFE"/>
    <w:rsid w:val="603D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403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0A90"/>
    <w:pPr>
      <w:tabs>
        <w:tab w:val="left" w:pos="284"/>
        <w:tab w:val="left" w:pos="567"/>
        <w:tab w:val="left" w:pos="851"/>
        <w:tab w:val="left" w:pos="1985"/>
        <w:tab w:val="left" w:pos="3119"/>
        <w:tab w:val="left" w:pos="4253"/>
        <w:tab w:val="right" w:pos="7655"/>
      </w:tabs>
      <w:spacing w:after="0" w:line="280" w:lineRule="exact"/>
    </w:pPr>
    <w:rPr>
      <w:rFonts w:ascii="Helvetica 45 Light" w:eastAsia="Times" w:hAnsi="Helvetica 45 Light" w:cs="Times New Roman"/>
      <w:kern w:val="0"/>
      <w:sz w:val="20"/>
      <w:szCs w:val="20"/>
      <w:lang w:eastAsia="en-GB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3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3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3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33A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33A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33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33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33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33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33A9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D3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33A9"/>
    <w:pPr>
      <w:numPr>
        <w:ilvl w:val="1"/>
      </w:num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D3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33A9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D33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33A9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D33A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3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33A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33A9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semiHidden/>
    <w:rsid w:val="00B90A90"/>
    <w:pPr>
      <w:tabs>
        <w:tab w:val="clear" w:pos="284"/>
        <w:tab w:val="clear" w:pos="567"/>
        <w:tab w:val="clear" w:pos="851"/>
        <w:tab w:val="clear" w:pos="7655"/>
      </w:tabs>
      <w:spacing w:line="160" w:lineRule="exact"/>
    </w:pPr>
    <w:rPr>
      <w:sz w:val="12"/>
    </w:rPr>
  </w:style>
  <w:style w:type="character" w:customStyle="1" w:styleId="StopkaZnak">
    <w:name w:val="Stopka Znak"/>
    <w:basedOn w:val="Domylnaczcionkaakapitu"/>
    <w:link w:val="Stopka"/>
    <w:semiHidden/>
    <w:rsid w:val="00B90A90"/>
    <w:rPr>
      <w:rFonts w:ascii="Helvetica 45 Light" w:eastAsia="Times" w:hAnsi="Helvetica 45 Light" w:cs="Times New Roman"/>
      <w:kern w:val="0"/>
      <w:sz w:val="12"/>
      <w:szCs w:val="20"/>
      <w:lang w:eastAsia="en-GB"/>
      <w14:ligatures w14:val="none"/>
    </w:rPr>
  </w:style>
  <w:style w:type="paragraph" w:styleId="Nagwek">
    <w:name w:val="header"/>
    <w:basedOn w:val="Normalny"/>
    <w:link w:val="NagwekZnak"/>
    <w:rsid w:val="00B90A90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rsid w:val="00B90A90"/>
    <w:rPr>
      <w:rFonts w:ascii="Helvetica 45 Light" w:eastAsia="Times" w:hAnsi="Helvetica 45 Light" w:cs="Times New Roman"/>
      <w:kern w:val="0"/>
      <w:sz w:val="20"/>
      <w:szCs w:val="20"/>
      <w:lang w:eastAsia="en-GB"/>
      <w14:ligatures w14:val="none"/>
    </w:rPr>
  </w:style>
  <w:style w:type="paragraph" w:customStyle="1" w:styleId="Legalentity">
    <w:name w:val="Legal entity"/>
    <w:basedOn w:val="Normalny"/>
    <w:rsid w:val="00B90A90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after="90" w:line="180" w:lineRule="atLeast"/>
      <w:textAlignment w:val="center"/>
    </w:pPr>
    <w:rPr>
      <w:rFonts w:ascii="ArialMT" w:eastAsia="Times New Roman" w:hAnsi="ArialMT"/>
      <w:color w:val="000000"/>
      <w:sz w:val="15"/>
    </w:rPr>
  </w:style>
  <w:style w:type="character" w:styleId="Hipercze">
    <w:name w:val="Hyperlink"/>
    <w:rsid w:val="00B90A90"/>
    <w:rPr>
      <w:color w:val="0000FF"/>
      <w:u w:val="single"/>
    </w:rPr>
  </w:style>
  <w:style w:type="paragraph" w:customStyle="1" w:styleId="Fax">
    <w:name w:val="Fax"/>
    <w:basedOn w:val="Normalny"/>
    <w:rsid w:val="00B90A90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Garamond3LTStd" w:eastAsia="Times New Roman" w:hAnsi="Garamond3LTStd"/>
      <w:color w:val="000000"/>
      <w:sz w:val="56"/>
    </w:rPr>
  </w:style>
  <w:style w:type="paragraph" w:customStyle="1" w:styleId="Maintext">
    <w:name w:val="Main text"/>
    <w:basedOn w:val="Normalny"/>
    <w:rsid w:val="00B90A90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ascii="Times New Roman" w:eastAsia="Times New Roman" w:hAnsi="Times New Roman"/>
      <w:color w:val="000000"/>
    </w:rPr>
  </w:style>
  <w:style w:type="paragraph" w:customStyle="1" w:styleId="Amember">
    <w:name w:val="A member"/>
    <w:basedOn w:val="Normalny"/>
    <w:rsid w:val="00B90A90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160" w:lineRule="atLeast"/>
      <w:textAlignment w:val="center"/>
    </w:pPr>
    <w:rPr>
      <w:rFonts w:ascii="FrutigerNextPro-Light" w:eastAsia="Times New Roman" w:hAnsi="FrutigerNextPro-Light"/>
      <w:color w:val="000000"/>
      <w:sz w:val="14"/>
    </w:rPr>
  </w:style>
  <w:style w:type="paragraph" w:styleId="NormalnyWeb">
    <w:name w:val="Normal (Web)"/>
    <w:basedOn w:val="Normalny"/>
    <w:uiPriority w:val="99"/>
    <w:semiHidden/>
    <w:unhideWhenUsed/>
    <w:rsid w:val="00330D8A"/>
    <w:rPr>
      <w:rFonts w:ascii="Times New Roman" w:hAnsi="Times New Roman"/>
      <w:sz w:val="24"/>
      <w:szCs w:val="24"/>
    </w:rPr>
  </w:style>
  <w:style w:type="paragraph" w:styleId="Poprawka">
    <w:name w:val="Revision"/>
    <w:hidden/>
    <w:uiPriority w:val="99"/>
    <w:semiHidden/>
    <w:rsid w:val="00472CDA"/>
    <w:pPr>
      <w:spacing w:after="0" w:line="240" w:lineRule="auto"/>
    </w:pPr>
    <w:rPr>
      <w:rFonts w:ascii="Helvetica 45 Light" w:eastAsia="Times" w:hAnsi="Helvetica 45 Light" w:cs="Times New Roman"/>
      <w:kern w:val="0"/>
      <w:sz w:val="20"/>
      <w:szCs w:val="20"/>
      <w:lang w:eastAsia="en-GB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58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5836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5836"/>
    <w:rPr>
      <w:rFonts w:ascii="Helvetica 45 Light" w:eastAsia="Times" w:hAnsi="Helvetica 45 Light" w:cs="Times New Roman"/>
      <w:kern w:val="0"/>
      <w:sz w:val="20"/>
      <w:szCs w:val="20"/>
      <w:lang w:eastAsia="en-GB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58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5836"/>
    <w:rPr>
      <w:rFonts w:ascii="Helvetica 45 Light" w:eastAsia="Times" w:hAnsi="Helvetica 45 Light" w:cs="Times New Roman"/>
      <w:b/>
      <w:bCs/>
      <w:kern w:val="0"/>
      <w:sz w:val="20"/>
      <w:szCs w:val="20"/>
      <w:lang w:eastAsia="en-GB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134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A48E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2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29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5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53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2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0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76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15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edia@deloittece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deloitte.com/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hyperlink" Target="https://www.deloitte.com/global/en/industries/investment-management/perspectives/raising-the-game.html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eloitte.com/pl/pl/about/press-room/Ponad-polowa-funduszy-private-equity-w-Europie-Srodkowej-planuje-przede-wszystkim-skupic-sie-na-nowych-inwestycjach.htm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2.deloitte.com/pl/pl.html" TargetMode="External"/><Relationship Id="rId1" Type="http://schemas.openxmlformats.org/officeDocument/2006/relationships/hyperlink" Target="http://www.deloitte.com/pl/ona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011db4-53a2-4d1b-82ae-320485071b7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332A36832A0A41A9315B265E6415BB" ma:contentTypeVersion="17" ma:contentTypeDescription="Utwórz nowy dokument." ma:contentTypeScope="" ma:versionID="a36ebb67b5e275a3f1e5673c68bc197c">
  <xsd:schema xmlns:xsd="http://www.w3.org/2001/XMLSchema" xmlns:xs="http://www.w3.org/2001/XMLSchema" xmlns:p="http://schemas.microsoft.com/office/2006/metadata/properties" xmlns:ns2="8a011db4-53a2-4d1b-82ae-320485071b7a" xmlns:ns3="deeda2bc-8a38-4937-ba20-8ba6d0b056de" targetNamespace="http://schemas.microsoft.com/office/2006/metadata/properties" ma:root="true" ma:fieldsID="3f69eb575d3c42eca7b59634f4d6b5ba" ns2:_="" ns3:_="">
    <xsd:import namespace="8a011db4-53a2-4d1b-82ae-320485071b7a"/>
    <xsd:import namespace="deeda2bc-8a38-4937-ba20-8ba6d0b056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11db4-53a2-4d1b-82ae-320485071b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da2bc-8a38-4937-ba20-8ba6d0b056d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90ECFC-5DEF-4510-9F0D-E6A5399E0D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C818CB-ED0C-49A5-82D1-523BC3FA68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D5111B-FFE6-42C5-9116-8EAC8A6C7198}">
  <ds:schemaRefs>
    <ds:schemaRef ds:uri="http://schemas.microsoft.com/office/2006/metadata/properties"/>
    <ds:schemaRef ds:uri="http://schemas.microsoft.com/office/infopath/2007/PartnerControls"/>
    <ds:schemaRef ds:uri="8a011db4-53a2-4d1b-82ae-320485071b7a"/>
  </ds:schemaRefs>
</ds:datastoreItem>
</file>

<file path=customXml/itemProps4.xml><?xml version="1.0" encoding="utf-8"?>
<ds:datastoreItem xmlns:ds="http://schemas.openxmlformats.org/officeDocument/2006/customXml" ds:itemID="{3E61AD46-13E8-48B4-AA52-0EDC142E7CE2}"/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1143</Words>
  <Characters>6861</Characters>
  <Application>Microsoft Office Word</Application>
  <DocSecurity>0</DocSecurity>
  <Lines>57</Lines>
  <Paragraphs>15</Paragraphs>
  <ScaleCrop>false</ScaleCrop>
  <Company/>
  <LinksUpToDate>false</LinksUpToDate>
  <CharactersWithSpaces>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2026-10-07T06:08:00Z</dcterms:created>
  <dcterms:modified xsi:type="dcterms:W3CDTF">2026-10-07T10:48:00Z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ContentBits">
    <vt:lpwstr>0</vt:lpwstr>
  </property>
  <property fmtid="{D5CDD505-2E9C-101B-9397-08002B2CF9AE}" pid="3" name="MSIP_Label_ea60d57e-af5b-4752-ac57-3e4f28ca11dc_Enabled">
    <vt:lpwstr>true</vt:lpwstr>
  </property>
  <property fmtid="{D5CDD505-2E9C-101B-9397-08002B2CF9AE}" pid="4" name="MSIP_Label_ea60d57e-af5b-4752-ac57-3e4f28ca11dc_Name">
    <vt:lpwstr>ea60d57e-af5b-4752-ac57-3e4f28ca11dc</vt:lpwstr>
  </property>
  <property fmtid="{D5CDD505-2E9C-101B-9397-08002B2CF9AE}" pid="5" name="MediaServiceImageTags">
    <vt:lpwstr/>
  </property>
  <property fmtid="{D5CDD505-2E9C-101B-9397-08002B2CF9AE}" pid="6" name="MSIP_Label_ea60d57e-af5b-4752-ac57-3e4f28ca11dc_SetDate">
    <vt:lpwstr>2025-01-27T16:08:32Z</vt:lpwstr>
  </property>
  <property fmtid="{D5CDD505-2E9C-101B-9397-08002B2CF9AE}" pid="7" name="ContentTypeId">
    <vt:lpwstr>0x01010026332A36832A0A41A9315B265E6415BB</vt:lpwstr>
  </property>
  <property fmtid="{D5CDD505-2E9C-101B-9397-08002B2CF9AE}" pid="8" name="MSIP_Label_ea60d57e-af5b-4752-ac57-3e4f28ca11dc_ActionId">
    <vt:lpwstr>56797f46-c109-4c93-824b-4c2ca52b426b</vt:lpwstr>
  </property>
  <property fmtid="{D5CDD505-2E9C-101B-9397-08002B2CF9AE}" pid="9" name="MSIP_Label_ea60d57e-af5b-4752-ac57-3e4f28ca11dc_SiteId">
    <vt:lpwstr>36da45f1-dd2c-4d1f-af13-5abe46b99921</vt:lpwstr>
  </property>
  <property fmtid="{D5CDD505-2E9C-101B-9397-08002B2CF9AE}" pid="10" name="MSIP_Label_ea60d57e-af5b-4752-ac57-3e4f28ca11dc_Method">
    <vt:lpwstr>Standard</vt:lpwstr>
  </property>
</Properties>
</file>