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B6E3E" w14:textId="77777777" w:rsidR="00993A83" w:rsidRPr="00086B5B" w:rsidRDefault="00993A83" w:rsidP="007D1686">
      <w:pPr>
        <w:pStyle w:val="NormalWeb"/>
        <w:jc w:val="center"/>
        <w:rPr>
          <w:rFonts w:ascii="Arial" w:hAnsi="Arial" w:cs="Arial"/>
          <w:sz w:val="28"/>
          <w:szCs w:val="28"/>
        </w:rPr>
      </w:pPr>
      <w:r w:rsidRPr="00086B5B">
        <w:rPr>
          <w:rStyle w:val="Forte"/>
          <w:rFonts w:ascii="Arial" w:hAnsi="Arial" w:cs="Arial"/>
          <w:sz w:val="28"/>
          <w:szCs w:val="28"/>
        </w:rPr>
        <w:t>NTT DATA alerta para mudança de paradigma nas ciberameaças: ataques mais persistentes, furtivos e estratégicos</w:t>
      </w:r>
    </w:p>
    <w:p w14:paraId="68810588" w14:textId="46C7D463" w:rsidR="00993A83" w:rsidRPr="00E928BE" w:rsidRDefault="00993A83" w:rsidP="00E928BE">
      <w:pPr>
        <w:pStyle w:val="NormalWeb"/>
        <w:numPr>
          <w:ilvl w:val="0"/>
          <w:numId w:val="14"/>
        </w:numPr>
        <w:jc w:val="center"/>
        <w:rPr>
          <w:rFonts w:ascii="Arial" w:hAnsi="Arial" w:cs="Arial"/>
          <w:b/>
          <w:bCs/>
          <w:sz w:val="20"/>
          <w:szCs w:val="20"/>
        </w:rPr>
      </w:pPr>
      <w:r w:rsidRPr="00E928BE">
        <w:rPr>
          <w:rFonts w:ascii="Arial" w:hAnsi="Arial" w:cs="Arial"/>
          <w:b/>
          <w:bCs/>
          <w:sz w:val="20"/>
          <w:szCs w:val="20"/>
        </w:rPr>
        <w:t xml:space="preserve">A </w:t>
      </w:r>
      <w:r w:rsidR="007207E7">
        <w:rPr>
          <w:rFonts w:ascii="Arial" w:hAnsi="Arial" w:cs="Arial"/>
          <w:b/>
          <w:bCs/>
          <w:sz w:val="20"/>
          <w:szCs w:val="20"/>
        </w:rPr>
        <w:t xml:space="preserve">segunda </w:t>
      </w:r>
      <w:r w:rsidRPr="00E928BE">
        <w:rPr>
          <w:rFonts w:ascii="Arial" w:hAnsi="Arial" w:cs="Arial"/>
          <w:b/>
          <w:bCs/>
          <w:sz w:val="20"/>
          <w:szCs w:val="20"/>
        </w:rPr>
        <w:t>edição de 2026 do Cyber Threat Intelligence Report revela uma profunda transformação dos modelos de ataque, marcada por intrusões mais furtivas, uma influência geopolítica crescente e uma profissionalização cada vez maior do cibercrime.</w:t>
      </w:r>
    </w:p>
    <w:p w14:paraId="38BE1769" w14:textId="45394EB7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hyperlink r:id="rId10" w:history="1">
        <w:r w:rsidRPr="003E4327">
          <w:rPr>
            <w:rStyle w:val="Hiperligao"/>
            <w:rFonts w:ascii="Arial" w:hAnsi="Arial" w:cs="Arial"/>
            <w:sz w:val="20"/>
            <w:szCs w:val="20"/>
          </w:rPr>
          <w:t>A NTT DATA</w:t>
        </w:r>
      </w:hyperlink>
      <w:r w:rsidRPr="005851A7">
        <w:rPr>
          <w:rFonts w:ascii="Arial" w:hAnsi="Arial" w:cs="Arial"/>
          <w:sz w:val="20"/>
          <w:szCs w:val="20"/>
        </w:rPr>
        <w:t xml:space="preserve">, líder global em inteligência artificial, </w:t>
      </w:r>
      <w:r w:rsidR="007207E7">
        <w:rPr>
          <w:rFonts w:ascii="Arial" w:hAnsi="Arial" w:cs="Arial"/>
          <w:sz w:val="20"/>
          <w:szCs w:val="20"/>
        </w:rPr>
        <w:t>serviços de negócio e tecnologia</w:t>
      </w:r>
      <w:r w:rsidRPr="005851A7">
        <w:rPr>
          <w:rFonts w:ascii="Arial" w:hAnsi="Arial" w:cs="Arial"/>
          <w:sz w:val="20"/>
          <w:szCs w:val="20"/>
        </w:rPr>
        <w:t xml:space="preserve">, divulgou a mais recente edição do seu </w:t>
      </w:r>
      <w:hyperlink r:id="rId11" w:history="1">
        <w:r w:rsidRPr="003A7BA1">
          <w:rPr>
            <w:rStyle w:val="Hiperligao"/>
            <w:rFonts w:ascii="Arial" w:hAnsi="Arial" w:cs="Arial"/>
            <w:sz w:val="20"/>
            <w:szCs w:val="20"/>
          </w:rPr>
          <w:t>Cyber Threat Intelligence Report,</w:t>
        </w:r>
      </w:hyperlink>
      <w:r w:rsidRPr="005851A7">
        <w:rPr>
          <w:rFonts w:ascii="Arial" w:hAnsi="Arial" w:cs="Arial"/>
          <w:sz w:val="20"/>
          <w:szCs w:val="20"/>
        </w:rPr>
        <w:t xml:space="preserve"> referente ao </w:t>
      </w:r>
      <w:r w:rsidRPr="00C50479">
        <w:rPr>
          <w:rFonts w:ascii="Arial" w:hAnsi="Arial" w:cs="Arial"/>
          <w:sz w:val="20"/>
          <w:szCs w:val="20"/>
        </w:rPr>
        <w:t>primeiro semestre de 2026.</w:t>
      </w:r>
      <w:r w:rsidRPr="005851A7">
        <w:rPr>
          <w:rFonts w:ascii="Arial" w:hAnsi="Arial" w:cs="Arial"/>
          <w:sz w:val="20"/>
          <w:szCs w:val="20"/>
        </w:rPr>
        <w:t xml:space="preserve"> O relatório revela que o panorama global das ciberameaças está a atravessar uma transformação estrutural. De acordo com as conclusões, os </w:t>
      </w:r>
      <w:r w:rsidR="007207E7">
        <w:rPr>
          <w:rFonts w:ascii="Arial" w:hAnsi="Arial" w:cs="Arial"/>
          <w:sz w:val="20"/>
          <w:szCs w:val="20"/>
        </w:rPr>
        <w:t>atacantes</w:t>
      </w:r>
      <w:r w:rsidRPr="005851A7">
        <w:rPr>
          <w:rFonts w:ascii="Arial" w:hAnsi="Arial" w:cs="Arial"/>
          <w:sz w:val="20"/>
          <w:szCs w:val="20"/>
        </w:rPr>
        <w:t xml:space="preserve"> estão a privilegiar cada vez mais intrusões discretas e de longa duração, concebidas para maximizar o impacto económico, estratégico e reputacional. Em vez de procurarem causar perturbações imediatas, os atacantes estão a apostar na persistência, na capacidade de permanecerem indetetados e em manterem uma influência prolongada nos ambientes comprometidos.</w:t>
      </w:r>
    </w:p>
    <w:p w14:paraId="6F94EB49" w14:textId="77777777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>O relatório destaca que o ciberespaço se tornou um domínio estratégico onde os conflitos económicos, políticos e de segurança convergem cada vez mais. As tensões geopolíticas, a fragmentação tecnológica e a alteração das alianças internacionais estão a ter um impacto crescente nas infraestruturas digitais, nas cadeias de abastecimento e nos setores críticos. Esta evolução torna mais difícil atribuir a autoria dos ataques, complica a cooperação internacional e aumenta a exposição ao risco por parte dos governos, das indústrias críticas e das organizações privadas. Paralelamente, o ciberespaço tornou-se um palco privilegiado para formas indiretas de confronto, permitindo exercer pressão e provocar disrupção sem escalar para um conflito militar aberto.</w:t>
      </w:r>
    </w:p>
    <w:p w14:paraId="3F134F0C" w14:textId="77777777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>Esta tendência é ainda intensificada pela crescente adoção da inteligência artificial enquanto multiplicador estratégico de capacidades. A sua integração em operações de ciberespionagem, campanhas de desinformação e automação ofensiva reduz as barreiras à entrada, acelera os ciclos de ataque e aumenta o alcance das operações híbridas levadas a cabo tanto por agentes ligados a Estados como por organizações de cibercrime sofisticadas.</w:t>
      </w:r>
    </w:p>
    <w:p w14:paraId="62CC5F31" w14:textId="77777777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>Entretanto, o ecossistema do cibercrime tem vindo a sofrer uma fragmentação significativa. O desmantelamento de grandes fóruns clandestinos e plataformas centralizadas não reduziu a atividade ilícita, mas redistribuiu-a por mercados especializados, corretores de acesso inicial e canais de comunicação mais privados, tornando cada vez mais difícil a monitorização das ameaças e a recolha antecipada de informação.</w:t>
      </w:r>
    </w:p>
    <w:p w14:paraId="556CC0DA" w14:textId="77777777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>Ao mesmo tempo, os modelos de ransomware e de extorsão de dados atingiram um elevado nível de maturidade operacional. As campanhas combinam, cada vez mais, automação, roubo direcionado de informação sensível, pressão pública faseada e exploração do impacto reputacional. O relatório destaca também a utilização crescente de técnicas “silenciosas”, nomeadamente através do abuso de serviços legítimos de cloud e SaaS para garantir persistência e realizar movimentos laterais dentro das organizações, deixando o mínimo de vestígios possível.</w:t>
      </w:r>
    </w:p>
    <w:p w14:paraId="2831FBBF" w14:textId="64A62E8F" w:rsidR="00495021" w:rsidRPr="00495021" w:rsidRDefault="00495021" w:rsidP="00495021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95021">
        <w:rPr>
          <w:rFonts w:ascii="Arial" w:hAnsi="Arial" w:cs="Arial"/>
          <w:sz w:val="20"/>
          <w:szCs w:val="20"/>
        </w:rPr>
        <w:t xml:space="preserve">Do ponto de vista setorial, os setores mais afetados durante o primeiro semestre do ano foram a </w:t>
      </w:r>
      <w:r w:rsidRPr="00495021">
        <w:rPr>
          <w:rFonts w:ascii="Arial" w:hAnsi="Arial" w:cs="Arial"/>
          <w:b/>
          <w:bCs/>
          <w:sz w:val="20"/>
          <w:szCs w:val="20"/>
        </w:rPr>
        <w:t>Administração Pública e Governo</w:t>
      </w:r>
      <w:r w:rsidRPr="00495021">
        <w:rPr>
          <w:rFonts w:ascii="Arial" w:hAnsi="Arial" w:cs="Arial"/>
          <w:sz w:val="20"/>
          <w:szCs w:val="20"/>
        </w:rPr>
        <w:t xml:space="preserve"> (3.343 incidentes), </w:t>
      </w:r>
      <w:r w:rsidRPr="00495021">
        <w:rPr>
          <w:rFonts w:ascii="Arial" w:hAnsi="Arial" w:cs="Arial"/>
          <w:b/>
          <w:bCs/>
          <w:sz w:val="20"/>
          <w:szCs w:val="20"/>
        </w:rPr>
        <w:t>Educação</w:t>
      </w:r>
      <w:r w:rsidRPr="00495021">
        <w:rPr>
          <w:rFonts w:ascii="Arial" w:hAnsi="Arial" w:cs="Arial"/>
          <w:sz w:val="20"/>
          <w:szCs w:val="20"/>
        </w:rPr>
        <w:t xml:space="preserve"> (1.140), </w:t>
      </w:r>
      <w:r w:rsidRPr="00495021">
        <w:rPr>
          <w:rFonts w:ascii="Arial" w:hAnsi="Arial" w:cs="Arial"/>
          <w:b/>
          <w:bCs/>
          <w:sz w:val="20"/>
          <w:szCs w:val="20"/>
        </w:rPr>
        <w:t>Serviços Financeiros</w:t>
      </w:r>
      <w:r w:rsidRPr="00495021">
        <w:rPr>
          <w:rFonts w:ascii="Arial" w:hAnsi="Arial" w:cs="Arial"/>
          <w:sz w:val="20"/>
          <w:szCs w:val="20"/>
        </w:rPr>
        <w:t xml:space="preserve"> (957), </w:t>
      </w:r>
      <w:r w:rsidRPr="00495021">
        <w:rPr>
          <w:rFonts w:ascii="Arial" w:hAnsi="Arial" w:cs="Arial"/>
          <w:b/>
          <w:bCs/>
          <w:sz w:val="20"/>
          <w:szCs w:val="20"/>
        </w:rPr>
        <w:t>Tecnologias de Informação</w:t>
      </w:r>
      <w:r w:rsidRPr="00495021">
        <w:rPr>
          <w:rFonts w:ascii="Arial" w:hAnsi="Arial" w:cs="Arial"/>
          <w:sz w:val="20"/>
          <w:szCs w:val="20"/>
        </w:rPr>
        <w:t xml:space="preserve"> (802) e </w:t>
      </w:r>
      <w:r w:rsidRPr="00495021">
        <w:rPr>
          <w:rFonts w:ascii="Arial" w:hAnsi="Arial" w:cs="Arial"/>
          <w:b/>
          <w:bCs/>
          <w:sz w:val="20"/>
          <w:szCs w:val="20"/>
        </w:rPr>
        <w:t>Telecomunicações</w:t>
      </w:r>
      <w:r w:rsidRPr="00495021">
        <w:rPr>
          <w:rFonts w:ascii="Arial" w:hAnsi="Arial" w:cs="Arial"/>
          <w:sz w:val="20"/>
          <w:szCs w:val="20"/>
        </w:rPr>
        <w:t xml:space="preserve"> (614). No total, estima-se que o impacto económico global do cibercrime ascenda atualmente a cerca de </w:t>
      </w:r>
      <w:r w:rsidRPr="00495021">
        <w:rPr>
          <w:rFonts w:ascii="Arial" w:hAnsi="Arial" w:cs="Arial"/>
          <w:b/>
          <w:bCs/>
          <w:sz w:val="20"/>
          <w:szCs w:val="20"/>
        </w:rPr>
        <w:t>9,3 biliões de euros por ano</w:t>
      </w:r>
      <w:r w:rsidR="00B740DF">
        <w:rPr>
          <w:rFonts w:ascii="Arial" w:hAnsi="Arial" w:cs="Arial"/>
          <w:b/>
          <w:bCs/>
          <w:sz w:val="20"/>
          <w:szCs w:val="20"/>
        </w:rPr>
        <w:t>.</w:t>
      </w:r>
    </w:p>
    <w:p w14:paraId="5ABCE1D1" w14:textId="01D7A463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 xml:space="preserve">Embora os enquadramentos legais e regulamentares continuem a ser reforçados, </w:t>
      </w:r>
      <w:r w:rsidR="007207E7">
        <w:rPr>
          <w:rFonts w:ascii="Arial" w:hAnsi="Arial" w:cs="Arial"/>
          <w:sz w:val="20"/>
          <w:szCs w:val="20"/>
        </w:rPr>
        <w:t xml:space="preserve">que </w:t>
      </w:r>
      <w:r w:rsidRPr="005851A7">
        <w:rPr>
          <w:rFonts w:ascii="Arial" w:hAnsi="Arial" w:cs="Arial"/>
          <w:sz w:val="20"/>
          <w:szCs w:val="20"/>
        </w:rPr>
        <w:t xml:space="preserve">as operações internacionais das autoridades policiais estejam a tornar-se mais eficazes e </w:t>
      </w:r>
      <w:r w:rsidR="007207E7">
        <w:rPr>
          <w:rFonts w:ascii="Arial" w:hAnsi="Arial" w:cs="Arial"/>
          <w:sz w:val="20"/>
          <w:szCs w:val="20"/>
        </w:rPr>
        <w:t xml:space="preserve">que </w:t>
      </w:r>
      <w:r w:rsidRPr="005851A7">
        <w:rPr>
          <w:rFonts w:ascii="Arial" w:hAnsi="Arial" w:cs="Arial"/>
          <w:sz w:val="20"/>
          <w:szCs w:val="20"/>
        </w:rPr>
        <w:t>as organizações estejam progressivamente a melhorar as suas capacidades de defesa, o relatório conclui que os agentes maliciosos continuam a adaptar-se a um ritmo superior ao destes avanços. Esta realidade evidencia a persistência de um desfasamento entre o cumprimento regulamentar e uma verdadeira resiliência operacional.</w:t>
      </w:r>
    </w:p>
    <w:p w14:paraId="1B2FF3DB" w14:textId="3401C61C" w:rsidR="00993A83" w:rsidRPr="005851A7" w:rsidRDefault="00993A83" w:rsidP="005851A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lastRenderedPageBreak/>
        <w:t>“</w:t>
      </w:r>
      <w:r w:rsidRPr="00CC0561">
        <w:rPr>
          <w:rFonts w:ascii="Arial" w:hAnsi="Arial" w:cs="Arial"/>
          <w:i/>
          <w:iCs/>
          <w:sz w:val="20"/>
          <w:szCs w:val="20"/>
        </w:rPr>
        <w:t>Estamos perante uma mudança de paradigma: os ciberataques já não visam apenas causar disrupção; são cada vez mais concebidos para influenciar decisões de longo prazo, processos de negócio e a orientação estratégica das organizações. Uma gestão eficaz do risco exige agora uma abordagem abrangente, centrada na deteção contextual, na resiliência e na antecipação estratégica de ameaças persistentes e altamente adaptáveis</w:t>
      </w:r>
      <w:r w:rsidRPr="005851A7">
        <w:rPr>
          <w:rFonts w:ascii="Arial" w:hAnsi="Arial" w:cs="Arial"/>
          <w:sz w:val="20"/>
          <w:szCs w:val="20"/>
        </w:rPr>
        <w:t xml:space="preserve">”, afirma </w:t>
      </w:r>
      <w:r w:rsidR="007207E7" w:rsidRPr="00DC4360">
        <w:rPr>
          <w:rFonts w:ascii="Arial" w:hAnsi="Arial" w:cs="Arial"/>
          <w:b/>
          <w:bCs/>
          <w:sz w:val="20"/>
          <w:szCs w:val="20"/>
        </w:rPr>
        <w:t xml:space="preserve">María Pilar Torres Bruna, Head of Cybersecurity </w:t>
      </w:r>
      <w:r w:rsidR="007207E7">
        <w:rPr>
          <w:rFonts w:ascii="Arial" w:hAnsi="Arial" w:cs="Arial"/>
          <w:b/>
          <w:bCs/>
          <w:sz w:val="20"/>
          <w:szCs w:val="20"/>
        </w:rPr>
        <w:t>da</w:t>
      </w:r>
      <w:r w:rsidR="007207E7" w:rsidRPr="00DC4360">
        <w:rPr>
          <w:rFonts w:ascii="Arial" w:hAnsi="Arial" w:cs="Arial"/>
          <w:b/>
          <w:bCs/>
          <w:sz w:val="20"/>
          <w:szCs w:val="20"/>
        </w:rPr>
        <w:t xml:space="preserve"> NTT DATA Iberia, International Organisations, LATAM, and Consulting in Benelux and France</w:t>
      </w:r>
      <w:r w:rsidRPr="005851A7">
        <w:rPr>
          <w:rStyle w:val="Forte"/>
          <w:rFonts w:ascii="Arial" w:hAnsi="Arial" w:cs="Arial"/>
          <w:sz w:val="20"/>
          <w:szCs w:val="20"/>
        </w:rPr>
        <w:t>.</w:t>
      </w:r>
    </w:p>
    <w:p w14:paraId="24507A54" w14:textId="6037488E" w:rsidR="0014202E" w:rsidRPr="00DE4DC5" w:rsidRDefault="00993A83" w:rsidP="00FB3CD2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5851A7">
        <w:rPr>
          <w:rFonts w:ascii="Arial" w:hAnsi="Arial" w:cs="Arial"/>
          <w:sz w:val="20"/>
          <w:szCs w:val="20"/>
        </w:rPr>
        <w:t>À medida que as ciberameaças se tornam mais persistentes e sofisticadas, o relatório da NTT DATA sublinha a necessidade de ir além do mero cumprimento regulamentar. Antecipar riscos, compreender o contexto mais amplo em que estes surgem e posicionar a cibersegurança como uma função estratégica do negócio serão fatores essenciais para construir uma verdadeira resiliência digital, sustentável a longo prazo.</w:t>
      </w:r>
    </w:p>
    <w:p w14:paraId="5606851D" w14:textId="77777777" w:rsidR="001863C0" w:rsidRPr="000734D7" w:rsidRDefault="001863C0" w:rsidP="001863C0">
      <w:pPr>
        <w:spacing w:after="0"/>
        <w:rPr>
          <w:rFonts w:ascii="Arial" w:hAnsi="Arial" w:cs="Arial"/>
          <w:sz w:val="18"/>
          <w:szCs w:val="18"/>
          <w:lang w:val="pt-PT"/>
        </w:rPr>
      </w:pPr>
      <w:r w:rsidRPr="000734D7">
        <w:rPr>
          <w:rFonts w:ascii="Arial" w:hAnsi="Arial" w:cs="Arial"/>
          <w:b/>
          <w:sz w:val="18"/>
          <w:szCs w:val="18"/>
          <w:lang w:val="pt-PT"/>
        </w:rPr>
        <w:t>Para mais informações, favor contactar</w:t>
      </w:r>
      <w:r w:rsidRPr="000734D7">
        <w:rPr>
          <w:rFonts w:ascii="Arial" w:hAnsi="Arial" w:cs="Arial"/>
          <w:sz w:val="18"/>
          <w:szCs w:val="18"/>
          <w:lang w:val="pt-PT"/>
        </w:rPr>
        <w:t>:</w:t>
      </w:r>
    </w:p>
    <w:p w14:paraId="532D985A" w14:textId="77777777" w:rsidR="001863C0" w:rsidRPr="000734D7" w:rsidRDefault="001863C0" w:rsidP="001863C0">
      <w:pPr>
        <w:spacing w:after="0"/>
        <w:rPr>
          <w:rFonts w:ascii="Arial" w:hAnsi="Arial" w:cs="Arial"/>
          <w:b/>
          <w:bCs/>
          <w:sz w:val="18"/>
          <w:szCs w:val="18"/>
          <w:lang w:val="pt-PT"/>
        </w:rPr>
      </w:pPr>
      <w:r w:rsidRPr="000734D7">
        <w:rPr>
          <w:rFonts w:ascii="Arial" w:hAnsi="Arial" w:cs="Arial"/>
          <w:b/>
          <w:bCs/>
          <w:sz w:val="18"/>
          <w:szCs w:val="18"/>
          <w:lang w:val="pt-PT"/>
        </w:rPr>
        <w:t>LIFT CONSULTING</w:t>
      </w:r>
    </w:p>
    <w:p w14:paraId="173AA757" w14:textId="77777777" w:rsidR="001863C0" w:rsidRPr="000734D7" w:rsidRDefault="001863C0" w:rsidP="001863C0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0734D7">
        <w:rPr>
          <w:rFonts w:ascii="Arial" w:hAnsi="Arial" w:cs="Arial"/>
          <w:sz w:val="18"/>
          <w:szCs w:val="18"/>
        </w:rPr>
        <w:t>Ana Santos | </w:t>
      </w:r>
      <w:hyperlink r:id="rId12" w:tgtFrame="_blank" w:tooltip="mailto:ana.santos@lift.com.pt" w:history="1">
        <w:r w:rsidRPr="000734D7">
          <w:rPr>
            <w:rStyle w:val="Hiperligao"/>
            <w:rFonts w:ascii="Arial" w:eastAsiaTheme="majorEastAsia" w:hAnsi="Arial" w:cs="Arial"/>
            <w:sz w:val="18"/>
            <w:szCs w:val="18"/>
          </w:rPr>
          <w:t>ana.santos@lift.com.pt</w:t>
        </w:r>
      </w:hyperlink>
      <w:r w:rsidRPr="000734D7">
        <w:rPr>
          <w:rFonts w:ascii="Arial" w:hAnsi="Arial" w:cs="Arial"/>
          <w:sz w:val="18"/>
          <w:szCs w:val="18"/>
        </w:rPr>
        <w:t xml:space="preserve"> | 914 409 595</w:t>
      </w:r>
    </w:p>
    <w:p w14:paraId="403264A3" w14:textId="496CEA64" w:rsidR="001863C0" w:rsidRPr="000734D7" w:rsidRDefault="002640BA" w:rsidP="001863C0">
      <w:pPr>
        <w:tabs>
          <w:tab w:val="left" w:pos="0"/>
        </w:tabs>
        <w:spacing w:after="0" w:line="360" w:lineRule="auto"/>
        <w:rPr>
          <w:rFonts w:ascii="Arial" w:hAnsi="Arial" w:cs="Arial"/>
          <w:sz w:val="18"/>
          <w:szCs w:val="18"/>
          <w:lang w:val="pt-PT"/>
        </w:rPr>
      </w:pPr>
      <w:r>
        <w:rPr>
          <w:rFonts w:ascii="Arial" w:hAnsi="Arial" w:cs="Arial"/>
          <w:sz w:val="18"/>
          <w:szCs w:val="18"/>
          <w:lang w:val="pt-PT"/>
        </w:rPr>
        <w:t>Eunice Gaspar</w:t>
      </w:r>
      <w:r w:rsidR="001863C0" w:rsidRPr="000734D7">
        <w:rPr>
          <w:rFonts w:ascii="Arial" w:hAnsi="Arial" w:cs="Arial"/>
          <w:sz w:val="18"/>
          <w:szCs w:val="18"/>
          <w:lang w:val="pt-PT"/>
        </w:rPr>
        <w:t xml:space="preserve"> | </w:t>
      </w:r>
      <w:hyperlink r:id="rId13" w:history="1">
        <w:r w:rsidR="00C50479" w:rsidRPr="00F81FD0">
          <w:rPr>
            <w:rStyle w:val="Hiperligao"/>
            <w:rFonts w:ascii="Arial" w:eastAsiaTheme="majorEastAsia" w:hAnsi="Arial" w:cs="Arial"/>
            <w:sz w:val="18"/>
            <w:szCs w:val="18"/>
          </w:rPr>
          <w:t>eunice.gaspar@lift.com.pt</w:t>
        </w:r>
      </w:hyperlink>
      <w:r w:rsidR="001863C0" w:rsidRPr="000734D7">
        <w:rPr>
          <w:rFonts w:ascii="Arial" w:hAnsi="Arial" w:cs="Arial"/>
          <w:sz w:val="18"/>
          <w:szCs w:val="18"/>
          <w:lang w:val="pt-PT"/>
        </w:rPr>
        <w:t xml:space="preserve">| </w:t>
      </w:r>
      <w:r w:rsidR="00F17032" w:rsidRPr="00F17032">
        <w:rPr>
          <w:rFonts w:ascii="Arial" w:hAnsi="Arial" w:cs="Arial"/>
          <w:sz w:val="18"/>
          <w:szCs w:val="18"/>
          <w:lang w:val="pt-PT"/>
        </w:rPr>
        <w:t>911 774 428</w:t>
      </w:r>
    </w:p>
    <w:p w14:paraId="684B853F" w14:textId="77777777" w:rsidR="001863C0" w:rsidRPr="000734D7" w:rsidRDefault="001863C0" w:rsidP="001863C0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14:paraId="3443BF65" w14:textId="77777777" w:rsidR="001863C0" w:rsidRPr="000734D7" w:rsidRDefault="001863C0" w:rsidP="001863C0">
      <w:pPr>
        <w:rPr>
          <w:rFonts w:ascii="Arial" w:hAnsi="Arial" w:cs="Arial"/>
          <w:sz w:val="16"/>
          <w:szCs w:val="16"/>
          <w:lang w:val="pt-PT"/>
        </w:rPr>
      </w:pPr>
    </w:p>
    <w:p w14:paraId="261242AF" w14:textId="77777777" w:rsidR="001863C0" w:rsidRPr="00264CB4" w:rsidRDefault="001863C0" w:rsidP="001863C0">
      <w:pPr>
        <w:rPr>
          <w:rFonts w:ascii="Arial" w:hAnsi="Arial" w:cs="Arial"/>
          <w:sz w:val="16"/>
          <w:szCs w:val="16"/>
          <w:lang w:val="pt-PT"/>
        </w:rPr>
      </w:pPr>
      <w:r w:rsidRPr="00DA7D47">
        <w:rPr>
          <w:rFonts w:ascii="Arial" w:hAnsi="Arial" w:cs="Arial"/>
          <w:b/>
          <w:bCs/>
          <w:sz w:val="16"/>
          <w:szCs w:val="16"/>
          <w:lang w:val="pt-BR"/>
        </w:rPr>
        <w:t>Sobre a NTT DATA</w:t>
      </w:r>
    </w:p>
    <w:p w14:paraId="259507DF" w14:textId="77777777" w:rsidR="001863C0" w:rsidRPr="00DA7D47" w:rsidRDefault="001863C0" w:rsidP="001863C0">
      <w:pPr>
        <w:jc w:val="both"/>
        <w:rPr>
          <w:rFonts w:ascii="Arial" w:hAnsi="Arial" w:cs="Arial"/>
          <w:sz w:val="16"/>
          <w:szCs w:val="16"/>
          <w:lang w:val="pt-BR"/>
        </w:rPr>
      </w:pPr>
      <w:r w:rsidRPr="00DA7D47">
        <w:rPr>
          <w:rFonts w:ascii="Arial" w:hAnsi="Arial" w:cs="Arial"/>
          <w:sz w:val="16"/>
          <w:szCs w:val="16"/>
          <w:lang w:val="pt-BR"/>
        </w:rPr>
        <w:t>A NTT DATA é uma empresa líder em serviços de negócio e tecnologia, com receitas superiores a 30 mil milhões de dólares, que trabalha para 75% das empresas do Fortune Global 100. Está empenhada em acelerar o sucesso dos clientes e em gerar um impacto positivo na sociedade através da inovação responsável. É um dos principais fornecedores mundiais de inteligência artificial e infraestruturas digitais, com capacidades incomparáveis em IA à escala empresarial, cloud, segurança, conectividade, centros de dados e serviços de aplicações. Os seus serviços de consultoria e soluções sectoriais ajudam as organizações e a sociedade a avançar com confiança e de forma sustentável rumo ao futuro digital. Como Global Top Employer, conta com especialistas em mais de 70 países. Oferece ainda aos seus clientes acesso a um sólido ecossistema de centros de inovação, bem como a parceiros estabelecidos e startups. A NTT DATA faz parte do NTT Group, que investe mais de 3 mil milhões de dólares por ano em investigação e desenvolvimento (I&amp;D).  </w:t>
      </w:r>
    </w:p>
    <w:p w14:paraId="63E7D8C1" w14:textId="32136F18" w:rsidR="009D673C" w:rsidRPr="001863C0" w:rsidRDefault="009D673C" w:rsidP="0063422B">
      <w:pPr>
        <w:spacing w:after="0" w:line="240" w:lineRule="auto"/>
        <w:textAlignment w:val="baseline"/>
        <w:rPr>
          <w:rFonts w:ascii="Arial" w:hAnsi="Arial" w:cs="Arial"/>
          <w:sz w:val="20"/>
          <w:szCs w:val="20"/>
          <w:lang w:val="pt-BR"/>
        </w:rPr>
      </w:pPr>
    </w:p>
    <w:sectPr w:rsidR="009D673C" w:rsidRPr="001863C0" w:rsidSect="0014202E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04FBE" w14:textId="77777777" w:rsidR="00BE1F96" w:rsidRDefault="00BE1F96" w:rsidP="009D673C">
      <w:pPr>
        <w:spacing w:after="0" w:line="240" w:lineRule="auto"/>
      </w:pPr>
      <w:r>
        <w:separator/>
      </w:r>
    </w:p>
  </w:endnote>
  <w:endnote w:type="continuationSeparator" w:id="0">
    <w:p w14:paraId="57001A0C" w14:textId="77777777" w:rsidR="00BE1F96" w:rsidRDefault="00BE1F96" w:rsidP="009D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56A1A" w14:textId="78AC85DC" w:rsidR="00F14908" w:rsidRDefault="00F14908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D983F16" wp14:editId="677DDE9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25755"/>
              <wp:effectExtent l="0" t="0" r="9525" b="0"/>
              <wp:wrapNone/>
              <wp:docPr id="711518129" name="Text Box 2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C17F3" w14:textId="3E2F7695" w:rsidR="00F14908" w:rsidRPr="00F14908" w:rsidRDefault="00F14908" w:rsidP="00F1490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F14908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83F1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 Label: General" style="position:absolute;margin-left:0;margin-top:0;width:90.75pt;height:25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" filled="f" stroked="f">
              <v:textbox style="mso-fit-shape-to-text:t" inset="0,0,0,15pt">
                <w:txbxContent>
                  <w:p w14:paraId="0CFC17F3" w14:textId="3E2F7695" w:rsidR="00F14908" w:rsidRPr="00F14908" w:rsidRDefault="00F14908" w:rsidP="00F1490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F14908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8A0AD" w14:textId="2F5B85AB" w:rsidR="00F14908" w:rsidRDefault="00F14908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523B920" wp14:editId="3C4C4C46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25755"/>
              <wp:effectExtent l="0" t="0" r="9525" b="0"/>
              <wp:wrapNone/>
              <wp:docPr id="615217370" name="Text Box 3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3FD226" w14:textId="596DC1B6" w:rsidR="00F14908" w:rsidRPr="00F14908" w:rsidRDefault="00F14908" w:rsidP="00F1490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F14908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3B9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nsitivity Label: General" style="position:absolute;margin-left:0;margin-top:0;width:90.75pt;height:25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" filled="f" stroked="f">
              <v:textbox style="mso-fit-shape-to-text:t" inset="0,0,0,15pt">
                <w:txbxContent>
                  <w:p w14:paraId="063FD226" w14:textId="596DC1B6" w:rsidR="00F14908" w:rsidRPr="00F14908" w:rsidRDefault="00F14908" w:rsidP="00F1490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F14908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9514" w14:textId="5B757917" w:rsidR="00F14908" w:rsidRDefault="00F14908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4B357AC" wp14:editId="067A86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25755"/>
              <wp:effectExtent l="0" t="0" r="9525" b="0"/>
              <wp:wrapNone/>
              <wp:docPr id="334893797" name="Text Box 1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25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408E69" w14:textId="09A40938" w:rsidR="00F14908" w:rsidRPr="00F14908" w:rsidRDefault="00F14908" w:rsidP="00F14908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F14908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B357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ensitivity Label: General" style="position:absolute;margin-left:0;margin-top:0;width:90.75pt;height:25.6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" filled="f" stroked="f">
              <v:textbox style="mso-fit-shape-to-text:t" inset="0,0,0,15pt">
                <w:txbxContent>
                  <w:p w14:paraId="2A408E69" w14:textId="09A40938" w:rsidR="00F14908" w:rsidRPr="00F14908" w:rsidRDefault="00F14908" w:rsidP="00F14908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F14908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1F2D" w14:textId="77777777" w:rsidR="00BE1F96" w:rsidRDefault="00BE1F96" w:rsidP="009D673C">
      <w:pPr>
        <w:spacing w:after="0" w:line="240" w:lineRule="auto"/>
      </w:pPr>
      <w:r>
        <w:separator/>
      </w:r>
    </w:p>
  </w:footnote>
  <w:footnote w:type="continuationSeparator" w:id="0">
    <w:p w14:paraId="29F535EB" w14:textId="77777777" w:rsidR="00BE1F96" w:rsidRDefault="00BE1F96" w:rsidP="009D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A8DC" w14:textId="77777777" w:rsidR="0014202E" w:rsidRPr="0014202E" w:rsidRDefault="009D673C">
    <w:pPr>
      <w:pStyle w:val="Cabealho"/>
      <w:rPr>
        <w:color w:val="808080" w:themeColor="background1" w:themeShade="80"/>
        <w:sz w:val="22"/>
        <w:szCs w:val="22"/>
      </w:rPr>
    </w:pPr>
    <w:r w:rsidRPr="0014202E">
      <w:rPr>
        <w:noProof/>
        <w:color w:val="808080" w:themeColor="background1" w:themeShade="80"/>
        <w:sz w:val="22"/>
        <w:szCs w:val="22"/>
      </w:rPr>
      <w:drawing>
        <wp:anchor distT="0" distB="0" distL="114300" distR="114300" simplePos="0" relativeHeight="251658240" behindDoc="1" locked="0" layoutInCell="1" allowOverlap="1" wp14:anchorId="44732BEC" wp14:editId="2D0BCCBA">
          <wp:simplePos x="0" y="0"/>
          <wp:positionH relativeFrom="margin">
            <wp:posOffset>4301594</wp:posOffset>
          </wp:positionH>
          <wp:positionV relativeFrom="paragraph">
            <wp:posOffset>-88445</wp:posOffset>
          </wp:positionV>
          <wp:extent cx="1692275" cy="464185"/>
          <wp:effectExtent l="0" t="0" r="0" b="0"/>
          <wp:wrapTight wrapText="bothSides">
            <wp:wrapPolygon edited="0">
              <wp:start x="2188" y="1773"/>
              <wp:lineTo x="1459" y="8865"/>
              <wp:lineTo x="1459" y="12410"/>
              <wp:lineTo x="2675" y="18616"/>
              <wp:lineTo x="4863" y="18616"/>
              <wp:lineTo x="19938" y="14183"/>
              <wp:lineTo x="19938" y="5319"/>
              <wp:lineTo x="5106" y="1773"/>
              <wp:lineTo x="2188" y="1773"/>
            </wp:wrapPolygon>
          </wp:wrapTight>
          <wp:docPr id="1362384955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313266" name="Picture 1" descr="A blue text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46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202E" w:rsidRPr="0014202E">
      <w:rPr>
        <w:color w:val="808080" w:themeColor="background1" w:themeShade="80"/>
        <w:sz w:val="22"/>
        <w:szCs w:val="22"/>
      </w:rPr>
      <w:t>Comunicado de Imprensa</w:t>
    </w:r>
  </w:p>
  <w:p w14:paraId="33EA4C42" w14:textId="77777777" w:rsidR="0014202E" w:rsidRDefault="0014202E">
    <w:pPr>
      <w:pStyle w:val="Cabealho"/>
      <w:rPr>
        <w:color w:val="808080" w:themeColor="background1" w:themeShade="80"/>
      </w:rPr>
    </w:pPr>
  </w:p>
  <w:p w14:paraId="3280F6A6" w14:textId="65CDB8B8" w:rsidR="009D673C" w:rsidRPr="0014202E" w:rsidRDefault="009D673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3439"/>
    <w:multiLevelType w:val="multilevel"/>
    <w:tmpl w:val="4DD41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2C36AD"/>
    <w:multiLevelType w:val="multilevel"/>
    <w:tmpl w:val="AD3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EE2EB7"/>
    <w:multiLevelType w:val="multilevel"/>
    <w:tmpl w:val="ABAA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EF2950"/>
    <w:multiLevelType w:val="hybridMultilevel"/>
    <w:tmpl w:val="4A3894C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B1F2A93"/>
    <w:multiLevelType w:val="multilevel"/>
    <w:tmpl w:val="17B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2F01F7"/>
    <w:multiLevelType w:val="hybridMultilevel"/>
    <w:tmpl w:val="39306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862E0C"/>
    <w:multiLevelType w:val="multilevel"/>
    <w:tmpl w:val="6E60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8EB05A6"/>
    <w:multiLevelType w:val="hybridMultilevel"/>
    <w:tmpl w:val="CF521D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94925"/>
    <w:multiLevelType w:val="hybridMultilevel"/>
    <w:tmpl w:val="90DCD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34498"/>
    <w:multiLevelType w:val="hybridMultilevel"/>
    <w:tmpl w:val="8146ED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52C43C8"/>
    <w:multiLevelType w:val="hybridMultilevel"/>
    <w:tmpl w:val="045C9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E2542C"/>
    <w:multiLevelType w:val="hybridMultilevel"/>
    <w:tmpl w:val="C80C1FC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76D5625"/>
    <w:multiLevelType w:val="multilevel"/>
    <w:tmpl w:val="32E6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E387845"/>
    <w:multiLevelType w:val="multilevel"/>
    <w:tmpl w:val="99806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3191510">
    <w:abstractNumId w:val="10"/>
  </w:num>
  <w:num w:numId="2" w16cid:durableId="667909099">
    <w:abstractNumId w:val="8"/>
  </w:num>
  <w:num w:numId="3" w16cid:durableId="655106383">
    <w:abstractNumId w:val="13"/>
  </w:num>
  <w:num w:numId="4" w16cid:durableId="2116438688">
    <w:abstractNumId w:val="2"/>
  </w:num>
  <w:num w:numId="5" w16cid:durableId="1094588848">
    <w:abstractNumId w:val="4"/>
  </w:num>
  <w:num w:numId="6" w16cid:durableId="414131208">
    <w:abstractNumId w:val="6"/>
  </w:num>
  <w:num w:numId="7" w16cid:durableId="1409113103">
    <w:abstractNumId w:val="12"/>
  </w:num>
  <w:num w:numId="8" w16cid:durableId="549269863">
    <w:abstractNumId w:val="1"/>
  </w:num>
  <w:num w:numId="9" w16cid:durableId="239675095">
    <w:abstractNumId w:val="0"/>
  </w:num>
  <w:num w:numId="10" w16cid:durableId="1051002808">
    <w:abstractNumId w:val="11"/>
  </w:num>
  <w:num w:numId="11" w16cid:durableId="1986739177">
    <w:abstractNumId w:val="5"/>
  </w:num>
  <w:num w:numId="12" w16cid:durableId="1242911786">
    <w:abstractNumId w:val="3"/>
  </w:num>
  <w:num w:numId="13" w16cid:durableId="964654873">
    <w:abstractNumId w:val="9"/>
  </w:num>
  <w:num w:numId="14" w16cid:durableId="19601875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3C"/>
    <w:rsid w:val="00007127"/>
    <w:rsid w:val="000155E3"/>
    <w:rsid w:val="00042431"/>
    <w:rsid w:val="00045831"/>
    <w:rsid w:val="00053222"/>
    <w:rsid w:val="0006750B"/>
    <w:rsid w:val="00086B5B"/>
    <w:rsid w:val="00095721"/>
    <w:rsid w:val="00095DC4"/>
    <w:rsid w:val="000A0210"/>
    <w:rsid w:val="000A1CCB"/>
    <w:rsid w:val="000D0625"/>
    <w:rsid w:val="000E535E"/>
    <w:rsid w:val="001226F2"/>
    <w:rsid w:val="00127FC0"/>
    <w:rsid w:val="0014202E"/>
    <w:rsid w:val="00145D3A"/>
    <w:rsid w:val="00171F49"/>
    <w:rsid w:val="00181CF6"/>
    <w:rsid w:val="001863C0"/>
    <w:rsid w:val="0019526A"/>
    <w:rsid w:val="001A5A85"/>
    <w:rsid w:val="001D6C11"/>
    <w:rsid w:val="001E6CDD"/>
    <w:rsid w:val="001E6D03"/>
    <w:rsid w:val="001F51B5"/>
    <w:rsid w:val="002053D2"/>
    <w:rsid w:val="00213E64"/>
    <w:rsid w:val="00215DEF"/>
    <w:rsid w:val="002325BC"/>
    <w:rsid w:val="00245E37"/>
    <w:rsid w:val="002605A1"/>
    <w:rsid w:val="002640BA"/>
    <w:rsid w:val="0029545C"/>
    <w:rsid w:val="002D5C5A"/>
    <w:rsid w:val="002D7D4A"/>
    <w:rsid w:val="002F5431"/>
    <w:rsid w:val="0032246D"/>
    <w:rsid w:val="00333DC0"/>
    <w:rsid w:val="00337762"/>
    <w:rsid w:val="0034160A"/>
    <w:rsid w:val="00342FB7"/>
    <w:rsid w:val="00345E09"/>
    <w:rsid w:val="00367656"/>
    <w:rsid w:val="00375CAB"/>
    <w:rsid w:val="00377AA1"/>
    <w:rsid w:val="00391407"/>
    <w:rsid w:val="003A7BA1"/>
    <w:rsid w:val="003B5D05"/>
    <w:rsid w:val="003D7786"/>
    <w:rsid w:val="003E4327"/>
    <w:rsid w:val="003F2EBC"/>
    <w:rsid w:val="004261CA"/>
    <w:rsid w:val="00443419"/>
    <w:rsid w:val="0046730B"/>
    <w:rsid w:val="00472573"/>
    <w:rsid w:val="00477C02"/>
    <w:rsid w:val="00482EAA"/>
    <w:rsid w:val="00495021"/>
    <w:rsid w:val="00495B48"/>
    <w:rsid w:val="004B0311"/>
    <w:rsid w:val="00505304"/>
    <w:rsid w:val="0050559E"/>
    <w:rsid w:val="0052151A"/>
    <w:rsid w:val="00527877"/>
    <w:rsid w:val="005521A8"/>
    <w:rsid w:val="005851A7"/>
    <w:rsid w:val="005A1326"/>
    <w:rsid w:val="005B1605"/>
    <w:rsid w:val="005B5375"/>
    <w:rsid w:val="005E1695"/>
    <w:rsid w:val="005E59B4"/>
    <w:rsid w:val="005E731F"/>
    <w:rsid w:val="00602D44"/>
    <w:rsid w:val="00633937"/>
    <w:rsid w:val="0063422B"/>
    <w:rsid w:val="006420D7"/>
    <w:rsid w:val="00665A4F"/>
    <w:rsid w:val="006672CF"/>
    <w:rsid w:val="006C2821"/>
    <w:rsid w:val="006C32FD"/>
    <w:rsid w:val="00705529"/>
    <w:rsid w:val="007207E7"/>
    <w:rsid w:val="007523A0"/>
    <w:rsid w:val="00763EA0"/>
    <w:rsid w:val="00797F15"/>
    <w:rsid w:val="007A7302"/>
    <w:rsid w:val="007B69A7"/>
    <w:rsid w:val="007D1686"/>
    <w:rsid w:val="007E0A25"/>
    <w:rsid w:val="007E0CE6"/>
    <w:rsid w:val="007F4F0E"/>
    <w:rsid w:val="008124F7"/>
    <w:rsid w:val="00830BA1"/>
    <w:rsid w:val="00843415"/>
    <w:rsid w:val="00873C4F"/>
    <w:rsid w:val="00887791"/>
    <w:rsid w:val="008A0061"/>
    <w:rsid w:val="008C540F"/>
    <w:rsid w:val="008D2C1F"/>
    <w:rsid w:val="008F4155"/>
    <w:rsid w:val="00900B79"/>
    <w:rsid w:val="00916E06"/>
    <w:rsid w:val="009218FE"/>
    <w:rsid w:val="00934F0D"/>
    <w:rsid w:val="00945C82"/>
    <w:rsid w:val="00955637"/>
    <w:rsid w:val="00993A83"/>
    <w:rsid w:val="009A07D0"/>
    <w:rsid w:val="009D500C"/>
    <w:rsid w:val="009D673C"/>
    <w:rsid w:val="009E780B"/>
    <w:rsid w:val="00A112C0"/>
    <w:rsid w:val="00A15207"/>
    <w:rsid w:val="00A15F95"/>
    <w:rsid w:val="00A201BF"/>
    <w:rsid w:val="00A32845"/>
    <w:rsid w:val="00A37CD2"/>
    <w:rsid w:val="00A43A48"/>
    <w:rsid w:val="00A55530"/>
    <w:rsid w:val="00A66A96"/>
    <w:rsid w:val="00A72373"/>
    <w:rsid w:val="00A90AB6"/>
    <w:rsid w:val="00AA3851"/>
    <w:rsid w:val="00AB178C"/>
    <w:rsid w:val="00AC2E76"/>
    <w:rsid w:val="00AD058B"/>
    <w:rsid w:val="00AE0A86"/>
    <w:rsid w:val="00B03F62"/>
    <w:rsid w:val="00B075AD"/>
    <w:rsid w:val="00B32F86"/>
    <w:rsid w:val="00B651A0"/>
    <w:rsid w:val="00B733C5"/>
    <w:rsid w:val="00B740DF"/>
    <w:rsid w:val="00B80DCB"/>
    <w:rsid w:val="00BB01F6"/>
    <w:rsid w:val="00BE1F96"/>
    <w:rsid w:val="00BE3C18"/>
    <w:rsid w:val="00BE7F21"/>
    <w:rsid w:val="00BF06F0"/>
    <w:rsid w:val="00BF0BA9"/>
    <w:rsid w:val="00BF1FA4"/>
    <w:rsid w:val="00C00D73"/>
    <w:rsid w:val="00C00DE0"/>
    <w:rsid w:val="00C40BCB"/>
    <w:rsid w:val="00C41A19"/>
    <w:rsid w:val="00C458AF"/>
    <w:rsid w:val="00C50479"/>
    <w:rsid w:val="00CA3EE9"/>
    <w:rsid w:val="00CC0561"/>
    <w:rsid w:val="00CC57A9"/>
    <w:rsid w:val="00CD30DC"/>
    <w:rsid w:val="00CF558E"/>
    <w:rsid w:val="00D35265"/>
    <w:rsid w:val="00D56D21"/>
    <w:rsid w:val="00D645A8"/>
    <w:rsid w:val="00D652E0"/>
    <w:rsid w:val="00D75BE0"/>
    <w:rsid w:val="00D928D7"/>
    <w:rsid w:val="00DB0650"/>
    <w:rsid w:val="00DC4360"/>
    <w:rsid w:val="00DE4DC5"/>
    <w:rsid w:val="00DE78B2"/>
    <w:rsid w:val="00DF2471"/>
    <w:rsid w:val="00E04A70"/>
    <w:rsid w:val="00E35D92"/>
    <w:rsid w:val="00E35EC6"/>
    <w:rsid w:val="00E41EEF"/>
    <w:rsid w:val="00E64CD6"/>
    <w:rsid w:val="00E928BE"/>
    <w:rsid w:val="00E94F46"/>
    <w:rsid w:val="00E96ED6"/>
    <w:rsid w:val="00EB3E59"/>
    <w:rsid w:val="00EE559E"/>
    <w:rsid w:val="00EF21B0"/>
    <w:rsid w:val="00F0132B"/>
    <w:rsid w:val="00F14908"/>
    <w:rsid w:val="00F17032"/>
    <w:rsid w:val="00F21574"/>
    <w:rsid w:val="00F47925"/>
    <w:rsid w:val="00F61315"/>
    <w:rsid w:val="00F708F4"/>
    <w:rsid w:val="00F90632"/>
    <w:rsid w:val="00FA3618"/>
    <w:rsid w:val="00FB151F"/>
    <w:rsid w:val="00FB3CD2"/>
    <w:rsid w:val="00FD7247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0E53013D"/>
  <w15:chartTrackingRefBased/>
  <w15:docId w15:val="{3F9B0140-B6B8-2C4C-A942-00DA2832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D6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D6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D6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D6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D6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D6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D6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D6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D6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D6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D6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D6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D673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D673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D673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D673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D673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D673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D6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D6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D6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D6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D6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D673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D673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D673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D6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D673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D673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9D6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D673C"/>
  </w:style>
  <w:style w:type="paragraph" w:styleId="Rodap">
    <w:name w:val="footer"/>
    <w:basedOn w:val="Normal"/>
    <w:link w:val="RodapCarter"/>
    <w:uiPriority w:val="99"/>
    <w:unhideWhenUsed/>
    <w:rsid w:val="009D67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D673C"/>
  </w:style>
  <w:style w:type="character" w:styleId="Hiperligao">
    <w:name w:val="Hyperlink"/>
    <w:basedOn w:val="Tipodeletrapredefinidodopargrafo"/>
    <w:uiPriority w:val="99"/>
    <w:unhideWhenUsed/>
    <w:rsid w:val="009D673C"/>
    <w:rPr>
      <w:color w:val="467886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673C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AD0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Tipodeletrapredefinidodopargrafo"/>
    <w:rsid w:val="00AD058B"/>
  </w:style>
  <w:style w:type="character" w:customStyle="1" w:styleId="eop">
    <w:name w:val="eop"/>
    <w:basedOn w:val="Tipodeletrapredefinidodopargrafo"/>
    <w:rsid w:val="00AD058B"/>
  </w:style>
  <w:style w:type="character" w:customStyle="1" w:styleId="nobreakhyphenblob">
    <w:name w:val="nobreakhyphenblob"/>
    <w:basedOn w:val="Tipodeletrapredefinidodopargrafo"/>
    <w:rsid w:val="00AD058B"/>
  </w:style>
  <w:style w:type="character" w:styleId="MenoNoResolvida">
    <w:name w:val="Unresolved Mention"/>
    <w:basedOn w:val="Tipodeletrapredefinidodopargrafo"/>
    <w:uiPriority w:val="99"/>
    <w:semiHidden/>
    <w:unhideWhenUsed/>
    <w:rsid w:val="00D35265"/>
    <w:rPr>
      <w:color w:val="605E5C"/>
      <w:shd w:val="clear" w:color="auto" w:fill="E1DFDD"/>
    </w:rPr>
  </w:style>
  <w:style w:type="character" w:customStyle="1" w:styleId="outlook-search-highlight">
    <w:name w:val="outlook-search-highlight"/>
    <w:basedOn w:val="Tipodeletrapredefinidodopargrafo"/>
    <w:rsid w:val="00D35265"/>
  </w:style>
  <w:style w:type="paragraph" w:styleId="Reviso">
    <w:name w:val="Revision"/>
    <w:hidden/>
    <w:uiPriority w:val="99"/>
    <w:semiHidden/>
    <w:rsid w:val="00A112C0"/>
    <w:pPr>
      <w:spacing w:after="0" w:line="240" w:lineRule="auto"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A112C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112C0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112C0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112C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112C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86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pt-PT"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993A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unice.gaspar@lift.com.pt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ana.santos@lift.com.pt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t.nttdata.com/insights/reports/cyber-threat-intelligence-trend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pt.nttdata.com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2A96CA1-3E92-BC42-9AAA-4A13E52CEC2C}">
  <we:reference id="wa104380773" version="2.2.7.0" store="en-US" storeType="OMEX"/>
  <we:alternateReferences>
    <we:reference id="WA104380773" version="2.2.7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d4967f-e124-43f3-a68f-dac69c34bad6">
      <Terms xmlns="http://schemas.microsoft.com/office/infopath/2007/PartnerControls"/>
    </lcf76f155ced4ddcb4097134ff3c332f>
    <TaxCatchAll xmlns="c17badae-82f5-44c6-a5ed-7d84be8fc9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4439792540114CACC1B0E6A3C20D03" ma:contentTypeVersion="19" ma:contentTypeDescription="Crear nuevo documento." ma:contentTypeScope="" ma:versionID="032d8def886905847ff33a68b16c0547">
  <xsd:schema xmlns:xsd="http://www.w3.org/2001/XMLSchema" xmlns:xs="http://www.w3.org/2001/XMLSchema" xmlns:p="http://schemas.microsoft.com/office/2006/metadata/properties" xmlns:ns2="92d4967f-e124-43f3-a68f-dac69c34bad6" xmlns:ns3="c17badae-82f5-44c6-a5ed-7d84be8fc952" targetNamespace="http://schemas.microsoft.com/office/2006/metadata/properties" ma:root="true" ma:fieldsID="d2df5a76d406c773c32b231da038a376" ns2:_="" ns3:_="">
    <xsd:import namespace="92d4967f-e124-43f3-a68f-dac69c34bad6"/>
    <xsd:import namespace="c17badae-82f5-44c6-a5ed-7d84be8fc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d4967f-e124-43f3-a68f-dac69c34ba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85e823d-31db-440c-980d-283f89df7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7badae-82f5-44c6-a5ed-7d84be8fc95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bd9501-ea29-4620-9619-61cd4248534c}" ma:internalName="TaxCatchAll" ma:showField="CatchAllData" ma:web="c17badae-82f5-44c6-a5ed-7d84be8fc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29321A-8196-4162-A3AE-9743E1A6E664}">
  <ds:schemaRefs>
    <ds:schemaRef ds:uri="http://schemas.microsoft.com/office/2006/metadata/properties"/>
    <ds:schemaRef ds:uri="http://schemas.microsoft.com/office/infopath/2007/PartnerControls"/>
    <ds:schemaRef ds:uri="92d4967f-e124-43f3-a68f-dac69c34bad6"/>
    <ds:schemaRef ds:uri="c17badae-82f5-44c6-a5ed-7d84be8fc952"/>
  </ds:schemaRefs>
</ds:datastoreItem>
</file>

<file path=customXml/itemProps2.xml><?xml version="1.0" encoding="utf-8"?>
<ds:datastoreItem xmlns:ds="http://schemas.openxmlformats.org/officeDocument/2006/customXml" ds:itemID="{657F0D12-A6EC-4DE6-91E4-96415AA94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d4967f-e124-43f3-a68f-dac69c34bad6"/>
    <ds:schemaRef ds:uri="c17badae-82f5-44c6-a5ed-7d84be8fc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B22020-AF8E-47CA-8F0F-E1BB0E9F0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1024</Words>
  <Characters>5532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Postlethwaite</dc:creator>
  <cp:keywords/>
  <dc:description/>
  <cp:lastModifiedBy>Ana Santos</cp:lastModifiedBy>
  <cp:revision>12</cp:revision>
  <dcterms:created xsi:type="dcterms:W3CDTF">2026-09-11T09:49:00Z</dcterms:created>
  <dcterms:modified xsi:type="dcterms:W3CDTF">2026-10-06T13:34:00Z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0x010100C64439792540114CACC1B0E6A3C20D03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_NewReviewCycle">
    <vt:lpwstr/>
  </property>
  <property fmtid="{D5CDD505-2E9C-101B-9397-08002B2CF9AE}" pid="6" name="ClassificationContentMarkingFooterShapeIds">
    <vt:lpwstr>13f612e5,2a68e7b1,24ab78da</vt:lpwstr>
  </property>
  <property fmtid="{D5CDD505-2E9C-101B-9397-08002B2CF9AE}" pid="7" name="ClassificationContentMarkingFooterFontProps">
    <vt:lpwstr>#2e404d,8,Arial</vt:lpwstr>
  </property>
  <property fmtid="{D5CDD505-2E9C-101B-9397-08002B2CF9AE}" pid="8" name="ClassificationContentMarkingFooterText">
    <vt:lpwstr>Sensitivity Label: General</vt:lpwstr>
  </property>
  <property fmtid="{D5CDD505-2E9C-101B-9397-08002B2CF9AE}" pid="9" name="MSIP_Label_4637e5cc-ed1f-4ad6-a881-35c0f1c6f3d8_Enabled">
    <vt:lpwstr>true</vt:lpwstr>
  </property>
  <property fmtid="{D5CDD505-2E9C-101B-9397-08002B2CF9AE}" pid="10" name="MSIP_Label_4637e5cc-ed1f-4ad6-a881-35c0f1c6f3d8_SetDate">
    <vt:lpwstr>2026-05-29T10:02:57Z</vt:lpwstr>
  </property>
  <property fmtid="{D5CDD505-2E9C-101B-9397-08002B2CF9AE}" pid="11" name="MSIP_Label_4637e5cc-ed1f-4ad6-a881-35c0f1c6f3d8_Method">
    <vt:lpwstr>Standard</vt:lpwstr>
  </property>
  <property fmtid="{D5CDD505-2E9C-101B-9397-08002B2CF9AE}" pid="12" name="MSIP_Label_4637e5cc-ed1f-4ad6-a881-35c0f1c6f3d8_Name">
    <vt:lpwstr>General</vt:lpwstr>
  </property>
  <property fmtid="{D5CDD505-2E9C-101B-9397-08002B2CF9AE}" pid="13" name="MSIP_Label_4637e5cc-ed1f-4ad6-a881-35c0f1c6f3d8_SiteId">
    <vt:lpwstr>e3cf3c98-a978-465f-8254-9d541eeea73c</vt:lpwstr>
  </property>
  <property fmtid="{D5CDD505-2E9C-101B-9397-08002B2CF9AE}" pid="14" name="MSIP_Label_4637e5cc-ed1f-4ad6-a881-35c0f1c6f3d8_ActionId">
    <vt:lpwstr>018b3af6-669f-4337-ac1f-74f84863cef6</vt:lpwstr>
  </property>
  <property fmtid="{D5CDD505-2E9C-101B-9397-08002B2CF9AE}" pid="15" name="MSIP_Label_4637e5cc-ed1f-4ad6-a881-35c0f1c6f3d8_ContentBits">
    <vt:lpwstr>2</vt:lpwstr>
  </property>
  <property fmtid="{D5CDD505-2E9C-101B-9397-08002B2CF9AE}" pid="16" name="MSIP_Label_4637e5cc-ed1f-4ad6-a881-35c0f1c6f3d8_Tag">
    <vt:lpwstr>10, 3, 0, 1</vt:lpwstr>
  </property>
</Properties>
</file>