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47E82" w14:textId="502EFC6D" w:rsidR="00D763C9" w:rsidRDefault="00C66D98" w:rsidP="00D8477D">
      <w:r w:rsidRPr="00C66D98">
        <w:rPr>
          <w:noProof/>
        </w:rPr>
        <mc:AlternateContent>
          <mc:Choice Requires="wps">
            <w:drawing>
              <wp:anchor distT="0" distB="0" distL="114300" distR="114300" simplePos="0" relativeHeight="251658240" behindDoc="0" locked="0" layoutInCell="1" allowOverlap="1" wp14:anchorId="79F3970F" wp14:editId="48B2DE3A">
                <wp:simplePos x="0" y="0"/>
                <wp:positionH relativeFrom="margin">
                  <wp:align>center</wp:align>
                </wp:positionH>
                <wp:positionV relativeFrom="paragraph">
                  <wp:posOffset>3175</wp:posOffset>
                </wp:positionV>
                <wp:extent cx="659958" cy="330200"/>
                <wp:effectExtent l="0" t="0" r="6985" b="0"/>
                <wp:wrapNone/>
                <wp:docPr id="6" name="Rounded Rectangle">
                  <a:extLst xmlns:a="http://schemas.openxmlformats.org/drawingml/2006/main">
                    <a:ext uri="{FF2B5EF4-FFF2-40B4-BE49-F238E27FC236}">
                      <a16:creationId xmlns:a16="http://schemas.microsoft.com/office/drawing/2014/main" id="{FAD25626-EF60-4A21-BFC4-2A00B0CE03C5}"/>
                    </a:ext>
                  </a:extLst>
                </wp:docPr>
                <wp:cNvGraphicFramePr/>
                <a:graphic xmlns:a="http://schemas.openxmlformats.org/drawingml/2006/main">
                  <a:graphicData uri="http://schemas.microsoft.com/office/word/2010/wordprocessingShape">
                    <wps:wsp>
                      <wps:cNvSpPr/>
                      <wps:spPr>
                        <a:xfrm>
                          <a:off x="0" y="0"/>
                          <a:ext cx="659958" cy="330200"/>
                        </a:xfrm>
                        <a:prstGeom prst="roundRect">
                          <a:avLst>
                            <a:gd name="adj" fmla="val 50000"/>
                          </a:avLst>
                        </a:prstGeom>
                        <a:solidFill>
                          <a:srgbClr val="0195C7"/>
                        </a:solidFill>
                        <a:ln w="12700">
                          <a:miter lim="400000"/>
                        </a:ln>
                      </wps:spPr>
                      <wps:txbx>
                        <w:txbxContent>
                          <w:p w14:paraId="5AF847AA" w14:textId="21ED6604" w:rsidR="00C66D98" w:rsidRPr="00C66D98" w:rsidRDefault="007027E3" w:rsidP="00C66D98">
                            <w:pPr>
                              <w:spacing w:after="0" w:line="240" w:lineRule="auto"/>
                              <w:jc w:val="center"/>
                              <w:rPr>
                                <w:rFonts w:ascii="Microsoft PhagsPa" w:eastAsia="Microsoft JhengHei UI" w:hAnsi="Microsoft PhagsPa" w:cs="Helvetica Neue Medium"/>
                                <w:b/>
                                <w:bCs/>
                                <w:color w:val="FFFFFF" w:themeColor="background1"/>
                                <w:kern w:val="24"/>
                                <w:sz w:val="16"/>
                                <w:szCs w:val="16"/>
                                <w:lang w:val="pt-PT"/>
                                <w14:ligatures w14:val="none"/>
                              </w:rPr>
                            </w:pPr>
                            <w:r>
                              <w:rPr>
                                <w:rFonts w:ascii="Microsoft PhagsPa" w:eastAsia="Microsoft JhengHei UI" w:hAnsi="Microsoft PhagsPa" w:cs="Helvetica Neue Medium"/>
                                <w:b/>
                                <w:bCs/>
                                <w:color w:val="FFFFFF" w:themeColor="background1"/>
                                <w:kern w:val="24"/>
                                <w:sz w:val="16"/>
                                <w:szCs w:val="16"/>
                                <w:lang w:val="pt-PT"/>
                              </w:rPr>
                              <w:t>DICAS</w:t>
                            </w:r>
                          </w:p>
                        </w:txbxContent>
                      </wps:txbx>
                      <wps:bodyPr wrap="square" lIns="50800" tIns="50800" rIns="50800" bIns="50800" anchor="ctr">
                        <a:noAutofit/>
                      </wps:bodyPr>
                    </wps:wsp>
                  </a:graphicData>
                </a:graphic>
                <wp14:sizeRelH relativeFrom="margin">
                  <wp14:pctWidth>0</wp14:pctWidth>
                </wp14:sizeRelH>
                <wp14:sizeRelV relativeFrom="margin">
                  <wp14:pctHeight>0</wp14:pctHeight>
                </wp14:sizeRelV>
              </wp:anchor>
            </w:drawing>
          </mc:Choice>
          <mc:Fallback>
            <w:pict>
              <v:roundrect w14:anchorId="79F3970F" id="Rounded Rectangle" o:spid="_x0000_s1026" style="position:absolute;margin-left:0;margin-top:.25pt;width:51.95pt;height:26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" fillcolor="#0195c7" stroked="f" strokeweight="1pt">
                <v:stroke miterlimit="4" joinstyle="miter"/>
                <v:textbox inset="4pt,4pt,4pt,4pt">
                  <w:txbxContent>
                    <w:p w14:paraId="5AF847AA" w14:textId="21ED6604" w:rsidR="00C66D98" w:rsidRPr="00C66D98" w:rsidRDefault="007027E3" w:rsidP="00C66D98">
                      <w:pPr>
                        <w:spacing w:after="0" w:line="240" w:lineRule="auto"/>
                        <w:jc w:val="center"/>
                        <w:rPr>
                          <w:rFonts w:ascii="Microsoft PhagsPa" w:eastAsia="Microsoft JhengHei UI" w:hAnsi="Microsoft PhagsPa" w:cs="Helvetica Neue Medium"/>
                          <w:b/>
                          <w:bCs/>
                          <w:color w:val="FFFFFF" w:themeColor="background1"/>
                          <w:kern w:val="24"/>
                          <w:sz w:val="16"/>
                          <w:szCs w:val="16"/>
                          <w:lang w:val="pt-PT"/>
                          <w14:ligatures w14:val="none"/>
                        </w:rPr>
                      </w:pPr>
                      <w:r>
                        <w:rPr>
                          <w:rFonts w:ascii="Microsoft PhagsPa" w:eastAsia="Microsoft JhengHei UI" w:hAnsi="Microsoft PhagsPa" w:cs="Helvetica Neue Medium"/>
                          <w:b/>
                          <w:bCs/>
                          <w:color w:val="FFFFFF" w:themeColor="background1"/>
                          <w:kern w:val="24"/>
                          <w:sz w:val="16"/>
                          <w:szCs w:val="16"/>
                          <w:lang w:val="pt-PT"/>
                        </w:rPr>
                        <w:t>DICAS</w:t>
                      </w:r>
                    </w:p>
                  </w:txbxContent>
                </v:textbox>
                <w10:wrap anchorx="margin"/>
              </v:roundrect>
            </w:pict>
          </mc:Fallback>
        </mc:AlternateContent>
      </w:r>
    </w:p>
    <w:p w14:paraId="75CC24E3" w14:textId="77777777" w:rsidR="00D8477D" w:rsidRPr="00D8477D" w:rsidRDefault="00D8477D" w:rsidP="00D8477D"/>
    <w:p w14:paraId="572B86B2" w14:textId="3C6CD9FD" w:rsidR="00AB3C45" w:rsidRPr="00AB3C45" w:rsidRDefault="00AB3C45" w:rsidP="00DF2C62">
      <w:pPr>
        <w:spacing w:after="80" w:line="264" w:lineRule="auto"/>
        <w:jc w:val="center"/>
        <w:rPr>
          <w:rFonts w:ascii="Microsoft PhagsPa" w:eastAsia="Microsoft JhengHei UI" w:hAnsi="Microsoft PhagsPa"/>
          <w:b/>
          <w:bCs/>
          <w:color w:val="0195C7"/>
          <w:sz w:val="40"/>
          <w:szCs w:val="40"/>
          <w:u w:val="single"/>
          <w:lang w:val="pt-PT"/>
        </w:rPr>
      </w:pPr>
      <w:r w:rsidRPr="00790FA7">
        <w:rPr>
          <w:rFonts w:ascii="Microsoft PhagsPa" w:eastAsia="Microsoft JhengHei UI" w:hAnsi="Microsoft PhagsPa"/>
          <w:b/>
          <w:bCs/>
          <w:color w:val="0195C7"/>
          <w:sz w:val="28"/>
          <w:szCs w:val="28"/>
          <w:u w:val="single"/>
          <w:lang w:val="pt-PT"/>
        </w:rPr>
        <w:t>Semana Mundial do Investidor</w:t>
      </w:r>
    </w:p>
    <w:p w14:paraId="324B1A98" w14:textId="699012BB" w:rsidR="00C66D98" w:rsidRDefault="00AB3C45" w:rsidP="00DF2C62">
      <w:pPr>
        <w:spacing w:after="80" w:line="264" w:lineRule="auto"/>
        <w:jc w:val="center"/>
        <w:rPr>
          <w:rFonts w:ascii="Microsoft PhagsPa" w:eastAsia="Microsoft JhengHei UI" w:hAnsi="Microsoft PhagsPa"/>
          <w:b/>
          <w:bCs/>
          <w:color w:val="0195C7"/>
          <w:sz w:val="40"/>
          <w:szCs w:val="40"/>
          <w:lang w:val="pt-PT"/>
        </w:rPr>
      </w:pPr>
      <w:r w:rsidRPr="00AB3C45">
        <w:rPr>
          <w:rFonts w:ascii="Microsoft PhagsPa" w:eastAsia="Microsoft JhengHei UI" w:hAnsi="Microsoft PhagsPa"/>
          <w:b/>
          <w:bCs/>
          <w:color w:val="0195C7"/>
          <w:sz w:val="40"/>
          <w:szCs w:val="40"/>
          <w:lang w:val="pt-PT"/>
        </w:rPr>
        <w:t>6 cuidados a ter antes de começar a investir</w:t>
      </w:r>
    </w:p>
    <w:p w14:paraId="25697B2D" w14:textId="77777777" w:rsidR="00DF7F0D" w:rsidRDefault="00DF7F0D" w:rsidP="00DF7F0D">
      <w:pPr>
        <w:spacing w:after="240" w:line="360" w:lineRule="auto"/>
        <w:ind w:left="357"/>
        <w:jc w:val="both"/>
        <w:rPr>
          <w:rFonts w:ascii="Microsoft PhagsPa" w:eastAsia="Microsoft JhengHei UI" w:hAnsi="Microsoft PhagsPa"/>
          <w:sz w:val="22"/>
          <w:szCs w:val="22"/>
          <w:lang w:val="pt-PT"/>
        </w:rPr>
      </w:pPr>
    </w:p>
    <w:p w14:paraId="08FA2070" w14:textId="241AA996" w:rsidR="0032632B" w:rsidRPr="0032632B" w:rsidRDefault="00AB3C45" w:rsidP="00A408F6">
      <w:pPr>
        <w:spacing w:after="240" w:line="360" w:lineRule="auto"/>
        <w:ind w:left="357"/>
        <w:jc w:val="both"/>
        <w:rPr>
          <w:rFonts w:ascii="Microsoft PhagsPa" w:eastAsia="Microsoft JhengHei UI" w:hAnsi="Microsoft PhagsPa"/>
          <w:sz w:val="22"/>
          <w:szCs w:val="22"/>
          <w:lang w:val="pt-PT"/>
        </w:rPr>
      </w:pPr>
      <w:r w:rsidRPr="00AB3C45">
        <w:rPr>
          <w:rFonts w:ascii="Microsoft PhagsPa" w:eastAsia="Microsoft JhengHei UI" w:hAnsi="Microsoft PhagsPa"/>
          <w:sz w:val="22"/>
          <w:szCs w:val="22"/>
          <w:lang w:val="pt-PT"/>
        </w:rPr>
        <w:t>Começar a investir pode ser uma forma de colocar o dinheiro a trabalhar para objetivos futuros, mas exige preparação. Investir sem ter uma reserva para imprevistos, avançar para produtos que não se compreendem ou tomar decisões influenciadas pelas oscilações dos mercados são alguns dos erros que podem comprometer os resultados.</w:t>
      </w:r>
    </w:p>
    <w:p w14:paraId="26AA7420" w14:textId="4EB1508F" w:rsidR="002F5B37" w:rsidRDefault="00AB3C45" w:rsidP="00D763C9">
      <w:pPr>
        <w:spacing w:after="240" w:line="360" w:lineRule="auto"/>
        <w:ind w:left="357"/>
        <w:jc w:val="both"/>
        <w:rPr>
          <w:rFonts w:ascii="Microsoft PhagsPa" w:eastAsia="Microsoft JhengHei UI" w:hAnsi="Microsoft PhagsPa"/>
          <w:sz w:val="22"/>
          <w:szCs w:val="22"/>
          <w:lang w:val="pt-PT"/>
        </w:rPr>
      </w:pPr>
      <w:r w:rsidRPr="00AB3C45">
        <w:rPr>
          <w:rFonts w:ascii="Microsoft PhagsPa" w:eastAsia="Microsoft JhengHei UI" w:hAnsi="Microsoft PhagsPa"/>
          <w:sz w:val="22"/>
          <w:szCs w:val="22"/>
          <w:lang w:val="pt-PT"/>
        </w:rPr>
        <w:t>A pensar em quem está a ponderar começar a investir,</w:t>
      </w:r>
      <w:r w:rsidR="0032632B" w:rsidRPr="0032632B">
        <w:rPr>
          <w:rFonts w:ascii="Microsoft PhagsPa" w:eastAsia="Microsoft JhengHei UI" w:hAnsi="Microsoft PhagsPa"/>
          <w:sz w:val="22"/>
          <w:szCs w:val="22"/>
          <w:lang w:val="pt-PT"/>
        </w:rPr>
        <w:t xml:space="preserve"> </w:t>
      </w:r>
      <w:r w:rsidR="00D763C9" w:rsidRPr="00D763C9">
        <w:rPr>
          <w:rFonts w:ascii="Microsoft PhagsPa" w:eastAsia="Microsoft JhengHei UI" w:hAnsi="Microsoft PhagsPa"/>
          <w:sz w:val="22"/>
          <w:szCs w:val="22"/>
          <w:lang w:val="pt-PT"/>
        </w:rPr>
        <w:t xml:space="preserve">o </w:t>
      </w:r>
      <w:hyperlink r:id="rId10" w:history="1">
        <w:r w:rsidR="00D763C9" w:rsidRPr="00D763C9">
          <w:rPr>
            <w:rStyle w:val="Hiperligao"/>
            <w:rFonts w:ascii="Microsoft PhagsPa" w:eastAsia="Microsoft JhengHei UI" w:hAnsi="Microsoft PhagsPa"/>
            <w:sz w:val="22"/>
            <w:szCs w:val="22"/>
            <w:lang w:val="pt-PT"/>
          </w:rPr>
          <w:t>Doutor Finanças</w:t>
        </w:r>
      </w:hyperlink>
      <w:r w:rsidR="00D763C9" w:rsidRPr="00D763C9">
        <w:rPr>
          <w:rFonts w:ascii="Microsoft PhagsPa" w:eastAsia="Microsoft JhengHei UI" w:hAnsi="Microsoft PhagsPa"/>
          <w:sz w:val="22"/>
          <w:szCs w:val="22"/>
          <w:lang w:val="pt-PT"/>
        </w:rPr>
        <w:t xml:space="preserve"> </w:t>
      </w:r>
      <w:r w:rsidRPr="00AB3C45">
        <w:rPr>
          <w:rFonts w:ascii="Microsoft PhagsPa" w:eastAsia="Microsoft JhengHei UI" w:hAnsi="Microsoft PhagsPa"/>
          <w:sz w:val="22"/>
          <w:szCs w:val="22"/>
          <w:lang w:val="pt-PT"/>
        </w:rPr>
        <w:t>reuniu seis cuidados que podem ajudar a tomar decisões mais conscientes.</w:t>
      </w:r>
      <w:r w:rsidR="00CE7139" w:rsidRPr="00CE7139">
        <w:rPr>
          <w:rFonts w:ascii="Microsoft PhagsPa" w:eastAsia="Microsoft JhengHei UI" w:hAnsi="Microsoft PhagsPa"/>
          <w:sz w:val="22"/>
          <w:szCs w:val="22"/>
          <w:lang w:val="pt-PT"/>
        </w:rPr>
        <w:t xml:space="preserve"> </w:t>
      </w:r>
    </w:p>
    <w:p w14:paraId="3D20BE3B" w14:textId="4EC671FF" w:rsidR="00DC411D" w:rsidRPr="0014328B" w:rsidRDefault="000A0F80" w:rsidP="0014328B">
      <w:pPr>
        <w:pStyle w:val="PargrafodaLista"/>
        <w:numPr>
          <w:ilvl w:val="0"/>
          <w:numId w:val="6"/>
        </w:numPr>
        <w:spacing w:after="240" w:line="360" w:lineRule="auto"/>
        <w:jc w:val="both"/>
        <w:rPr>
          <w:rFonts w:ascii="Microsoft PhagsPa" w:eastAsia="Microsoft JhengHei UI" w:hAnsi="Microsoft PhagsPa"/>
          <w:lang w:val="pt-PT"/>
        </w:rPr>
      </w:pPr>
      <w:r w:rsidRPr="000A0F80">
        <w:rPr>
          <w:rFonts w:ascii="Microsoft PhagsPa" w:eastAsia="Microsoft JhengHei UI" w:hAnsi="Microsoft PhagsPa"/>
          <w:b/>
          <w:bCs/>
          <w:color w:val="0195C7"/>
          <w:lang w:val="pt-PT"/>
        </w:rPr>
        <w:t>Garantir primeiro uma reserva para imprevistos</w:t>
      </w:r>
    </w:p>
    <w:p w14:paraId="34FE2B4D" w14:textId="04F2BA7C" w:rsidR="000A0F80" w:rsidRPr="000A0F80" w:rsidRDefault="000A0F80" w:rsidP="000A0F80">
      <w:pPr>
        <w:spacing w:after="240" w:line="360" w:lineRule="auto"/>
        <w:ind w:left="426"/>
        <w:jc w:val="both"/>
        <w:rPr>
          <w:rFonts w:ascii="Microsoft PhagsPa" w:eastAsia="Microsoft JhengHei UI" w:hAnsi="Microsoft PhagsPa"/>
          <w:sz w:val="22"/>
          <w:szCs w:val="22"/>
          <w:lang w:val="pt-PT"/>
        </w:rPr>
      </w:pPr>
      <w:r w:rsidRPr="000A0F80">
        <w:rPr>
          <w:rFonts w:ascii="Microsoft PhagsPa" w:eastAsia="Microsoft JhengHei UI" w:hAnsi="Microsoft PhagsPa"/>
          <w:sz w:val="22"/>
          <w:szCs w:val="22"/>
          <w:lang w:val="pt-PT"/>
        </w:rPr>
        <w:t>Antes de começar a investir, importa assegurar que existe dinheiro disponível para suportar as despesas correntes e eventuais gastos inesperados. Fazer um orçamento e constituir um fundo de emergência ajuda a evitar que sejam investidos montantes que poderão ser necessários no curto prazo.</w:t>
      </w:r>
    </w:p>
    <w:p w14:paraId="735F5784" w14:textId="4BCC104F" w:rsidR="000A0F80" w:rsidRPr="00D8477D" w:rsidRDefault="000A0F80" w:rsidP="000A0F80">
      <w:pPr>
        <w:spacing w:after="240" w:line="360" w:lineRule="auto"/>
        <w:ind w:left="426"/>
        <w:jc w:val="both"/>
        <w:rPr>
          <w:rFonts w:ascii="Microsoft PhagsPa" w:eastAsia="Microsoft JhengHei UI" w:hAnsi="Microsoft PhagsPa"/>
          <w:sz w:val="22"/>
          <w:szCs w:val="22"/>
          <w:lang w:val="pt-PT"/>
        </w:rPr>
      </w:pPr>
      <w:r w:rsidRPr="000A0F80">
        <w:rPr>
          <w:rFonts w:ascii="Microsoft PhagsPa" w:eastAsia="Microsoft JhengHei UI" w:hAnsi="Microsoft PhagsPa"/>
          <w:sz w:val="22"/>
          <w:szCs w:val="22"/>
          <w:lang w:val="pt-PT"/>
        </w:rPr>
        <w:t>Por isso, antes de investir, é importante distinguir o dinheiro destinado às necessidades de curto prazo daquele que poderá permanecer aplicado durante mais tempo.</w:t>
      </w:r>
    </w:p>
    <w:p w14:paraId="5BF07517" w14:textId="6053FD45" w:rsidR="0014328B" w:rsidRPr="00D763C9" w:rsidRDefault="000A0F80" w:rsidP="0014328B">
      <w:pPr>
        <w:pStyle w:val="PargrafodaLista"/>
        <w:numPr>
          <w:ilvl w:val="0"/>
          <w:numId w:val="6"/>
        </w:numPr>
        <w:spacing w:after="240" w:line="360" w:lineRule="auto"/>
        <w:jc w:val="both"/>
        <w:rPr>
          <w:rFonts w:ascii="Microsoft PhagsPa" w:eastAsia="Microsoft JhengHei UI" w:hAnsi="Microsoft PhagsPa"/>
          <w:lang w:val="pt-PT"/>
        </w:rPr>
      </w:pPr>
      <w:r w:rsidRPr="000A0F80">
        <w:rPr>
          <w:rFonts w:ascii="Microsoft PhagsPa" w:eastAsia="Microsoft JhengHei UI" w:hAnsi="Microsoft PhagsPa"/>
          <w:b/>
          <w:bCs/>
          <w:color w:val="0195C7"/>
          <w:lang w:val="pt-PT"/>
        </w:rPr>
        <w:t>Perceber onde está a colocar o dinheiro</w:t>
      </w:r>
    </w:p>
    <w:p w14:paraId="6E131A33" w14:textId="478331E3" w:rsidR="002F5B37" w:rsidRPr="002F5B37" w:rsidRDefault="002D1CA2" w:rsidP="000A0F80">
      <w:pPr>
        <w:spacing w:line="360" w:lineRule="auto"/>
        <w:ind w:left="357"/>
        <w:jc w:val="both"/>
        <w:rPr>
          <w:rFonts w:ascii="Microsoft PhagsPa" w:eastAsia="Microsoft JhengHei UI" w:hAnsi="Microsoft PhagsPa"/>
          <w:sz w:val="22"/>
          <w:szCs w:val="22"/>
          <w:lang w:val="pt-PT"/>
        </w:rPr>
      </w:pPr>
      <w:r w:rsidRPr="002D1CA2">
        <w:rPr>
          <w:rFonts w:ascii="Microsoft PhagsPa" w:eastAsia="Microsoft JhengHei UI" w:hAnsi="Microsoft PhagsPa"/>
          <w:sz w:val="22"/>
          <w:szCs w:val="22"/>
          <w:lang w:val="pt-PT"/>
        </w:rPr>
        <w:t xml:space="preserve">Antes de investir, é importante compreender o produto escolhido, o seu funcionamento e os riscos que lhe estão associados. </w:t>
      </w:r>
      <w:r w:rsidR="000F4B79">
        <w:rPr>
          <w:rFonts w:ascii="Microsoft PhagsPa" w:eastAsia="Microsoft JhengHei UI" w:hAnsi="Microsoft PhagsPa"/>
          <w:sz w:val="22"/>
          <w:szCs w:val="22"/>
          <w:lang w:val="pt-PT"/>
        </w:rPr>
        <w:t>I</w:t>
      </w:r>
      <w:r w:rsidRPr="002D1CA2">
        <w:rPr>
          <w:rFonts w:ascii="Microsoft PhagsPa" w:eastAsia="Microsoft JhengHei UI" w:hAnsi="Microsoft PhagsPa"/>
          <w:sz w:val="22"/>
          <w:szCs w:val="22"/>
          <w:lang w:val="pt-PT"/>
        </w:rPr>
        <w:t xml:space="preserve">nvestir sem perceber onde </w:t>
      </w:r>
      <w:r w:rsidR="000F4B79">
        <w:rPr>
          <w:rFonts w:ascii="Microsoft PhagsPa" w:eastAsia="Microsoft JhengHei UI" w:hAnsi="Microsoft PhagsPa"/>
          <w:sz w:val="22"/>
          <w:szCs w:val="22"/>
          <w:lang w:val="pt-PT"/>
        </w:rPr>
        <w:t xml:space="preserve">se </w:t>
      </w:r>
      <w:r w:rsidRPr="002D1CA2">
        <w:rPr>
          <w:rFonts w:ascii="Microsoft PhagsPa" w:eastAsia="Microsoft JhengHei UI" w:hAnsi="Microsoft PhagsPa"/>
          <w:sz w:val="22"/>
          <w:szCs w:val="22"/>
          <w:lang w:val="pt-PT"/>
        </w:rPr>
        <w:t>está a colocar o dinheiro pode levar a decisões precipitadas. Também importa evitar seguir tendências, recomendações de terceiros ou conteúdos vistos nas redes sociais sem uma análise prévia. O investimento deve estar alinhado com o perfil do investidor e com os objetivos definidos.</w:t>
      </w:r>
    </w:p>
    <w:p w14:paraId="30C668C8" w14:textId="0CCC3121" w:rsidR="00963E08" w:rsidRPr="0014328B" w:rsidRDefault="000A0F80" w:rsidP="00963E08">
      <w:pPr>
        <w:pStyle w:val="PargrafodaLista"/>
        <w:numPr>
          <w:ilvl w:val="0"/>
          <w:numId w:val="6"/>
        </w:numPr>
        <w:spacing w:after="240" w:line="360" w:lineRule="auto"/>
        <w:jc w:val="both"/>
        <w:rPr>
          <w:rFonts w:ascii="Microsoft PhagsPa" w:eastAsia="Microsoft JhengHei UI" w:hAnsi="Microsoft PhagsPa"/>
          <w:lang w:val="pt-PT"/>
        </w:rPr>
      </w:pPr>
      <w:r w:rsidRPr="000A0F80">
        <w:rPr>
          <w:rFonts w:ascii="Microsoft PhagsPa" w:eastAsia="Microsoft JhengHei UI" w:hAnsi="Microsoft PhagsPa"/>
          <w:b/>
          <w:bCs/>
          <w:color w:val="0195C7"/>
          <w:lang w:val="pt-PT"/>
        </w:rPr>
        <w:lastRenderedPageBreak/>
        <w:t>Evitar concentrar todo o investimento num único ativo</w:t>
      </w:r>
    </w:p>
    <w:p w14:paraId="320BF0A5" w14:textId="4B9F2ACB" w:rsidR="000A0F80" w:rsidRPr="000A0F80" w:rsidRDefault="000A0F80" w:rsidP="000A0F80">
      <w:pPr>
        <w:spacing w:line="360" w:lineRule="auto"/>
        <w:ind w:left="357"/>
        <w:jc w:val="both"/>
        <w:rPr>
          <w:rFonts w:ascii="Microsoft PhagsPa" w:eastAsia="Microsoft JhengHei UI" w:hAnsi="Microsoft PhagsPa"/>
          <w:sz w:val="22"/>
          <w:szCs w:val="22"/>
          <w:lang w:val="pt-PT"/>
        </w:rPr>
      </w:pPr>
      <w:r w:rsidRPr="000A0F80">
        <w:rPr>
          <w:rFonts w:ascii="Microsoft PhagsPa" w:eastAsia="Microsoft JhengHei UI" w:hAnsi="Microsoft PhagsPa"/>
          <w:sz w:val="22"/>
          <w:szCs w:val="22"/>
          <w:lang w:val="pt-PT"/>
        </w:rPr>
        <w:t>A diversificação permite distribuir o dinheiro por diferentes investimentos, fazendo com que o desempenho positivo de uns possa ajudar a compensar resultados menos favoráveis de outros. Esta diversificação pode ser feita por tipo de ativo, empresa, setor ou área geográfica.</w:t>
      </w:r>
    </w:p>
    <w:p w14:paraId="32795972" w14:textId="2CD674D8" w:rsidR="0016079C" w:rsidRPr="00D8477D" w:rsidRDefault="000A0F80" w:rsidP="000A0F80">
      <w:pPr>
        <w:spacing w:line="360" w:lineRule="auto"/>
        <w:ind w:left="357"/>
        <w:jc w:val="both"/>
        <w:rPr>
          <w:rFonts w:ascii="Microsoft PhagsPa" w:eastAsia="Microsoft JhengHei UI" w:hAnsi="Microsoft PhagsPa"/>
          <w:sz w:val="22"/>
          <w:szCs w:val="22"/>
          <w:lang w:val="pt-PT"/>
        </w:rPr>
      </w:pPr>
      <w:r w:rsidRPr="000A0F80">
        <w:rPr>
          <w:rFonts w:ascii="Microsoft PhagsPa" w:eastAsia="Microsoft JhengHei UI" w:hAnsi="Microsoft PhagsPa"/>
          <w:sz w:val="22"/>
          <w:szCs w:val="22"/>
          <w:lang w:val="pt-PT"/>
        </w:rPr>
        <w:t>Existem também instrumentos que permitem diversificar mesmo com montantes mais reduzidos. Os ETF, por exemplo, permit</w:t>
      </w:r>
      <w:r w:rsidR="004B4A43">
        <w:rPr>
          <w:rFonts w:ascii="Microsoft PhagsPa" w:eastAsia="Microsoft JhengHei UI" w:hAnsi="Microsoft PhagsPa"/>
          <w:sz w:val="22"/>
          <w:szCs w:val="22"/>
          <w:lang w:val="pt-PT"/>
        </w:rPr>
        <w:t>em</w:t>
      </w:r>
      <w:r w:rsidRPr="000A0F80">
        <w:rPr>
          <w:rFonts w:ascii="Microsoft PhagsPa" w:eastAsia="Microsoft JhengHei UI" w:hAnsi="Microsoft PhagsPa"/>
          <w:sz w:val="22"/>
          <w:szCs w:val="22"/>
          <w:lang w:val="pt-PT"/>
        </w:rPr>
        <w:t xml:space="preserve"> investir num conjunto de empresas através de um único produto que acompanha determinado índice.</w:t>
      </w:r>
    </w:p>
    <w:p w14:paraId="17D1A321" w14:textId="64B80083" w:rsidR="00753D12" w:rsidRPr="0014328B" w:rsidRDefault="000A0F80" w:rsidP="00753D12">
      <w:pPr>
        <w:pStyle w:val="PargrafodaLista"/>
        <w:numPr>
          <w:ilvl w:val="0"/>
          <w:numId w:val="6"/>
        </w:numPr>
        <w:spacing w:after="240" w:line="360" w:lineRule="auto"/>
        <w:jc w:val="both"/>
        <w:rPr>
          <w:rFonts w:ascii="Microsoft PhagsPa" w:eastAsia="Microsoft JhengHei UI" w:hAnsi="Microsoft PhagsPa"/>
          <w:lang w:val="pt-PT"/>
        </w:rPr>
      </w:pPr>
      <w:r w:rsidRPr="000A0F80">
        <w:rPr>
          <w:rFonts w:ascii="Microsoft PhagsPa" w:eastAsia="Microsoft JhengHei UI" w:hAnsi="Microsoft PhagsPa"/>
          <w:b/>
          <w:bCs/>
          <w:color w:val="0195C7"/>
          <w:lang w:val="pt-PT"/>
        </w:rPr>
        <w:t>Contar com os custos e comissões</w:t>
      </w:r>
    </w:p>
    <w:p w14:paraId="79A3D6FE" w14:textId="722462BA" w:rsidR="00563C07" w:rsidRPr="00563C07" w:rsidRDefault="000F4B79" w:rsidP="000A0F80">
      <w:pPr>
        <w:spacing w:line="360" w:lineRule="auto"/>
        <w:ind w:left="357"/>
        <w:jc w:val="both"/>
        <w:rPr>
          <w:rFonts w:ascii="Microsoft PhagsPa" w:eastAsia="Microsoft JhengHei UI" w:hAnsi="Microsoft PhagsPa"/>
          <w:sz w:val="22"/>
          <w:szCs w:val="22"/>
          <w:lang w:val="pt-PT"/>
        </w:rPr>
      </w:pPr>
      <w:r w:rsidRPr="000F4B79">
        <w:rPr>
          <w:rFonts w:ascii="Microsoft PhagsPa" w:eastAsia="Microsoft JhengHei UI" w:hAnsi="Microsoft PhagsPa"/>
          <w:sz w:val="22"/>
          <w:szCs w:val="22"/>
          <w:lang w:val="pt-PT"/>
        </w:rPr>
        <w:t>A rentabilidade de um investimento pode ser afetada por comissões de compra e venda, custos de custódia, gestão ou outras despesas associadas ao produto. Estes encargos variam entre bancos, corretoras e plataformas digitais, pelo que devem ser analisados antes de investir, juntamente com fatores como o nível de serviço e os instrumentos disponíveis. Nos ETF, por exemplo, a taxa de custos correntes tem impacto direto na rentabilidade final.</w:t>
      </w:r>
    </w:p>
    <w:p w14:paraId="7C95BADF" w14:textId="6AB16526" w:rsidR="00563C07" w:rsidRPr="009E5BCE" w:rsidRDefault="000A0F80" w:rsidP="00753D12">
      <w:pPr>
        <w:pStyle w:val="PargrafodaLista"/>
        <w:numPr>
          <w:ilvl w:val="0"/>
          <w:numId w:val="6"/>
        </w:numPr>
        <w:spacing w:after="240" w:line="360" w:lineRule="auto"/>
        <w:jc w:val="both"/>
        <w:rPr>
          <w:rFonts w:ascii="Microsoft PhagsPa" w:eastAsia="Microsoft JhengHei UI" w:hAnsi="Microsoft PhagsPa"/>
          <w:lang w:val="pt-PT"/>
        </w:rPr>
      </w:pPr>
      <w:r w:rsidRPr="000A0F80">
        <w:rPr>
          <w:rFonts w:ascii="Microsoft PhagsPa" w:eastAsia="Microsoft JhengHei UI" w:hAnsi="Microsoft PhagsPa"/>
          <w:b/>
          <w:bCs/>
          <w:color w:val="0195C7"/>
          <w:lang w:val="pt-PT"/>
        </w:rPr>
        <w:t>Não tomar decisões apenas com base nas emoções</w:t>
      </w:r>
    </w:p>
    <w:p w14:paraId="2F29E940" w14:textId="0477F363" w:rsidR="000A0F80" w:rsidRPr="000A0F80" w:rsidRDefault="000A0F80" w:rsidP="000A0F80">
      <w:pPr>
        <w:spacing w:line="360" w:lineRule="auto"/>
        <w:ind w:left="357"/>
        <w:jc w:val="both"/>
        <w:rPr>
          <w:rFonts w:ascii="Microsoft PhagsPa" w:eastAsia="Microsoft JhengHei UI" w:hAnsi="Microsoft PhagsPa"/>
          <w:sz w:val="22"/>
          <w:szCs w:val="22"/>
          <w:lang w:val="pt-PT"/>
        </w:rPr>
      </w:pPr>
      <w:r w:rsidRPr="000A0F80">
        <w:rPr>
          <w:rFonts w:ascii="Microsoft PhagsPa" w:eastAsia="Microsoft JhengHei UI" w:hAnsi="Microsoft PhagsPa"/>
          <w:sz w:val="22"/>
          <w:szCs w:val="22"/>
          <w:lang w:val="pt-PT"/>
        </w:rPr>
        <w:t>Os mercados oscilam e essas variações podem influenciar a forma como se olha para um investimento. Comprar num momento de euforia ou vender perante a primeira queda pode conduzir a decisões que não estavam previstas na estratégia inicial.</w:t>
      </w:r>
    </w:p>
    <w:p w14:paraId="75E613EA" w14:textId="4E406C0A" w:rsidR="000A0F80" w:rsidRPr="000A0F80" w:rsidRDefault="000A0F80" w:rsidP="000A0F80">
      <w:pPr>
        <w:spacing w:line="360" w:lineRule="auto"/>
        <w:ind w:left="357"/>
        <w:jc w:val="both"/>
        <w:rPr>
          <w:rFonts w:ascii="Microsoft PhagsPa" w:eastAsia="Microsoft JhengHei UI" w:hAnsi="Microsoft PhagsPa"/>
          <w:sz w:val="22"/>
          <w:szCs w:val="22"/>
          <w:lang w:val="pt-PT"/>
        </w:rPr>
      </w:pPr>
      <w:r w:rsidRPr="000A0F80">
        <w:rPr>
          <w:rFonts w:ascii="Microsoft PhagsPa" w:eastAsia="Microsoft JhengHei UI" w:hAnsi="Microsoft PhagsPa"/>
          <w:sz w:val="22"/>
          <w:szCs w:val="22"/>
          <w:lang w:val="pt-PT"/>
        </w:rPr>
        <w:t>Uma desvalorização não significa necessariamente que seja preciso vender de imediato. Os altos e baixos fazem parte dos mercados e, nesses momentos, importa voltar aos objetivos definidos e ao horizonte temporal previsto para o investimento.</w:t>
      </w:r>
    </w:p>
    <w:p w14:paraId="377D02DC" w14:textId="2D48A192" w:rsidR="00BD2929" w:rsidRPr="009E5BCE" w:rsidRDefault="000A0F80" w:rsidP="00BD2929">
      <w:pPr>
        <w:pStyle w:val="PargrafodaLista"/>
        <w:numPr>
          <w:ilvl w:val="0"/>
          <w:numId w:val="6"/>
        </w:numPr>
        <w:spacing w:after="240" w:line="360" w:lineRule="auto"/>
        <w:jc w:val="both"/>
        <w:rPr>
          <w:rFonts w:ascii="Microsoft PhagsPa" w:eastAsia="Microsoft JhengHei UI" w:hAnsi="Microsoft PhagsPa"/>
          <w:lang w:val="pt-PT"/>
        </w:rPr>
      </w:pPr>
      <w:r w:rsidRPr="000A0F80">
        <w:rPr>
          <w:rFonts w:ascii="Microsoft PhagsPa" w:eastAsia="Microsoft JhengHei UI" w:hAnsi="Microsoft PhagsPa"/>
          <w:b/>
          <w:bCs/>
          <w:color w:val="0195C7"/>
          <w:lang w:val="pt-PT"/>
        </w:rPr>
        <w:t>Desconfiar de promessas de ganhos rápidos</w:t>
      </w:r>
    </w:p>
    <w:p w14:paraId="2D6CFDC3" w14:textId="098C85D1" w:rsidR="000A0F80" w:rsidRPr="000A0F80" w:rsidRDefault="000A0F80" w:rsidP="000A0F80">
      <w:pPr>
        <w:spacing w:line="360" w:lineRule="auto"/>
        <w:ind w:left="357"/>
        <w:jc w:val="both"/>
        <w:rPr>
          <w:rFonts w:ascii="Microsoft PhagsPa" w:eastAsia="Microsoft JhengHei UI" w:hAnsi="Microsoft PhagsPa"/>
          <w:sz w:val="22"/>
          <w:szCs w:val="22"/>
          <w:lang w:val="pt-PT"/>
        </w:rPr>
      </w:pPr>
      <w:r w:rsidRPr="000A0F80">
        <w:rPr>
          <w:rFonts w:ascii="Microsoft PhagsPa" w:eastAsia="Microsoft JhengHei UI" w:hAnsi="Microsoft PhagsPa"/>
          <w:sz w:val="22"/>
          <w:szCs w:val="22"/>
          <w:lang w:val="pt-PT"/>
        </w:rPr>
        <w:t xml:space="preserve">Promessas de retornos elevados, rápidos e garantidos devem ser encaradas com cautela. Procurar obter ganhos num espaço muito curto de tempo pode também levar a outros </w:t>
      </w:r>
      <w:r w:rsidRPr="000A0F80">
        <w:rPr>
          <w:rFonts w:ascii="Microsoft PhagsPa" w:eastAsia="Microsoft JhengHei UI" w:hAnsi="Microsoft PhagsPa"/>
          <w:sz w:val="22"/>
          <w:szCs w:val="22"/>
          <w:lang w:val="pt-PT"/>
        </w:rPr>
        <w:lastRenderedPageBreak/>
        <w:t>erros, como aplicar dinheiro que poderá ser necessário brevemente ou investir em produtos que não se compreendem e que não correspondem ao perfil do investidor.</w:t>
      </w:r>
    </w:p>
    <w:p w14:paraId="51E38936" w14:textId="49500053" w:rsidR="00BD2929" w:rsidRDefault="000A0F80" w:rsidP="000A0F80">
      <w:pPr>
        <w:spacing w:line="360" w:lineRule="auto"/>
        <w:ind w:left="357"/>
        <w:jc w:val="both"/>
        <w:rPr>
          <w:rFonts w:ascii="Microsoft PhagsPa" w:eastAsia="Microsoft JhengHei UI" w:hAnsi="Microsoft PhagsPa"/>
          <w:sz w:val="22"/>
          <w:szCs w:val="22"/>
          <w:lang w:val="pt-PT"/>
        </w:rPr>
      </w:pPr>
      <w:r w:rsidRPr="000A0F80">
        <w:rPr>
          <w:rFonts w:ascii="Microsoft PhagsPa" w:eastAsia="Microsoft JhengHei UI" w:hAnsi="Microsoft PhagsPa"/>
          <w:sz w:val="22"/>
          <w:szCs w:val="22"/>
          <w:lang w:val="pt-PT"/>
        </w:rPr>
        <w:t>Mais do que procurar resultados imediatos, importa que as decisões estejam alinhadas com os objetivos, o prazo disponível e o nível de risco que cada pessoa está preparada para assumir.</w:t>
      </w:r>
    </w:p>
    <w:p w14:paraId="03B52781" w14:textId="7D3BA267" w:rsidR="00BD2929" w:rsidRPr="00BD2929" w:rsidRDefault="004368B8" w:rsidP="00AB3C45">
      <w:pPr>
        <w:spacing w:after="80" w:line="360" w:lineRule="auto"/>
        <w:ind w:left="357"/>
        <w:jc w:val="both"/>
        <w:rPr>
          <w:rFonts w:ascii="Microsoft PhagsPa" w:eastAsia="Microsoft JhengHei UI" w:hAnsi="Microsoft PhagsPa"/>
          <w:sz w:val="22"/>
          <w:szCs w:val="22"/>
          <w:lang w:val="pt-PT"/>
        </w:rPr>
      </w:pPr>
      <w:r w:rsidRPr="004368B8">
        <w:rPr>
          <w:rFonts w:ascii="Microsoft PhagsPa" w:eastAsia="Microsoft JhengHei UI" w:hAnsi="Microsoft PhagsPa"/>
          <w:sz w:val="22"/>
          <w:szCs w:val="22"/>
          <w:lang w:val="pt-PT"/>
        </w:rPr>
        <w:t>O artigo completo “</w:t>
      </w:r>
      <w:hyperlink r:id="rId11" w:history="1">
        <w:r w:rsidR="00AB3C45" w:rsidRPr="007D7155">
          <w:rPr>
            <w:rStyle w:val="Hiperligao"/>
            <w:rFonts w:ascii="Microsoft PhagsPa" w:eastAsia="Microsoft JhengHei UI" w:hAnsi="Microsoft PhagsPa"/>
            <w:sz w:val="22"/>
            <w:szCs w:val="22"/>
            <w:lang w:val="pt-PT"/>
          </w:rPr>
          <w:t>Pressa, desconhecimento ou emoções: Evite estes erros se está a começar a investir</w:t>
        </w:r>
      </w:hyperlink>
      <w:r w:rsidRPr="004368B8">
        <w:rPr>
          <w:rFonts w:ascii="Microsoft PhagsPa" w:eastAsia="Microsoft JhengHei UI" w:hAnsi="Microsoft PhagsPa"/>
          <w:sz w:val="22"/>
          <w:szCs w:val="22"/>
          <w:lang w:val="pt-PT"/>
        </w:rPr>
        <w:t xml:space="preserve">” </w:t>
      </w:r>
      <w:r w:rsidR="00AB3C45" w:rsidRPr="00AB3C45">
        <w:rPr>
          <w:rFonts w:ascii="Microsoft PhagsPa" w:eastAsia="Microsoft JhengHei UI" w:hAnsi="Microsoft PhagsPa"/>
          <w:sz w:val="22"/>
          <w:szCs w:val="22"/>
          <w:lang w:val="pt-PT"/>
        </w:rPr>
        <w:t>está disponível no portal do Doutor Finanças, com mais informação sobre alguns dos principais cuidados a considerar por quem pretende começar a investir.</w:t>
      </w:r>
    </w:p>
    <w:p w14:paraId="5133A02D" w14:textId="77777777" w:rsidR="00D249E0" w:rsidRDefault="00D249E0" w:rsidP="00324ABF">
      <w:pPr>
        <w:spacing w:after="80" w:line="360" w:lineRule="auto"/>
        <w:ind w:left="357"/>
        <w:jc w:val="both"/>
        <w:rPr>
          <w:rFonts w:ascii="Microsoft PhagsPa" w:eastAsia="Microsoft JhengHei UI" w:hAnsi="Microsoft PhagsPa"/>
          <w:b/>
          <w:bCs/>
          <w:color w:val="0195C7"/>
          <w:sz w:val="18"/>
          <w:szCs w:val="18"/>
          <w:lang w:val="pt-PT"/>
        </w:rPr>
      </w:pPr>
    </w:p>
    <w:p w14:paraId="261A5A5F"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b/>
          <w:bCs/>
          <w:color w:val="404040" w:themeColor="text1" w:themeTint="BF"/>
          <w:sz w:val="18"/>
          <w:szCs w:val="18"/>
          <w:lang w:val="pt-PT"/>
        </w:rPr>
        <w:t>Sobre o Doutor Finanças</w:t>
      </w:r>
      <w:r w:rsidRPr="004368B8">
        <w:rPr>
          <w:rFonts w:ascii="Microsoft PhagsPa" w:eastAsia="Microsoft JhengHei UI" w:hAnsi="Microsoft PhagsPa"/>
          <w:color w:val="404040" w:themeColor="text1" w:themeTint="BF"/>
          <w:sz w:val="18"/>
          <w:szCs w:val="18"/>
          <w:lang w:val="pt-PT"/>
        </w:rPr>
        <w:t> </w:t>
      </w:r>
    </w:p>
    <w:p w14:paraId="5C09B5D8"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color w:val="404040" w:themeColor="text1" w:themeTint="BF"/>
          <w:sz w:val="18"/>
          <w:szCs w:val="18"/>
          <w:lang w:val="pt-PT"/>
        </w:rPr>
        <w:t>O Doutor Finanças é uma </w:t>
      </w:r>
      <w:proofErr w:type="spellStart"/>
      <w:r w:rsidRPr="004368B8">
        <w:rPr>
          <w:rFonts w:ascii="Microsoft PhagsPa" w:eastAsia="Microsoft JhengHei UI" w:hAnsi="Microsoft PhagsPa"/>
          <w:color w:val="404040" w:themeColor="text1" w:themeTint="BF"/>
          <w:sz w:val="18"/>
          <w:szCs w:val="18"/>
          <w:lang w:val="pt-PT"/>
        </w:rPr>
        <w:t>fintech</w:t>
      </w:r>
      <w:proofErr w:type="spellEnd"/>
      <w:r w:rsidRPr="004368B8">
        <w:rPr>
          <w:rFonts w:ascii="Microsoft PhagsPa" w:eastAsia="Microsoft JhengHei UI" w:hAnsi="Microsoft PhagsPa"/>
          <w:color w:val="404040" w:themeColor="text1" w:themeTint="BF"/>
          <w:sz w:val="18"/>
          <w:szCs w:val="18"/>
          <w:lang w:val="pt-PT"/>
        </w:rPr>
        <w:t> especializada na área do bem-estar financeiro, que ajuda as pessoas a tomar melhores decisões financeiras sobre crédito habitação, crédito pessoal e seguros. No mercado desde 2014, faz a ligação entre clientes e instituições financeiras, oferecendo análise, negociação e acompanhamento sem custos. O especialista fechou 2025 com um volume de negócios de 24 milhões de euros, num ano em que foi responsável por 748 milhões de euros em crédito habitação e por mais de 14 mil apólices de seguros, tendo ajudado mais de 200 mil pessoas, através da melhoria das suas condições financeiras.  </w:t>
      </w:r>
    </w:p>
    <w:p w14:paraId="7B91F64F"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color w:val="404040" w:themeColor="text1" w:themeTint="BF"/>
          <w:sz w:val="18"/>
          <w:szCs w:val="18"/>
          <w:lang w:val="pt-PT"/>
        </w:rPr>
        <w:t>Além disso, disponibiliza um portal com 16 milhões de visitas, onde são disponibilizados conteúdos para promover uma vida financeira saudável, bem como uma academia de formação especializada responsável por capacitar, em 2024, mais de 20 mil portugueses em finanças pessoais.  </w:t>
      </w:r>
    </w:p>
    <w:p w14:paraId="29A3228C"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color w:val="404040" w:themeColor="text1" w:themeTint="BF"/>
          <w:sz w:val="18"/>
          <w:szCs w:val="18"/>
          <w:lang w:val="pt-PT"/>
        </w:rPr>
        <w:t>O Doutor Finanças conta com uma equipa com mais de 700 colaboradores, dos quais mais de 420 são especialistas focados na rede de lojas espalhadas de norte a sul do país, incluindo ilhas. O Doutor Finanças destaca-se como uma </w:t>
      </w:r>
      <w:proofErr w:type="spellStart"/>
      <w:r w:rsidRPr="004368B8">
        <w:rPr>
          <w:rFonts w:ascii="Microsoft PhagsPa" w:eastAsia="Microsoft JhengHei UI" w:hAnsi="Microsoft PhagsPa"/>
          <w:color w:val="404040" w:themeColor="text1" w:themeTint="BF"/>
          <w:sz w:val="18"/>
          <w:szCs w:val="18"/>
          <w:lang w:val="pt-PT"/>
        </w:rPr>
        <w:t>Fintech</w:t>
      </w:r>
      <w:proofErr w:type="spellEnd"/>
      <w:r w:rsidRPr="004368B8">
        <w:rPr>
          <w:rFonts w:ascii="Microsoft PhagsPa" w:eastAsia="Microsoft JhengHei UI" w:hAnsi="Microsoft PhagsPa"/>
          <w:color w:val="404040" w:themeColor="text1" w:themeTint="BF"/>
          <w:sz w:val="18"/>
          <w:szCs w:val="18"/>
          <w:lang w:val="pt-PT"/>
        </w:rPr>
        <w:t> de referência, tendo sido reconhecida no </w:t>
      </w:r>
      <w:proofErr w:type="spellStart"/>
      <w:r w:rsidRPr="004368B8">
        <w:rPr>
          <w:rFonts w:ascii="Microsoft PhagsPa" w:eastAsia="Microsoft JhengHei UI" w:hAnsi="Microsoft PhagsPa"/>
          <w:color w:val="404040" w:themeColor="text1" w:themeTint="BF"/>
          <w:sz w:val="18"/>
          <w:szCs w:val="18"/>
          <w:lang w:val="pt-PT"/>
        </w:rPr>
        <w:t>Technology</w:t>
      </w:r>
      <w:proofErr w:type="spellEnd"/>
      <w:r w:rsidRPr="004368B8">
        <w:rPr>
          <w:rFonts w:ascii="Microsoft PhagsPa" w:eastAsia="Microsoft JhengHei UI" w:hAnsi="Microsoft PhagsPa"/>
          <w:color w:val="404040" w:themeColor="text1" w:themeTint="BF"/>
          <w:sz w:val="18"/>
          <w:szCs w:val="18"/>
          <w:lang w:val="pt-PT"/>
        </w:rPr>
        <w:t> Fast 50 da </w:t>
      </w:r>
      <w:proofErr w:type="spellStart"/>
      <w:r w:rsidRPr="004368B8">
        <w:rPr>
          <w:rFonts w:ascii="Microsoft PhagsPa" w:eastAsia="Microsoft JhengHei UI" w:hAnsi="Microsoft PhagsPa"/>
          <w:color w:val="404040" w:themeColor="text1" w:themeTint="BF"/>
          <w:sz w:val="18"/>
          <w:szCs w:val="18"/>
          <w:lang w:val="pt-PT"/>
        </w:rPr>
        <w:t>Deloitte</w:t>
      </w:r>
      <w:proofErr w:type="spellEnd"/>
      <w:r w:rsidRPr="004368B8">
        <w:rPr>
          <w:rFonts w:ascii="Microsoft PhagsPa" w:eastAsia="Microsoft JhengHei UI" w:hAnsi="Microsoft PhagsPa"/>
          <w:color w:val="404040" w:themeColor="text1" w:themeTint="BF"/>
          <w:sz w:val="18"/>
          <w:szCs w:val="18"/>
          <w:lang w:val="pt-PT"/>
        </w:rPr>
        <w:t>, distinguida como Great </w:t>
      </w:r>
      <w:proofErr w:type="spellStart"/>
      <w:r w:rsidRPr="004368B8">
        <w:rPr>
          <w:rFonts w:ascii="Microsoft PhagsPa" w:eastAsia="Microsoft JhengHei UI" w:hAnsi="Microsoft PhagsPa"/>
          <w:color w:val="404040" w:themeColor="text1" w:themeTint="BF"/>
          <w:sz w:val="18"/>
          <w:szCs w:val="18"/>
          <w:lang w:val="pt-PT"/>
        </w:rPr>
        <w:t>Place</w:t>
      </w:r>
      <w:proofErr w:type="spellEnd"/>
      <w:r w:rsidRPr="004368B8">
        <w:rPr>
          <w:rFonts w:ascii="Microsoft PhagsPa" w:eastAsia="Microsoft JhengHei UI" w:hAnsi="Microsoft PhagsPa"/>
          <w:color w:val="404040" w:themeColor="text1" w:themeTint="BF"/>
          <w:sz w:val="18"/>
          <w:szCs w:val="18"/>
          <w:lang w:val="pt-PT"/>
        </w:rPr>
        <w:t> to </w:t>
      </w:r>
      <w:proofErr w:type="spellStart"/>
      <w:r w:rsidRPr="004368B8">
        <w:rPr>
          <w:rFonts w:ascii="Microsoft PhagsPa" w:eastAsia="Microsoft JhengHei UI" w:hAnsi="Microsoft PhagsPa"/>
          <w:color w:val="404040" w:themeColor="text1" w:themeTint="BF"/>
          <w:sz w:val="18"/>
          <w:szCs w:val="18"/>
          <w:lang w:val="pt-PT"/>
        </w:rPr>
        <w:t>Work</w:t>
      </w:r>
      <w:proofErr w:type="spellEnd"/>
      <w:r w:rsidRPr="004368B8">
        <w:rPr>
          <w:rFonts w:ascii="Microsoft PhagsPa" w:eastAsia="Microsoft JhengHei UI" w:hAnsi="Microsoft PhagsPa"/>
          <w:color w:val="404040" w:themeColor="text1" w:themeTint="BF"/>
          <w:sz w:val="18"/>
          <w:szCs w:val="18"/>
          <w:lang w:val="pt-PT"/>
        </w:rPr>
        <w:t> desde 2021 e com a sua Rede de franchising tendo sido galardoada com o 3º lugar enquanto marca de franchising emergente da Europa, pela Federação Europeia de Franchising. </w:t>
      </w:r>
    </w:p>
    <w:p w14:paraId="7271136C"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color w:val="404040" w:themeColor="text1" w:themeTint="BF"/>
          <w:sz w:val="18"/>
          <w:szCs w:val="18"/>
          <w:lang w:val="pt-PT"/>
        </w:rPr>
        <w:t>É possível aceder aos serviços do Doutor Finanças através do seu portal e das 100 lojas espalhadas por todo o território nacional. Mais informação em: </w:t>
      </w:r>
      <w:hyperlink r:id="rId12" w:tgtFrame="_blank" w:history="1">
        <w:r w:rsidRPr="004368B8">
          <w:rPr>
            <w:rStyle w:val="Hiperligao"/>
            <w:rFonts w:ascii="Microsoft PhagsPa" w:eastAsia="Microsoft JhengHei UI" w:hAnsi="Microsoft PhagsPa"/>
            <w:sz w:val="18"/>
            <w:szCs w:val="18"/>
            <w:lang w:val="pt-PT"/>
          </w:rPr>
          <w:t>www.doutorfinancas.pt/sobre-doutor-financas/</w:t>
        </w:r>
      </w:hyperlink>
      <w:r w:rsidRPr="004368B8">
        <w:rPr>
          <w:rFonts w:ascii="Microsoft PhagsPa" w:eastAsia="Microsoft JhengHei UI" w:hAnsi="Microsoft PhagsPa"/>
          <w:color w:val="404040" w:themeColor="text1" w:themeTint="BF"/>
          <w:sz w:val="18"/>
          <w:szCs w:val="18"/>
          <w:lang w:val="pt-PT"/>
        </w:rPr>
        <w:t>   </w:t>
      </w:r>
    </w:p>
    <w:p w14:paraId="770309C5"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color w:val="404040" w:themeColor="text1" w:themeTint="BF"/>
          <w:sz w:val="18"/>
          <w:szCs w:val="18"/>
          <w:lang w:val="pt-PT"/>
        </w:rPr>
        <w:t> </w:t>
      </w:r>
    </w:p>
    <w:p w14:paraId="4A9ACE5D"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b/>
          <w:bCs/>
          <w:color w:val="404040" w:themeColor="text1" w:themeTint="BF"/>
          <w:sz w:val="18"/>
          <w:szCs w:val="18"/>
          <w:lang w:val="pt-PT"/>
        </w:rPr>
        <w:t>Contactos para a Comunicação Social</w:t>
      </w:r>
      <w:r w:rsidRPr="004368B8">
        <w:rPr>
          <w:rFonts w:ascii="Microsoft PhagsPa" w:eastAsia="Microsoft JhengHei UI" w:hAnsi="Microsoft PhagsPa"/>
          <w:color w:val="404040" w:themeColor="text1" w:themeTint="BF"/>
          <w:sz w:val="18"/>
          <w:szCs w:val="18"/>
          <w:lang w:val="pt-PT"/>
        </w:rPr>
        <w:t> </w:t>
      </w:r>
    </w:p>
    <w:p w14:paraId="2FEBB31B"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rPr>
      </w:pPr>
      <w:r w:rsidRPr="004368B8">
        <w:rPr>
          <w:rFonts w:ascii="Microsoft PhagsPa" w:eastAsia="Microsoft JhengHei UI" w:hAnsi="Microsoft PhagsPa"/>
          <w:color w:val="404040" w:themeColor="text1" w:themeTint="BF"/>
          <w:sz w:val="18"/>
          <w:szCs w:val="18"/>
          <w:u w:val="single"/>
          <w:lang w:val="it-IT"/>
        </w:rPr>
        <w:t>Lift Consulting</w:t>
      </w:r>
      <w:r w:rsidRPr="004368B8">
        <w:rPr>
          <w:rFonts w:ascii="Microsoft PhagsPa" w:eastAsia="Microsoft JhengHei UI" w:hAnsi="Microsoft PhagsPa"/>
          <w:color w:val="404040" w:themeColor="text1" w:themeTint="BF"/>
          <w:sz w:val="18"/>
          <w:szCs w:val="18"/>
        </w:rPr>
        <w:t> </w:t>
      </w:r>
    </w:p>
    <w:p w14:paraId="0042ED2D"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rPr>
      </w:pPr>
      <w:r w:rsidRPr="004368B8">
        <w:rPr>
          <w:rFonts w:ascii="Microsoft PhagsPa" w:eastAsia="Microsoft JhengHei UI" w:hAnsi="Microsoft PhagsPa"/>
          <w:color w:val="404040" w:themeColor="text1" w:themeTint="BF"/>
          <w:sz w:val="18"/>
          <w:szCs w:val="18"/>
          <w:lang w:val="it-IT"/>
        </w:rPr>
        <w:t>Raquel Rogeiro | </w:t>
      </w:r>
      <w:hyperlink r:id="rId13" w:tgtFrame="_blank" w:history="1">
        <w:r w:rsidRPr="004368B8">
          <w:rPr>
            <w:rStyle w:val="Hiperligao"/>
            <w:rFonts w:ascii="Microsoft PhagsPa" w:eastAsia="Microsoft JhengHei UI" w:hAnsi="Microsoft PhagsPa"/>
            <w:sz w:val="18"/>
            <w:szCs w:val="18"/>
            <w:lang w:val="it-IT"/>
          </w:rPr>
          <w:t>raquel.rogeiro@lift.com.pt</w:t>
        </w:r>
      </w:hyperlink>
      <w:r w:rsidRPr="004368B8">
        <w:rPr>
          <w:rFonts w:ascii="Microsoft PhagsPa" w:eastAsia="Microsoft JhengHei UI" w:hAnsi="Microsoft PhagsPa"/>
          <w:color w:val="404040" w:themeColor="text1" w:themeTint="BF"/>
          <w:sz w:val="18"/>
          <w:szCs w:val="18"/>
          <w:lang w:val="it-IT"/>
        </w:rPr>
        <w:t> | 910 767 719</w:t>
      </w:r>
      <w:r w:rsidRPr="004368B8">
        <w:rPr>
          <w:rFonts w:ascii="Microsoft PhagsPa" w:eastAsia="Microsoft JhengHei UI" w:hAnsi="Microsoft PhagsPa"/>
          <w:color w:val="404040" w:themeColor="text1" w:themeTint="BF"/>
          <w:sz w:val="18"/>
          <w:szCs w:val="18"/>
        </w:rPr>
        <w:t> </w:t>
      </w:r>
    </w:p>
    <w:p w14:paraId="51B0FEB4" w14:textId="78EC6D68" w:rsidR="006C15EC" w:rsidRPr="004368B8" w:rsidRDefault="004368B8" w:rsidP="000F4B79">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color w:val="404040" w:themeColor="text1" w:themeTint="BF"/>
          <w:sz w:val="18"/>
          <w:szCs w:val="18"/>
          <w:lang w:val="it-IT"/>
        </w:rPr>
        <w:t>Miguel Carrilho | </w:t>
      </w:r>
      <w:hyperlink r:id="rId14" w:tgtFrame="_blank" w:history="1">
        <w:r w:rsidRPr="004368B8">
          <w:rPr>
            <w:rStyle w:val="Hiperligao"/>
            <w:rFonts w:ascii="Microsoft PhagsPa" w:eastAsia="Microsoft JhengHei UI" w:hAnsi="Microsoft PhagsPa"/>
            <w:sz w:val="18"/>
            <w:szCs w:val="18"/>
            <w:lang w:val="it-IT"/>
          </w:rPr>
          <w:t>miguel.carrilho@lift.com.pt</w:t>
        </w:r>
      </w:hyperlink>
      <w:r w:rsidRPr="004368B8">
        <w:rPr>
          <w:rFonts w:ascii="Microsoft PhagsPa" w:eastAsia="Microsoft JhengHei UI" w:hAnsi="Microsoft PhagsPa"/>
          <w:color w:val="404040" w:themeColor="text1" w:themeTint="BF"/>
          <w:sz w:val="18"/>
          <w:szCs w:val="18"/>
          <w:lang w:val="it-IT"/>
        </w:rPr>
        <w:t> | 967 777 714</w:t>
      </w:r>
      <w:r w:rsidRPr="004368B8">
        <w:rPr>
          <w:rFonts w:ascii="Microsoft PhagsPa" w:eastAsia="Microsoft JhengHei UI" w:hAnsi="Microsoft PhagsPa"/>
          <w:color w:val="404040" w:themeColor="text1" w:themeTint="BF"/>
          <w:sz w:val="18"/>
          <w:szCs w:val="18"/>
          <w:lang w:val="pt-PT"/>
        </w:rPr>
        <w:t> </w:t>
      </w:r>
    </w:p>
    <w:sectPr w:rsidR="006C15EC" w:rsidRPr="004368B8" w:rsidSect="00C66D98">
      <w:headerReference w:type="default" r:id="rId15"/>
      <w:pgSz w:w="12240" w:h="15840"/>
      <w:pgMar w:top="156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15B87" w14:textId="77777777" w:rsidR="00B54AAE" w:rsidRDefault="00B54AAE" w:rsidP="00C66D98">
      <w:pPr>
        <w:spacing w:after="0" w:line="240" w:lineRule="auto"/>
      </w:pPr>
      <w:r>
        <w:separator/>
      </w:r>
    </w:p>
  </w:endnote>
  <w:endnote w:type="continuationSeparator" w:id="0">
    <w:p w14:paraId="34359B8A" w14:textId="77777777" w:rsidR="00B54AAE" w:rsidRDefault="00B54AAE" w:rsidP="00C66D98">
      <w:pPr>
        <w:spacing w:after="0" w:line="240" w:lineRule="auto"/>
      </w:pPr>
      <w:r>
        <w:continuationSeparator/>
      </w:r>
    </w:p>
  </w:endnote>
  <w:endnote w:type="continuationNotice" w:id="1">
    <w:p w14:paraId="25E1AC4A" w14:textId="77777777" w:rsidR="00B54AAE" w:rsidRDefault="00B54A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icrosoft PhagsPa">
    <w:panose1 w:val="020B0502040204020203"/>
    <w:charset w:val="00"/>
    <w:family w:val="swiss"/>
    <w:pitch w:val="variable"/>
    <w:sig w:usb0="00000003" w:usb1="00000000" w:usb2="08000000" w:usb3="00000000" w:csb0="00000001" w:csb1="00000000"/>
  </w:font>
  <w:font w:name="Microsoft JhengHei UI">
    <w:panose1 w:val="020B0604030504040204"/>
    <w:charset w:val="88"/>
    <w:family w:val="swiss"/>
    <w:pitch w:val="variable"/>
    <w:sig w:usb0="000002A7" w:usb1="28CF4400" w:usb2="00000016" w:usb3="00000000" w:csb0="00100009" w:csb1="00000000"/>
  </w:font>
  <w:font w:name="Helvetica Neue Medium">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D5601" w14:textId="77777777" w:rsidR="00B54AAE" w:rsidRDefault="00B54AAE" w:rsidP="00C66D98">
      <w:pPr>
        <w:spacing w:after="0" w:line="240" w:lineRule="auto"/>
      </w:pPr>
      <w:r>
        <w:separator/>
      </w:r>
    </w:p>
  </w:footnote>
  <w:footnote w:type="continuationSeparator" w:id="0">
    <w:p w14:paraId="1599150F" w14:textId="77777777" w:rsidR="00B54AAE" w:rsidRDefault="00B54AAE" w:rsidP="00C66D98">
      <w:pPr>
        <w:spacing w:after="0" w:line="240" w:lineRule="auto"/>
      </w:pPr>
      <w:r>
        <w:continuationSeparator/>
      </w:r>
    </w:p>
  </w:footnote>
  <w:footnote w:type="continuationNotice" w:id="1">
    <w:p w14:paraId="4E3F459F" w14:textId="77777777" w:rsidR="00B54AAE" w:rsidRDefault="00B54A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1F6EF" w14:textId="5EFE3FFB" w:rsidR="00C66D98" w:rsidRDefault="00C66D98">
    <w:pPr>
      <w:pStyle w:val="Cabealho"/>
    </w:pPr>
    <w:r w:rsidRPr="00C66D98">
      <w:rPr>
        <w:noProof/>
      </w:rPr>
      <w:drawing>
        <wp:anchor distT="0" distB="0" distL="114300" distR="114300" simplePos="0" relativeHeight="251658240" behindDoc="0" locked="0" layoutInCell="1" allowOverlap="1" wp14:anchorId="57C2237E" wp14:editId="33C1D526">
          <wp:simplePos x="0" y="0"/>
          <wp:positionH relativeFrom="margin">
            <wp:posOffset>1539240</wp:posOffset>
          </wp:positionH>
          <wp:positionV relativeFrom="margin">
            <wp:posOffset>-692150</wp:posOffset>
          </wp:positionV>
          <wp:extent cx="2533650" cy="426395"/>
          <wp:effectExtent l="0" t="0" r="0" b="0"/>
          <wp:wrapSquare wrapText="bothSides"/>
          <wp:docPr id="2137444502" name="Imagem 1" descr="A literacia financeira e o Natal">
            <a:extLst xmlns:a="http://schemas.openxmlformats.org/drawingml/2006/main">
              <a:ext uri="{FF2B5EF4-FFF2-40B4-BE49-F238E27FC236}">
                <a16:creationId xmlns:a16="http://schemas.microsoft.com/office/drawing/2014/main" id="{2A993924-F056-401D-8892-E72570DBE2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iteracia financeira e o Nat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3650" cy="42639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48DB"/>
    <w:multiLevelType w:val="hybridMultilevel"/>
    <w:tmpl w:val="791452F6"/>
    <w:lvl w:ilvl="0" w:tplc="08160001">
      <w:start w:val="1"/>
      <w:numFmt w:val="bullet"/>
      <w:lvlText w:val=""/>
      <w:lvlJc w:val="left"/>
      <w:pPr>
        <w:ind w:left="1077" w:hanging="360"/>
      </w:pPr>
      <w:rPr>
        <w:rFonts w:ascii="Symbol" w:hAnsi="Symbol" w:hint="default"/>
      </w:rPr>
    </w:lvl>
    <w:lvl w:ilvl="1" w:tplc="08160003" w:tentative="1">
      <w:start w:val="1"/>
      <w:numFmt w:val="bullet"/>
      <w:lvlText w:val="o"/>
      <w:lvlJc w:val="left"/>
      <w:pPr>
        <w:ind w:left="1797" w:hanging="360"/>
      </w:pPr>
      <w:rPr>
        <w:rFonts w:ascii="Courier New" w:hAnsi="Courier New" w:cs="Courier New" w:hint="default"/>
      </w:rPr>
    </w:lvl>
    <w:lvl w:ilvl="2" w:tplc="08160005" w:tentative="1">
      <w:start w:val="1"/>
      <w:numFmt w:val="bullet"/>
      <w:lvlText w:val=""/>
      <w:lvlJc w:val="left"/>
      <w:pPr>
        <w:ind w:left="2517" w:hanging="360"/>
      </w:pPr>
      <w:rPr>
        <w:rFonts w:ascii="Wingdings" w:hAnsi="Wingdings" w:hint="default"/>
      </w:rPr>
    </w:lvl>
    <w:lvl w:ilvl="3" w:tplc="08160001" w:tentative="1">
      <w:start w:val="1"/>
      <w:numFmt w:val="bullet"/>
      <w:lvlText w:val=""/>
      <w:lvlJc w:val="left"/>
      <w:pPr>
        <w:ind w:left="3237" w:hanging="360"/>
      </w:pPr>
      <w:rPr>
        <w:rFonts w:ascii="Symbol" w:hAnsi="Symbol" w:hint="default"/>
      </w:rPr>
    </w:lvl>
    <w:lvl w:ilvl="4" w:tplc="08160003" w:tentative="1">
      <w:start w:val="1"/>
      <w:numFmt w:val="bullet"/>
      <w:lvlText w:val="o"/>
      <w:lvlJc w:val="left"/>
      <w:pPr>
        <w:ind w:left="3957" w:hanging="360"/>
      </w:pPr>
      <w:rPr>
        <w:rFonts w:ascii="Courier New" w:hAnsi="Courier New" w:cs="Courier New" w:hint="default"/>
      </w:rPr>
    </w:lvl>
    <w:lvl w:ilvl="5" w:tplc="08160005" w:tentative="1">
      <w:start w:val="1"/>
      <w:numFmt w:val="bullet"/>
      <w:lvlText w:val=""/>
      <w:lvlJc w:val="left"/>
      <w:pPr>
        <w:ind w:left="4677" w:hanging="360"/>
      </w:pPr>
      <w:rPr>
        <w:rFonts w:ascii="Wingdings" w:hAnsi="Wingdings" w:hint="default"/>
      </w:rPr>
    </w:lvl>
    <w:lvl w:ilvl="6" w:tplc="08160001" w:tentative="1">
      <w:start w:val="1"/>
      <w:numFmt w:val="bullet"/>
      <w:lvlText w:val=""/>
      <w:lvlJc w:val="left"/>
      <w:pPr>
        <w:ind w:left="5397" w:hanging="360"/>
      </w:pPr>
      <w:rPr>
        <w:rFonts w:ascii="Symbol" w:hAnsi="Symbol" w:hint="default"/>
      </w:rPr>
    </w:lvl>
    <w:lvl w:ilvl="7" w:tplc="08160003" w:tentative="1">
      <w:start w:val="1"/>
      <w:numFmt w:val="bullet"/>
      <w:lvlText w:val="o"/>
      <w:lvlJc w:val="left"/>
      <w:pPr>
        <w:ind w:left="6117" w:hanging="360"/>
      </w:pPr>
      <w:rPr>
        <w:rFonts w:ascii="Courier New" w:hAnsi="Courier New" w:cs="Courier New" w:hint="default"/>
      </w:rPr>
    </w:lvl>
    <w:lvl w:ilvl="8" w:tplc="08160005" w:tentative="1">
      <w:start w:val="1"/>
      <w:numFmt w:val="bullet"/>
      <w:lvlText w:val=""/>
      <w:lvlJc w:val="left"/>
      <w:pPr>
        <w:ind w:left="6837" w:hanging="360"/>
      </w:pPr>
      <w:rPr>
        <w:rFonts w:ascii="Wingdings" w:hAnsi="Wingdings" w:hint="default"/>
      </w:rPr>
    </w:lvl>
  </w:abstractNum>
  <w:abstractNum w:abstractNumId="1" w15:restartNumberingAfterBreak="0">
    <w:nsid w:val="2C421273"/>
    <w:multiLevelType w:val="hybridMultilevel"/>
    <w:tmpl w:val="E0BAD354"/>
    <w:lvl w:ilvl="0" w:tplc="08160001">
      <w:start w:val="1"/>
      <w:numFmt w:val="bullet"/>
      <w:lvlText w:val=""/>
      <w:lvlJc w:val="left"/>
      <w:pPr>
        <w:ind w:left="1077" w:hanging="360"/>
      </w:pPr>
      <w:rPr>
        <w:rFonts w:ascii="Symbol" w:hAnsi="Symbol" w:hint="default"/>
      </w:rPr>
    </w:lvl>
    <w:lvl w:ilvl="1" w:tplc="08160003" w:tentative="1">
      <w:start w:val="1"/>
      <w:numFmt w:val="bullet"/>
      <w:lvlText w:val="o"/>
      <w:lvlJc w:val="left"/>
      <w:pPr>
        <w:ind w:left="1797" w:hanging="360"/>
      </w:pPr>
      <w:rPr>
        <w:rFonts w:ascii="Courier New" w:hAnsi="Courier New" w:cs="Courier New" w:hint="default"/>
      </w:rPr>
    </w:lvl>
    <w:lvl w:ilvl="2" w:tplc="08160005" w:tentative="1">
      <w:start w:val="1"/>
      <w:numFmt w:val="bullet"/>
      <w:lvlText w:val=""/>
      <w:lvlJc w:val="left"/>
      <w:pPr>
        <w:ind w:left="2517" w:hanging="360"/>
      </w:pPr>
      <w:rPr>
        <w:rFonts w:ascii="Wingdings" w:hAnsi="Wingdings" w:hint="default"/>
      </w:rPr>
    </w:lvl>
    <w:lvl w:ilvl="3" w:tplc="08160001" w:tentative="1">
      <w:start w:val="1"/>
      <w:numFmt w:val="bullet"/>
      <w:lvlText w:val=""/>
      <w:lvlJc w:val="left"/>
      <w:pPr>
        <w:ind w:left="3237" w:hanging="360"/>
      </w:pPr>
      <w:rPr>
        <w:rFonts w:ascii="Symbol" w:hAnsi="Symbol" w:hint="default"/>
      </w:rPr>
    </w:lvl>
    <w:lvl w:ilvl="4" w:tplc="08160003" w:tentative="1">
      <w:start w:val="1"/>
      <w:numFmt w:val="bullet"/>
      <w:lvlText w:val="o"/>
      <w:lvlJc w:val="left"/>
      <w:pPr>
        <w:ind w:left="3957" w:hanging="360"/>
      </w:pPr>
      <w:rPr>
        <w:rFonts w:ascii="Courier New" w:hAnsi="Courier New" w:cs="Courier New" w:hint="default"/>
      </w:rPr>
    </w:lvl>
    <w:lvl w:ilvl="5" w:tplc="08160005" w:tentative="1">
      <w:start w:val="1"/>
      <w:numFmt w:val="bullet"/>
      <w:lvlText w:val=""/>
      <w:lvlJc w:val="left"/>
      <w:pPr>
        <w:ind w:left="4677" w:hanging="360"/>
      </w:pPr>
      <w:rPr>
        <w:rFonts w:ascii="Wingdings" w:hAnsi="Wingdings" w:hint="default"/>
      </w:rPr>
    </w:lvl>
    <w:lvl w:ilvl="6" w:tplc="08160001" w:tentative="1">
      <w:start w:val="1"/>
      <w:numFmt w:val="bullet"/>
      <w:lvlText w:val=""/>
      <w:lvlJc w:val="left"/>
      <w:pPr>
        <w:ind w:left="5397" w:hanging="360"/>
      </w:pPr>
      <w:rPr>
        <w:rFonts w:ascii="Symbol" w:hAnsi="Symbol" w:hint="default"/>
      </w:rPr>
    </w:lvl>
    <w:lvl w:ilvl="7" w:tplc="08160003" w:tentative="1">
      <w:start w:val="1"/>
      <w:numFmt w:val="bullet"/>
      <w:lvlText w:val="o"/>
      <w:lvlJc w:val="left"/>
      <w:pPr>
        <w:ind w:left="6117" w:hanging="360"/>
      </w:pPr>
      <w:rPr>
        <w:rFonts w:ascii="Courier New" w:hAnsi="Courier New" w:cs="Courier New" w:hint="default"/>
      </w:rPr>
    </w:lvl>
    <w:lvl w:ilvl="8" w:tplc="08160005" w:tentative="1">
      <w:start w:val="1"/>
      <w:numFmt w:val="bullet"/>
      <w:lvlText w:val=""/>
      <w:lvlJc w:val="left"/>
      <w:pPr>
        <w:ind w:left="6837" w:hanging="360"/>
      </w:pPr>
      <w:rPr>
        <w:rFonts w:ascii="Wingdings" w:hAnsi="Wingdings" w:hint="default"/>
      </w:rPr>
    </w:lvl>
  </w:abstractNum>
  <w:abstractNum w:abstractNumId="2" w15:restartNumberingAfterBreak="0">
    <w:nsid w:val="39261C3C"/>
    <w:multiLevelType w:val="hybridMultilevel"/>
    <w:tmpl w:val="A4889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4E47C7"/>
    <w:multiLevelType w:val="hybridMultilevel"/>
    <w:tmpl w:val="194AA61E"/>
    <w:lvl w:ilvl="0" w:tplc="27DA4E2A">
      <w:start w:val="2"/>
      <w:numFmt w:val="decimal"/>
      <w:lvlText w:val="%1."/>
      <w:lvlJc w:val="left"/>
      <w:pPr>
        <w:ind w:left="717" w:hanging="360"/>
      </w:pPr>
      <w:rPr>
        <w:rFonts w:hint="default"/>
        <w:b/>
        <w:color w:val="0195C7"/>
      </w:rPr>
    </w:lvl>
    <w:lvl w:ilvl="1" w:tplc="08160019" w:tentative="1">
      <w:start w:val="1"/>
      <w:numFmt w:val="lowerLetter"/>
      <w:lvlText w:val="%2."/>
      <w:lvlJc w:val="left"/>
      <w:pPr>
        <w:ind w:left="1437" w:hanging="360"/>
      </w:pPr>
    </w:lvl>
    <w:lvl w:ilvl="2" w:tplc="0816001B" w:tentative="1">
      <w:start w:val="1"/>
      <w:numFmt w:val="lowerRoman"/>
      <w:lvlText w:val="%3."/>
      <w:lvlJc w:val="right"/>
      <w:pPr>
        <w:ind w:left="2157" w:hanging="180"/>
      </w:pPr>
    </w:lvl>
    <w:lvl w:ilvl="3" w:tplc="0816000F" w:tentative="1">
      <w:start w:val="1"/>
      <w:numFmt w:val="decimal"/>
      <w:lvlText w:val="%4."/>
      <w:lvlJc w:val="left"/>
      <w:pPr>
        <w:ind w:left="2877" w:hanging="360"/>
      </w:pPr>
    </w:lvl>
    <w:lvl w:ilvl="4" w:tplc="08160019" w:tentative="1">
      <w:start w:val="1"/>
      <w:numFmt w:val="lowerLetter"/>
      <w:lvlText w:val="%5."/>
      <w:lvlJc w:val="left"/>
      <w:pPr>
        <w:ind w:left="3597" w:hanging="360"/>
      </w:pPr>
    </w:lvl>
    <w:lvl w:ilvl="5" w:tplc="0816001B" w:tentative="1">
      <w:start w:val="1"/>
      <w:numFmt w:val="lowerRoman"/>
      <w:lvlText w:val="%6."/>
      <w:lvlJc w:val="right"/>
      <w:pPr>
        <w:ind w:left="4317" w:hanging="180"/>
      </w:pPr>
    </w:lvl>
    <w:lvl w:ilvl="6" w:tplc="0816000F" w:tentative="1">
      <w:start w:val="1"/>
      <w:numFmt w:val="decimal"/>
      <w:lvlText w:val="%7."/>
      <w:lvlJc w:val="left"/>
      <w:pPr>
        <w:ind w:left="5037" w:hanging="360"/>
      </w:pPr>
    </w:lvl>
    <w:lvl w:ilvl="7" w:tplc="08160019" w:tentative="1">
      <w:start w:val="1"/>
      <w:numFmt w:val="lowerLetter"/>
      <w:lvlText w:val="%8."/>
      <w:lvlJc w:val="left"/>
      <w:pPr>
        <w:ind w:left="5757" w:hanging="360"/>
      </w:pPr>
    </w:lvl>
    <w:lvl w:ilvl="8" w:tplc="0816001B" w:tentative="1">
      <w:start w:val="1"/>
      <w:numFmt w:val="lowerRoman"/>
      <w:lvlText w:val="%9."/>
      <w:lvlJc w:val="right"/>
      <w:pPr>
        <w:ind w:left="6477" w:hanging="180"/>
      </w:pPr>
    </w:lvl>
  </w:abstractNum>
  <w:abstractNum w:abstractNumId="4" w15:restartNumberingAfterBreak="0">
    <w:nsid w:val="451A2B9F"/>
    <w:multiLevelType w:val="hybridMultilevel"/>
    <w:tmpl w:val="3DF8B9CC"/>
    <w:lvl w:ilvl="0" w:tplc="08160001">
      <w:start w:val="1"/>
      <w:numFmt w:val="bullet"/>
      <w:lvlText w:val=""/>
      <w:lvlJc w:val="left"/>
      <w:pPr>
        <w:ind w:left="1077" w:hanging="360"/>
      </w:pPr>
      <w:rPr>
        <w:rFonts w:ascii="Symbol" w:hAnsi="Symbol" w:hint="default"/>
      </w:rPr>
    </w:lvl>
    <w:lvl w:ilvl="1" w:tplc="08160003" w:tentative="1">
      <w:start w:val="1"/>
      <w:numFmt w:val="bullet"/>
      <w:lvlText w:val="o"/>
      <w:lvlJc w:val="left"/>
      <w:pPr>
        <w:ind w:left="1797" w:hanging="360"/>
      </w:pPr>
      <w:rPr>
        <w:rFonts w:ascii="Courier New" w:hAnsi="Courier New" w:cs="Courier New" w:hint="default"/>
      </w:rPr>
    </w:lvl>
    <w:lvl w:ilvl="2" w:tplc="08160005" w:tentative="1">
      <w:start w:val="1"/>
      <w:numFmt w:val="bullet"/>
      <w:lvlText w:val=""/>
      <w:lvlJc w:val="left"/>
      <w:pPr>
        <w:ind w:left="2517" w:hanging="360"/>
      </w:pPr>
      <w:rPr>
        <w:rFonts w:ascii="Wingdings" w:hAnsi="Wingdings" w:hint="default"/>
      </w:rPr>
    </w:lvl>
    <w:lvl w:ilvl="3" w:tplc="08160001" w:tentative="1">
      <w:start w:val="1"/>
      <w:numFmt w:val="bullet"/>
      <w:lvlText w:val=""/>
      <w:lvlJc w:val="left"/>
      <w:pPr>
        <w:ind w:left="3237" w:hanging="360"/>
      </w:pPr>
      <w:rPr>
        <w:rFonts w:ascii="Symbol" w:hAnsi="Symbol" w:hint="default"/>
      </w:rPr>
    </w:lvl>
    <w:lvl w:ilvl="4" w:tplc="08160003" w:tentative="1">
      <w:start w:val="1"/>
      <w:numFmt w:val="bullet"/>
      <w:lvlText w:val="o"/>
      <w:lvlJc w:val="left"/>
      <w:pPr>
        <w:ind w:left="3957" w:hanging="360"/>
      </w:pPr>
      <w:rPr>
        <w:rFonts w:ascii="Courier New" w:hAnsi="Courier New" w:cs="Courier New" w:hint="default"/>
      </w:rPr>
    </w:lvl>
    <w:lvl w:ilvl="5" w:tplc="08160005" w:tentative="1">
      <w:start w:val="1"/>
      <w:numFmt w:val="bullet"/>
      <w:lvlText w:val=""/>
      <w:lvlJc w:val="left"/>
      <w:pPr>
        <w:ind w:left="4677" w:hanging="360"/>
      </w:pPr>
      <w:rPr>
        <w:rFonts w:ascii="Wingdings" w:hAnsi="Wingdings" w:hint="default"/>
      </w:rPr>
    </w:lvl>
    <w:lvl w:ilvl="6" w:tplc="08160001" w:tentative="1">
      <w:start w:val="1"/>
      <w:numFmt w:val="bullet"/>
      <w:lvlText w:val=""/>
      <w:lvlJc w:val="left"/>
      <w:pPr>
        <w:ind w:left="5397" w:hanging="360"/>
      </w:pPr>
      <w:rPr>
        <w:rFonts w:ascii="Symbol" w:hAnsi="Symbol" w:hint="default"/>
      </w:rPr>
    </w:lvl>
    <w:lvl w:ilvl="7" w:tplc="08160003" w:tentative="1">
      <w:start w:val="1"/>
      <w:numFmt w:val="bullet"/>
      <w:lvlText w:val="o"/>
      <w:lvlJc w:val="left"/>
      <w:pPr>
        <w:ind w:left="6117" w:hanging="360"/>
      </w:pPr>
      <w:rPr>
        <w:rFonts w:ascii="Courier New" w:hAnsi="Courier New" w:cs="Courier New" w:hint="default"/>
      </w:rPr>
    </w:lvl>
    <w:lvl w:ilvl="8" w:tplc="08160005" w:tentative="1">
      <w:start w:val="1"/>
      <w:numFmt w:val="bullet"/>
      <w:lvlText w:val=""/>
      <w:lvlJc w:val="left"/>
      <w:pPr>
        <w:ind w:left="6837" w:hanging="360"/>
      </w:pPr>
      <w:rPr>
        <w:rFonts w:ascii="Wingdings" w:hAnsi="Wingdings" w:hint="default"/>
      </w:rPr>
    </w:lvl>
  </w:abstractNum>
  <w:abstractNum w:abstractNumId="5" w15:restartNumberingAfterBreak="0">
    <w:nsid w:val="638D6583"/>
    <w:multiLevelType w:val="hybridMultilevel"/>
    <w:tmpl w:val="22AEF286"/>
    <w:lvl w:ilvl="0" w:tplc="3B9ACC60">
      <w:start w:val="1"/>
      <w:numFmt w:val="decimal"/>
      <w:lvlText w:val="%1)"/>
      <w:lvlJc w:val="left"/>
      <w:pPr>
        <w:ind w:left="717" w:hanging="360"/>
      </w:pPr>
      <w:rPr>
        <w:rFonts w:hint="default"/>
        <w:b/>
        <w:color w:val="0195C7"/>
      </w:rPr>
    </w:lvl>
    <w:lvl w:ilvl="1" w:tplc="08160019" w:tentative="1">
      <w:start w:val="1"/>
      <w:numFmt w:val="lowerLetter"/>
      <w:lvlText w:val="%2."/>
      <w:lvlJc w:val="left"/>
      <w:pPr>
        <w:ind w:left="1437" w:hanging="360"/>
      </w:pPr>
    </w:lvl>
    <w:lvl w:ilvl="2" w:tplc="0816001B" w:tentative="1">
      <w:start w:val="1"/>
      <w:numFmt w:val="lowerRoman"/>
      <w:lvlText w:val="%3."/>
      <w:lvlJc w:val="right"/>
      <w:pPr>
        <w:ind w:left="2157" w:hanging="180"/>
      </w:pPr>
    </w:lvl>
    <w:lvl w:ilvl="3" w:tplc="0816000F" w:tentative="1">
      <w:start w:val="1"/>
      <w:numFmt w:val="decimal"/>
      <w:lvlText w:val="%4."/>
      <w:lvlJc w:val="left"/>
      <w:pPr>
        <w:ind w:left="2877" w:hanging="360"/>
      </w:pPr>
    </w:lvl>
    <w:lvl w:ilvl="4" w:tplc="08160019" w:tentative="1">
      <w:start w:val="1"/>
      <w:numFmt w:val="lowerLetter"/>
      <w:lvlText w:val="%5."/>
      <w:lvlJc w:val="left"/>
      <w:pPr>
        <w:ind w:left="3597" w:hanging="360"/>
      </w:pPr>
    </w:lvl>
    <w:lvl w:ilvl="5" w:tplc="0816001B" w:tentative="1">
      <w:start w:val="1"/>
      <w:numFmt w:val="lowerRoman"/>
      <w:lvlText w:val="%6."/>
      <w:lvlJc w:val="right"/>
      <w:pPr>
        <w:ind w:left="4317" w:hanging="180"/>
      </w:pPr>
    </w:lvl>
    <w:lvl w:ilvl="6" w:tplc="0816000F" w:tentative="1">
      <w:start w:val="1"/>
      <w:numFmt w:val="decimal"/>
      <w:lvlText w:val="%7."/>
      <w:lvlJc w:val="left"/>
      <w:pPr>
        <w:ind w:left="5037" w:hanging="360"/>
      </w:pPr>
    </w:lvl>
    <w:lvl w:ilvl="7" w:tplc="08160019" w:tentative="1">
      <w:start w:val="1"/>
      <w:numFmt w:val="lowerLetter"/>
      <w:lvlText w:val="%8."/>
      <w:lvlJc w:val="left"/>
      <w:pPr>
        <w:ind w:left="5757" w:hanging="360"/>
      </w:pPr>
    </w:lvl>
    <w:lvl w:ilvl="8" w:tplc="0816001B" w:tentative="1">
      <w:start w:val="1"/>
      <w:numFmt w:val="lowerRoman"/>
      <w:lvlText w:val="%9."/>
      <w:lvlJc w:val="right"/>
      <w:pPr>
        <w:ind w:left="6477" w:hanging="180"/>
      </w:pPr>
    </w:lvl>
  </w:abstractNum>
  <w:abstractNum w:abstractNumId="6" w15:restartNumberingAfterBreak="0">
    <w:nsid w:val="7A4B5284"/>
    <w:multiLevelType w:val="hybridMultilevel"/>
    <w:tmpl w:val="4DC4E0F6"/>
    <w:lvl w:ilvl="0" w:tplc="DF348CD6">
      <w:start w:val="1"/>
      <w:numFmt w:val="decimal"/>
      <w:lvlText w:val="%1."/>
      <w:lvlJc w:val="left"/>
      <w:pPr>
        <w:ind w:left="1077" w:hanging="360"/>
      </w:pPr>
      <w:rPr>
        <w:b/>
        <w:bCs/>
        <w:color w:val="auto"/>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num w:numId="1" w16cid:durableId="1226793471">
    <w:abstractNumId w:val="4"/>
  </w:num>
  <w:num w:numId="2" w16cid:durableId="1865438093">
    <w:abstractNumId w:val="3"/>
  </w:num>
  <w:num w:numId="3" w16cid:durableId="1951815488">
    <w:abstractNumId w:val="0"/>
  </w:num>
  <w:num w:numId="4" w16cid:durableId="2106729745">
    <w:abstractNumId w:val="1"/>
  </w:num>
  <w:num w:numId="5" w16cid:durableId="2134403467">
    <w:abstractNumId w:val="2"/>
  </w:num>
  <w:num w:numId="6" w16cid:durableId="554707807">
    <w:abstractNumId w:val="5"/>
  </w:num>
  <w:num w:numId="7" w16cid:durableId="7496193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D98"/>
    <w:rsid w:val="0000619A"/>
    <w:rsid w:val="00010AFB"/>
    <w:rsid w:val="00013E18"/>
    <w:rsid w:val="00017325"/>
    <w:rsid w:val="0002312C"/>
    <w:rsid w:val="00031CB7"/>
    <w:rsid w:val="00043DEE"/>
    <w:rsid w:val="0004437F"/>
    <w:rsid w:val="000531D0"/>
    <w:rsid w:val="00060D9E"/>
    <w:rsid w:val="0006465F"/>
    <w:rsid w:val="00067D1D"/>
    <w:rsid w:val="00086044"/>
    <w:rsid w:val="00095A6A"/>
    <w:rsid w:val="000A0F80"/>
    <w:rsid w:val="000A4085"/>
    <w:rsid w:val="000A59A6"/>
    <w:rsid w:val="000A5A0C"/>
    <w:rsid w:val="000A68B8"/>
    <w:rsid w:val="000A7849"/>
    <w:rsid w:val="000B0D46"/>
    <w:rsid w:val="000C694C"/>
    <w:rsid w:val="000C7ECF"/>
    <w:rsid w:val="000D2987"/>
    <w:rsid w:val="000D4E8F"/>
    <w:rsid w:val="000D742C"/>
    <w:rsid w:val="000E12D5"/>
    <w:rsid w:val="000E20FC"/>
    <w:rsid w:val="000E41C8"/>
    <w:rsid w:val="000E4C70"/>
    <w:rsid w:val="000E624C"/>
    <w:rsid w:val="000E7219"/>
    <w:rsid w:val="000F3ED9"/>
    <w:rsid w:val="000F4B79"/>
    <w:rsid w:val="00101C2F"/>
    <w:rsid w:val="00105857"/>
    <w:rsid w:val="001070F5"/>
    <w:rsid w:val="00114644"/>
    <w:rsid w:val="001216BE"/>
    <w:rsid w:val="001357E2"/>
    <w:rsid w:val="00136AD9"/>
    <w:rsid w:val="00142A7E"/>
    <w:rsid w:val="0014328B"/>
    <w:rsid w:val="001453FC"/>
    <w:rsid w:val="001515C0"/>
    <w:rsid w:val="0016079C"/>
    <w:rsid w:val="00164EEF"/>
    <w:rsid w:val="00167F99"/>
    <w:rsid w:val="001743CA"/>
    <w:rsid w:val="00181368"/>
    <w:rsid w:val="00191765"/>
    <w:rsid w:val="00197A08"/>
    <w:rsid w:val="001B0608"/>
    <w:rsid w:val="001B1959"/>
    <w:rsid w:val="001C178B"/>
    <w:rsid w:val="001D05B2"/>
    <w:rsid w:val="001D4D11"/>
    <w:rsid w:val="001E470F"/>
    <w:rsid w:val="001E5755"/>
    <w:rsid w:val="001F00C3"/>
    <w:rsid w:val="001F4850"/>
    <w:rsid w:val="00204714"/>
    <w:rsid w:val="00204D8A"/>
    <w:rsid w:val="00206819"/>
    <w:rsid w:val="00213F07"/>
    <w:rsid w:val="00223D29"/>
    <w:rsid w:val="002369C9"/>
    <w:rsid w:val="00237917"/>
    <w:rsid w:val="002409D6"/>
    <w:rsid w:val="00242820"/>
    <w:rsid w:val="00252C4C"/>
    <w:rsid w:val="00252EE3"/>
    <w:rsid w:val="00253205"/>
    <w:rsid w:val="00253D78"/>
    <w:rsid w:val="002578B7"/>
    <w:rsid w:val="002604F3"/>
    <w:rsid w:val="002609C8"/>
    <w:rsid w:val="0026433B"/>
    <w:rsid w:val="00265DD5"/>
    <w:rsid w:val="00266EC6"/>
    <w:rsid w:val="00272414"/>
    <w:rsid w:val="0027704B"/>
    <w:rsid w:val="00277140"/>
    <w:rsid w:val="00283D1F"/>
    <w:rsid w:val="002A3868"/>
    <w:rsid w:val="002A3B35"/>
    <w:rsid w:val="002A7646"/>
    <w:rsid w:val="002B0CFA"/>
    <w:rsid w:val="002B2ADF"/>
    <w:rsid w:val="002B640E"/>
    <w:rsid w:val="002B6BC6"/>
    <w:rsid w:val="002C22E2"/>
    <w:rsid w:val="002D1622"/>
    <w:rsid w:val="002D1CA2"/>
    <w:rsid w:val="002E085F"/>
    <w:rsid w:val="002E25CB"/>
    <w:rsid w:val="002E2AE9"/>
    <w:rsid w:val="002E6F33"/>
    <w:rsid w:val="002F2A66"/>
    <w:rsid w:val="002F41B9"/>
    <w:rsid w:val="002F5B37"/>
    <w:rsid w:val="00300428"/>
    <w:rsid w:val="00301EBE"/>
    <w:rsid w:val="00311104"/>
    <w:rsid w:val="003148FB"/>
    <w:rsid w:val="00315528"/>
    <w:rsid w:val="00315D29"/>
    <w:rsid w:val="00324ABF"/>
    <w:rsid w:val="00325784"/>
    <w:rsid w:val="0032632B"/>
    <w:rsid w:val="00340399"/>
    <w:rsid w:val="0035189D"/>
    <w:rsid w:val="00351B85"/>
    <w:rsid w:val="00353516"/>
    <w:rsid w:val="00372F09"/>
    <w:rsid w:val="003742FB"/>
    <w:rsid w:val="00374AE2"/>
    <w:rsid w:val="00384525"/>
    <w:rsid w:val="00397839"/>
    <w:rsid w:val="003A7090"/>
    <w:rsid w:val="003A7D4E"/>
    <w:rsid w:val="003B794D"/>
    <w:rsid w:val="003D660F"/>
    <w:rsid w:val="003D6703"/>
    <w:rsid w:val="00403760"/>
    <w:rsid w:val="0041781D"/>
    <w:rsid w:val="00421334"/>
    <w:rsid w:val="004217C1"/>
    <w:rsid w:val="00421C3B"/>
    <w:rsid w:val="0043131C"/>
    <w:rsid w:val="00433EF2"/>
    <w:rsid w:val="00436267"/>
    <w:rsid w:val="004368B8"/>
    <w:rsid w:val="004418B8"/>
    <w:rsid w:val="00444708"/>
    <w:rsid w:val="004515EC"/>
    <w:rsid w:val="00460952"/>
    <w:rsid w:val="00462550"/>
    <w:rsid w:val="004653AD"/>
    <w:rsid w:val="00474392"/>
    <w:rsid w:val="00476D5F"/>
    <w:rsid w:val="00482E5B"/>
    <w:rsid w:val="00483228"/>
    <w:rsid w:val="00484D21"/>
    <w:rsid w:val="004874D9"/>
    <w:rsid w:val="00487602"/>
    <w:rsid w:val="00487B55"/>
    <w:rsid w:val="00494467"/>
    <w:rsid w:val="004975D5"/>
    <w:rsid w:val="004A5082"/>
    <w:rsid w:val="004A5C04"/>
    <w:rsid w:val="004A6A81"/>
    <w:rsid w:val="004B4A43"/>
    <w:rsid w:val="004C118C"/>
    <w:rsid w:val="004C1CB3"/>
    <w:rsid w:val="004C5B3B"/>
    <w:rsid w:val="004C7B01"/>
    <w:rsid w:val="004D0BE6"/>
    <w:rsid w:val="004D536C"/>
    <w:rsid w:val="004F0D35"/>
    <w:rsid w:val="004F504D"/>
    <w:rsid w:val="004F734A"/>
    <w:rsid w:val="005005D1"/>
    <w:rsid w:val="0050204C"/>
    <w:rsid w:val="00503193"/>
    <w:rsid w:val="00503860"/>
    <w:rsid w:val="00505031"/>
    <w:rsid w:val="00511B8B"/>
    <w:rsid w:val="00515FFA"/>
    <w:rsid w:val="00516187"/>
    <w:rsid w:val="00522026"/>
    <w:rsid w:val="005340ED"/>
    <w:rsid w:val="0054615E"/>
    <w:rsid w:val="005507E2"/>
    <w:rsid w:val="00552B06"/>
    <w:rsid w:val="00556762"/>
    <w:rsid w:val="0056143D"/>
    <w:rsid w:val="00562928"/>
    <w:rsid w:val="00563C07"/>
    <w:rsid w:val="00565985"/>
    <w:rsid w:val="00571A22"/>
    <w:rsid w:val="005736BC"/>
    <w:rsid w:val="00573C31"/>
    <w:rsid w:val="00582F63"/>
    <w:rsid w:val="00584C33"/>
    <w:rsid w:val="00596DCA"/>
    <w:rsid w:val="005A207A"/>
    <w:rsid w:val="005A23E8"/>
    <w:rsid w:val="005B24CC"/>
    <w:rsid w:val="005B411F"/>
    <w:rsid w:val="005B53FD"/>
    <w:rsid w:val="005C5F97"/>
    <w:rsid w:val="005D3FA2"/>
    <w:rsid w:val="005D6232"/>
    <w:rsid w:val="005E0A39"/>
    <w:rsid w:val="005E1620"/>
    <w:rsid w:val="005E6B84"/>
    <w:rsid w:val="005E7D36"/>
    <w:rsid w:val="005F1969"/>
    <w:rsid w:val="005F3CAC"/>
    <w:rsid w:val="0060008D"/>
    <w:rsid w:val="006027A6"/>
    <w:rsid w:val="00604061"/>
    <w:rsid w:val="00604CC5"/>
    <w:rsid w:val="00604FBF"/>
    <w:rsid w:val="006071CD"/>
    <w:rsid w:val="0062046B"/>
    <w:rsid w:val="006205D4"/>
    <w:rsid w:val="0062151B"/>
    <w:rsid w:val="0062417D"/>
    <w:rsid w:val="00624D4D"/>
    <w:rsid w:val="00644589"/>
    <w:rsid w:val="0065504C"/>
    <w:rsid w:val="00661D04"/>
    <w:rsid w:val="0066446E"/>
    <w:rsid w:val="0066510D"/>
    <w:rsid w:val="006652DD"/>
    <w:rsid w:val="00665317"/>
    <w:rsid w:val="00666C41"/>
    <w:rsid w:val="00680CF3"/>
    <w:rsid w:val="00683658"/>
    <w:rsid w:val="00693D51"/>
    <w:rsid w:val="006952A0"/>
    <w:rsid w:val="006B4A56"/>
    <w:rsid w:val="006C15EC"/>
    <w:rsid w:val="006C7917"/>
    <w:rsid w:val="006D1CDF"/>
    <w:rsid w:val="006D3423"/>
    <w:rsid w:val="006D36DF"/>
    <w:rsid w:val="006D7A94"/>
    <w:rsid w:val="006E3977"/>
    <w:rsid w:val="006E60C8"/>
    <w:rsid w:val="006F1E1D"/>
    <w:rsid w:val="006F3F49"/>
    <w:rsid w:val="006F545E"/>
    <w:rsid w:val="006F5B52"/>
    <w:rsid w:val="007027E3"/>
    <w:rsid w:val="00703B14"/>
    <w:rsid w:val="007045BE"/>
    <w:rsid w:val="007048C4"/>
    <w:rsid w:val="007074D5"/>
    <w:rsid w:val="00707512"/>
    <w:rsid w:val="007128BD"/>
    <w:rsid w:val="007169AC"/>
    <w:rsid w:val="007212C0"/>
    <w:rsid w:val="0072186A"/>
    <w:rsid w:val="0072476B"/>
    <w:rsid w:val="0074277E"/>
    <w:rsid w:val="0074517C"/>
    <w:rsid w:val="007468C5"/>
    <w:rsid w:val="00747EB8"/>
    <w:rsid w:val="0075240F"/>
    <w:rsid w:val="00753465"/>
    <w:rsid w:val="00753D12"/>
    <w:rsid w:val="0075670E"/>
    <w:rsid w:val="0076285B"/>
    <w:rsid w:val="00762E3B"/>
    <w:rsid w:val="00767FB4"/>
    <w:rsid w:val="007702BB"/>
    <w:rsid w:val="007736FB"/>
    <w:rsid w:val="00773731"/>
    <w:rsid w:val="00774029"/>
    <w:rsid w:val="0077699C"/>
    <w:rsid w:val="00783EEA"/>
    <w:rsid w:val="00784980"/>
    <w:rsid w:val="0078765F"/>
    <w:rsid w:val="00790FA7"/>
    <w:rsid w:val="0079107E"/>
    <w:rsid w:val="00794452"/>
    <w:rsid w:val="007A34B5"/>
    <w:rsid w:val="007A5B95"/>
    <w:rsid w:val="007B0B06"/>
    <w:rsid w:val="007B5DF7"/>
    <w:rsid w:val="007B6FE5"/>
    <w:rsid w:val="007B758E"/>
    <w:rsid w:val="007C0994"/>
    <w:rsid w:val="007C4886"/>
    <w:rsid w:val="007C51E8"/>
    <w:rsid w:val="007C6948"/>
    <w:rsid w:val="007D210D"/>
    <w:rsid w:val="007D314D"/>
    <w:rsid w:val="007D4EB0"/>
    <w:rsid w:val="007D657F"/>
    <w:rsid w:val="007D7155"/>
    <w:rsid w:val="007E020A"/>
    <w:rsid w:val="007E6D65"/>
    <w:rsid w:val="007F3D7A"/>
    <w:rsid w:val="00800B99"/>
    <w:rsid w:val="00806829"/>
    <w:rsid w:val="00812124"/>
    <w:rsid w:val="008177CC"/>
    <w:rsid w:val="0082208B"/>
    <w:rsid w:val="0082358B"/>
    <w:rsid w:val="00823DAD"/>
    <w:rsid w:val="00833259"/>
    <w:rsid w:val="00835AA5"/>
    <w:rsid w:val="008457AB"/>
    <w:rsid w:val="00852DED"/>
    <w:rsid w:val="008609F0"/>
    <w:rsid w:val="0087011D"/>
    <w:rsid w:val="008751A8"/>
    <w:rsid w:val="0089011A"/>
    <w:rsid w:val="00891B4F"/>
    <w:rsid w:val="00893C74"/>
    <w:rsid w:val="00895134"/>
    <w:rsid w:val="00895CCE"/>
    <w:rsid w:val="00897252"/>
    <w:rsid w:val="008A0E85"/>
    <w:rsid w:val="008A33CC"/>
    <w:rsid w:val="008B2AB4"/>
    <w:rsid w:val="008C133C"/>
    <w:rsid w:val="008C3082"/>
    <w:rsid w:val="008C5DA5"/>
    <w:rsid w:val="008C7A1E"/>
    <w:rsid w:val="008D2408"/>
    <w:rsid w:val="008D2EEC"/>
    <w:rsid w:val="008D4276"/>
    <w:rsid w:val="008E14B9"/>
    <w:rsid w:val="008E1520"/>
    <w:rsid w:val="008E3FCD"/>
    <w:rsid w:val="008E4696"/>
    <w:rsid w:val="008E5192"/>
    <w:rsid w:val="008F09DF"/>
    <w:rsid w:val="009150D5"/>
    <w:rsid w:val="00920AE5"/>
    <w:rsid w:val="00924320"/>
    <w:rsid w:val="00932E02"/>
    <w:rsid w:val="00937B11"/>
    <w:rsid w:val="00947EB9"/>
    <w:rsid w:val="00950F83"/>
    <w:rsid w:val="00952F8A"/>
    <w:rsid w:val="0095622C"/>
    <w:rsid w:val="00963E08"/>
    <w:rsid w:val="00964065"/>
    <w:rsid w:val="00966435"/>
    <w:rsid w:val="00972F86"/>
    <w:rsid w:val="00973023"/>
    <w:rsid w:val="00974F8E"/>
    <w:rsid w:val="00981783"/>
    <w:rsid w:val="00993C32"/>
    <w:rsid w:val="009966A6"/>
    <w:rsid w:val="009A3FA1"/>
    <w:rsid w:val="009A47DF"/>
    <w:rsid w:val="009A7149"/>
    <w:rsid w:val="009A72AC"/>
    <w:rsid w:val="009B4C7A"/>
    <w:rsid w:val="009C3717"/>
    <w:rsid w:val="009D6183"/>
    <w:rsid w:val="009D72BC"/>
    <w:rsid w:val="009E22F4"/>
    <w:rsid w:val="009E3AED"/>
    <w:rsid w:val="009E5BCE"/>
    <w:rsid w:val="009E5EF8"/>
    <w:rsid w:val="009F32D0"/>
    <w:rsid w:val="009F775E"/>
    <w:rsid w:val="00A16095"/>
    <w:rsid w:val="00A20171"/>
    <w:rsid w:val="00A22268"/>
    <w:rsid w:val="00A23A23"/>
    <w:rsid w:val="00A3583E"/>
    <w:rsid w:val="00A408F6"/>
    <w:rsid w:val="00A40B49"/>
    <w:rsid w:val="00A42186"/>
    <w:rsid w:val="00A531A2"/>
    <w:rsid w:val="00A6044A"/>
    <w:rsid w:val="00A63696"/>
    <w:rsid w:val="00A64476"/>
    <w:rsid w:val="00A652AC"/>
    <w:rsid w:val="00A70B90"/>
    <w:rsid w:val="00A77994"/>
    <w:rsid w:val="00A97F91"/>
    <w:rsid w:val="00AA39A8"/>
    <w:rsid w:val="00AA5E8F"/>
    <w:rsid w:val="00AA6DF7"/>
    <w:rsid w:val="00AB0A58"/>
    <w:rsid w:val="00AB1C1C"/>
    <w:rsid w:val="00AB1FD5"/>
    <w:rsid w:val="00AB3C45"/>
    <w:rsid w:val="00AC5251"/>
    <w:rsid w:val="00AC644C"/>
    <w:rsid w:val="00AC77C3"/>
    <w:rsid w:val="00AD19A9"/>
    <w:rsid w:val="00AD257E"/>
    <w:rsid w:val="00AD4D97"/>
    <w:rsid w:val="00AE1927"/>
    <w:rsid w:val="00AE25C3"/>
    <w:rsid w:val="00AE28CB"/>
    <w:rsid w:val="00AE59B2"/>
    <w:rsid w:val="00AE6017"/>
    <w:rsid w:val="00AF4896"/>
    <w:rsid w:val="00AF514D"/>
    <w:rsid w:val="00B03A99"/>
    <w:rsid w:val="00B12158"/>
    <w:rsid w:val="00B12D1D"/>
    <w:rsid w:val="00B24746"/>
    <w:rsid w:val="00B26246"/>
    <w:rsid w:val="00B41256"/>
    <w:rsid w:val="00B44458"/>
    <w:rsid w:val="00B478C7"/>
    <w:rsid w:val="00B47F37"/>
    <w:rsid w:val="00B50013"/>
    <w:rsid w:val="00B5170A"/>
    <w:rsid w:val="00B529AF"/>
    <w:rsid w:val="00B54AAE"/>
    <w:rsid w:val="00B5527D"/>
    <w:rsid w:val="00B5530F"/>
    <w:rsid w:val="00B5611B"/>
    <w:rsid w:val="00B609C8"/>
    <w:rsid w:val="00B61588"/>
    <w:rsid w:val="00B63732"/>
    <w:rsid w:val="00B72A12"/>
    <w:rsid w:val="00B83AE6"/>
    <w:rsid w:val="00B85983"/>
    <w:rsid w:val="00B92F0E"/>
    <w:rsid w:val="00BA2A9F"/>
    <w:rsid w:val="00BA2C48"/>
    <w:rsid w:val="00BA5E61"/>
    <w:rsid w:val="00BB108B"/>
    <w:rsid w:val="00BB1E26"/>
    <w:rsid w:val="00BB37D9"/>
    <w:rsid w:val="00BB5B91"/>
    <w:rsid w:val="00BB66CA"/>
    <w:rsid w:val="00BB7D1E"/>
    <w:rsid w:val="00BC2E0E"/>
    <w:rsid w:val="00BC5E92"/>
    <w:rsid w:val="00BC71FE"/>
    <w:rsid w:val="00BD2929"/>
    <w:rsid w:val="00BD64F2"/>
    <w:rsid w:val="00BF077A"/>
    <w:rsid w:val="00BF3B1E"/>
    <w:rsid w:val="00BF3D92"/>
    <w:rsid w:val="00C04DE0"/>
    <w:rsid w:val="00C06CF8"/>
    <w:rsid w:val="00C07C7E"/>
    <w:rsid w:val="00C12E03"/>
    <w:rsid w:val="00C132D1"/>
    <w:rsid w:val="00C17F35"/>
    <w:rsid w:val="00C318DD"/>
    <w:rsid w:val="00C3702C"/>
    <w:rsid w:val="00C40B4B"/>
    <w:rsid w:val="00C4528E"/>
    <w:rsid w:val="00C4738F"/>
    <w:rsid w:val="00C518B1"/>
    <w:rsid w:val="00C622A2"/>
    <w:rsid w:val="00C6442A"/>
    <w:rsid w:val="00C66D98"/>
    <w:rsid w:val="00C679E7"/>
    <w:rsid w:val="00C7045D"/>
    <w:rsid w:val="00C75C27"/>
    <w:rsid w:val="00C765AA"/>
    <w:rsid w:val="00C77C9A"/>
    <w:rsid w:val="00C81D47"/>
    <w:rsid w:val="00C856C4"/>
    <w:rsid w:val="00C90031"/>
    <w:rsid w:val="00CA2FC2"/>
    <w:rsid w:val="00CA33BA"/>
    <w:rsid w:val="00CA720B"/>
    <w:rsid w:val="00CB0C8E"/>
    <w:rsid w:val="00CB2701"/>
    <w:rsid w:val="00CB7000"/>
    <w:rsid w:val="00CB74E6"/>
    <w:rsid w:val="00CC01DA"/>
    <w:rsid w:val="00CC2489"/>
    <w:rsid w:val="00CC68CE"/>
    <w:rsid w:val="00CC736E"/>
    <w:rsid w:val="00CD28A0"/>
    <w:rsid w:val="00CD66B4"/>
    <w:rsid w:val="00CE1AE6"/>
    <w:rsid w:val="00CE20E1"/>
    <w:rsid w:val="00CE4C43"/>
    <w:rsid w:val="00CE7139"/>
    <w:rsid w:val="00CF2273"/>
    <w:rsid w:val="00CF2F47"/>
    <w:rsid w:val="00CF3071"/>
    <w:rsid w:val="00D04723"/>
    <w:rsid w:val="00D05085"/>
    <w:rsid w:val="00D119E9"/>
    <w:rsid w:val="00D11EAC"/>
    <w:rsid w:val="00D249E0"/>
    <w:rsid w:val="00D24B71"/>
    <w:rsid w:val="00D315A2"/>
    <w:rsid w:val="00D31C30"/>
    <w:rsid w:val="00D32456"/>
    <w:rsid w:val="00D4022A"/>
    <w:rsid w:val="00D44DA5"/>
    <w:rsid w:val="00D528BB"/>
    <w:rsid w:val="00D5397C"/>
    <w:rsid w:val="00D53B5F"/>
    <w:rsid w:val="00D57F7F"/>
    <w:rsid w:val="00D62DC2"/>
    <w:rsid w:val="00D62F19"/>
    <w:rsid w:val="00D637E4"/>
    <w:rsid w:val="00D64D63"/>
    <w:rsid w:val="00D66834"/>
    <w:rsid w:val="00D672A9"/>
    <w:rsid w:val="00D763C9"/>
    <w:rsid w:val="00D829D2"/>
    <w:rsid w:val="00D830A8"/>
    <w:rsid w:val="00D83DE4"/>
    <w:rsid w:val="00D8477D"/>
    <w:rsid w:val="00D862C6"/>
    <w:rsid w:val="00D90F62"/>
    <w:rsid w:val="00D925D4"/>
    <w:rsid w:val="00D93163"/>
    <w:rsid w:val="00D96512"/>
    <w:rsid w:val="00DA2817"/>
    <w:rsid w:val="00DA5D53"/>
    <w:rsid w:val="00DB4B88"/>
    <w:rsid w:val="00DC1E25"/>
    <w:rsid w:val="00DC411D"/>
    <w:rsid w:val="00DC6F58"/>
    <w:rsid w:val="00DE5311"/>
    <w:rsid w:val="00DE5D0A"/>
    <w:rsid w:val="00DF2C62"/>
    <w:rsid w:val="00DF2F77"/>
    <w:rsid w:val="00DF458D"/>
    <w:rsid w:val="00DF4C6D"/>
    <w:rsid w:val="00DF7F0D"/>
    <w:rsid w:val="00E04C41"/>
    <w:rsid w:val="00E04FD8"/>
    <w:rsid w:val="00E1007D"/>
    <w:rsid w:val="00E113D1"/>
    <w:rsid w:val="00E128FE"/>
    <w:rsid w:val="00E22859"/>
    <w:rsid w:val="00E342E8"/>
    <w:rsid w:val="00E4188E"/>
    <w:rsid w:val="00E50F6E"/>
    <w:rsid w:val="00E529AF"/>
    <w:rsid w:val="00E54077"/>
    <w:rsid w:val="00E607C2"/>
    <w:rsid w:val="00E64287"/>
    <w:rsid w:val="00E64BA5"/>
    <w:rsid w:val="00E72ED6"/>
    <w:rsid w:val="00E7785C"/>
    <w:rsid w:val="00E80988"/>
    <w:rsid w:val="00E82CAB"/>
    <w:rsid w:val="00E838A8"/>
    <w:rsid w:val="00E8477D"/>
    <w:rsid w:val="00E87234"/>
    <w:rsid w:val="00E92401"/>
    <w:rsid w:val="00E96B49"/>
    <w:rsid w:val="00E96D9F"/>
    <w:rsid w:val="00EA004A"/>
    <w:rsid w:val="00EB3FC1"/>
    <w:rsid w:val="00EB49A5"/>
    <w:rsid w:val="00EC4B86"/>
    <w:rsid w:val="00ED71B8"/>
    <w:rsid w:val="00ED7689"/>
    <w:rsid w:val="00EE3908"/>
    <w:rsid w:val="00EE40E1"/>
    <w:rsid w:val="00EF0BD2"/>
    <w:rsid w:val="00EF6B41"/>
    <w:rsid w:val="00EF6B86"/>
    <w:rsid w:val="00EF7010"/>
    <w:rsid w:val="00F0724A"/>
    <w:rsid w:val="00F12584"/>
    <w:rsid w:val="00F14C37"/>
    <w:rsid w:val="00F17236"/>
    <w:rsid w:val="00F20DF1"/>
    <w:rsid w:val="00F2418E"/>
    <w:rsid w:val="00F25DA8"/>
    <w:rsid w:val="00F2610C"/>
    <w:rsid w:val="00F30379"/>
    <w:rsid w:val="00F30A35"/>
    <w:rsid w:val="00F31184"/>
    <w:rsid w:val="00F42CBD"/>
    <w:rsid w:val="00F5109A"/>
    <w:rsid w:val="00F56605"/>
    <w:rsid w:val="00F70505"/>
    <w:rsid w:val="00F71D89"/>
    <w:rsid w:val="00F753E7"/>
    <w:rsid w:val="00F756DD"/>
    <w:rsid w:val="00F761EC"/>
    <w:rsid w:val="00F85956"/>
    <w:rsid w:val="00F90F80"/>
    <w:rsid w:val="00F91C66"/>
    <w:rsid w:val="00F97CE6"/>
    <w:rsid w:val="00FA09B6"/>
    <w:rsid w:val="00FB1F8A"/>
    <w:rsid w:val="00FB483D"/>
    <w:rsid w:val="00FB7EF0"/>
    <w:rsid w:val="00FC2EE8"/>
    <w:rsid w:val="00FC3E6E"/>
    <w:rsid w:val="00FC5F7E"/>
    <w:rsid w:val="00FD1DC4"/>
    <w:rsid w:val="00FE13B1"/>
    <w:rsid w:val="00FE21AA"/>
    <w:rsid w:val="00FE3DBB"/>
    <w:rsid w:val="00FF6A59"/>
    <w:rsid w:val="09E986F7"/>
    <w:rsid w:val="0B1E0542"/>
    <w:rsid w:val="0E6BE7CB"/>
    <w:rsid w:val="13FF7AA2"/>
    <w:rsid w:val="1B5360F2"/>
    <w:rsid w:val="29EA24D1"/>
    <w:rsid w:val="31FC2296"/>
    <w:rsid w:val="398E15C3"/>
    <w:rsid w:val="401E83D4"/>
    <w:rsid w:val="4D5C705F"/>
    <w:rsid w:val="4EF39A82"/>
    <w:rsid w:val="5A5AE191"/>
    <w:rsid w:val="5B3E8ED1"/>
    <w:rsid w:val="5D9B3778"/>
    <w:rsid w:val="62FD3D05"/>
    <w:rsid w:val="657C43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A7616"/>
  <w15:chartTrackingRefBased/>
  <w15:docId w15:val="{E5051C47-7E2B-4385-B578-37DC6D136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C66D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C66D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C66D9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C66D9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C66D9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C66D9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C66D9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C66D9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C66D98"/>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C66D98"/>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C66D98"/>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C66D98"/>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C66D98"/>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C66D98"/>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C66D98"/>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C66D98"/>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C66D98"/>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C66D98"/>
    <w:rPr>
      <w:rFonts w:eastAsiaTheme="majorEastAsia" w:cstheme="majorBidi"/>
      <w:color w:val="272727" w:themeColor="text1" w:themeTint="D8"/>
    </w:rPr>
  </w:style>
  <w:style w:type="paragraph" w:styleId="Ttulo">
    <w:name w:val="Title"/>
    <w:basedOn w:val="Normal"/>
    <w:next w:val="Normal"/>
    <w:link w:val="TtuloCarter"/>
    <w:uiPriority w:val="10"/>
    <w:qFormat/>
    <w:rsid w:val="00C66D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C66D9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C66D98"/>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C66D98"/>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C66D98"/>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C66D98"/>
    <w:rPr>
      <w:i/>
      <w:iCs/>
      <w:color w:val="404040" w:themeColor="text1" w:themeTint="BF"/>
    </w:rPr>
  </w:style>
  <w:style w:type="paragraph" w:styleId="PargrafodaLista">
    <w:name w:val="List Paragraph"/>
    <w:basedOn w:val="Normal"/>
    <w:uiPriority w:val="34"/>
    <w:qFormat/>
    <w:rsid w:val="00C66D98"/>
    <w:pPr>
      <w:ind w:left="720"/>
      <w:contextualSpacing/>
    </w:pPr>
  </w:style>
  <w:style w:type="character" w:styleId="nfaseIntensa">
    <w:name w:val="Intense Emphasis"/>
    <w:basedOn w:val="Tipodeletrapredefinidodopargrafo"/>
    <w:uiPriority w:val="21"/>
    <w:qFormat/>
    <w:rsid w:val="00C66D98"/>
    <w:rPr>
      <w:i/>
      <w:iCs/>
      <w:color w:val="0F4761" w:themeColor="accent1" w:themeShade="BF"/>
    </w:rPr>
  </w:style>
  <w:style w:type="paragraph" w:styleId="CitaoIntensa">
    <w:name w:val="Intense Quote"/>
    <w:basedOn w:val="Normal"/>
    <w:next w:val="Normal"/>
    <w:link w:val="CitaoIntensaCarter"/>
    <w:uiPriority w:val="30"/>
    <w:qFormat/>
    <w:rsid w:val="00C66D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C66D98"/>
    <w:rPr>
      <w:i/>
      <w:iCs/>
      <w:color w:val="0F4761" w:themeColor="accent1" w:themeShade="BF"/>
    </w:rPr>
  </w:style>
  <w:style w:type="character" w:styleId="RefernciaIntensa">
    <w:name w:val="Intense Reference"/>
    <w:basedOn w:val="Tipodeletrapredefinidodopargrafo"/>
    <w:uiPriority w:val="32"/>
    <w:qFormat/>
    <w:rsid w:val="00C66D98"/>
    <w:rPr>
      <w:b/>
      <w:bCs/>
      <w:smallCaps/>
      <w:color w:val="0F4761" w:themeColor="accent1" w:themeShade="BF"/>
      <w:spacing w:val="5"/>
    </w:rPr>
  </w:style>
  <w:style w:type="paragraph" w:styleId="Cabealho">
    <w:name w:val="header"/>
    <w:basedOn w:val="Normal"/>
    <w:link w:val="CabealhoCarter"/>
    <w:uiPriority w:val="99"/>
    <w:unhideWhenUsed/>
    <w:rsid w:val="00C66D98"/>
    <w:pPr>
      <w:tabs>
        <w:tab w:val="center" w:pos="4419"/>
        <w:tab w:val="right" w:pos="8838"/>
      </w:tabs>
      <w:spacing w:after="0" w:line="240" w:lineRule="auto"/>
    </w:pPr>
  </w:style>
  <w:style w:type="character" w:customStyle="1" w:styleId="CabealhoCarter">
    <w:name w:val="Cabeçalho Caráter"/>
    <w:basedOn w:val="Tipodeletrapredefinidodopargrafo"/>
    <w:link w:val="Cabealho"/>
    <w:uiPriority w:val="99"/>
    <w:rsid w:val="00C66D98"/>
  </w:style>
  <w:style w:type="paragraph" w:styleId="Rodap">
    <w:name w:val="footer"/>
    <w:basedOn w:val="Normal"/>
    <w:link w:val="RodapCarter"/>
    <w:uiPriority w:val="99"/>
    <w:unhideWhenUsed/>
    <w:rsid w:val="00C66D98"/>
    <w:pPr>
      <w:tabs>
        <w:tab w:val="center" w:pos="4419"/>
        <w:tab w:val="right" w:pos="8838"/>
      </w:tabs>
      <w:spacing w:after="0" w:line="240" w:lineRule="auto"/>
    </w:pPr>
  </w:style>
  <w:style w:type="character" w:customStyle="1" w:styleId="RodapCarter">
    <w:name w:val="Rodapé Caráter"/>
    <w:basedOn w:val="Tipodeletrapredefinidodopargrafo"/>
    <w:link w:val="Rodap"/>
    <w:uiPriority w:val="99"/>
    <w:rsid w:val="00C66D98"/>
  </w:style>
  <w:style w:type="character" w:styleId="Hiperligao">
    <w:name w:val="Hyperlink"/>
    <w:basedOn w:val="Tipodeletrapredefinidodopargrafo"/>
    <w:uiPriority w:val="99"/>
    <w:unhideWhenUsed/>
    <w:rsid w:val="002E2AE9"/>
    <w:rPr>
      <w:color w:val="467886" w:themeColor="hyperlink"/>
      <w:u w:val="single"/>
    </w:rPr>
  </w:style>
  <w:style w:type="character" w:styleId="MenoNoResolvida">
    <w:name w:val="Unresolved Mention"/>
    <w:basedOn w:val="Tipodeletrapredefinidodopargrafo"/>
    <w:uiPriority w:val="99"/>
    <w:semiHidden/>
    <w:unhideWhenUsed/>
    <w:rsid w:val="002E2AE9"/>
    <w:rPr>
      <w:color w:val="605E5C"/>
      <w:shd w:val="clear" w:color="auto" w:fill="E1DFDD"/>
    </w:rPr>
  </w:style>
  <w:style w:type="character" w:styleId="Refdecomentrio">
    <w:name w:val="annotation reference"/>
    <w:basedOn w:val="Tipodeletrapredefinidodopargrafo"/>
    <w:uiPriority w:val="99"/>
    <w:semiHidden/>
    <w:unhideWhenUsed/>
    <w:rsid w:val="002E2AE9"/>
    <w:rPr>
      <w:sz w:val="16"/>
      <w:szCs w:val="16"/>
    </w:rPr>
  </w:style>
  <w:style w:type="paragraph" w:styleId="Textodecomentrio">
    <w:name w:val="annotation text"/>
    <w:basedOn w:val="Normal"/>
    <w:link w:val="TextodecomentrioCarter"/>
    <w:uiPriority w:val="99"/>
    <w:unhideWhenUsed/>
    <w:rsid w:val="002E2AE9"/>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2E2AE9"/>
    <w:rPr>
      <w:sz w:val="20"/>
      <w:szCs w:val="20"/>
    </w:rPr>
  </w:style>
  <w:style w:type="paragraph" w:styleId="Assuntodecomentrio">
    <w:name w:val="annotation subject"/>
    <w:basedOn w:val="Textodecomentrio"/>
    <w:next w:val="Textodecomentrio"/>
    <w:link w:val="AssuntodecomentrioCarter"/>
    <w:uiPriority w:val="99"/>
    <w:semiHidden/>
    <w:unhideWhenUsed/>
    <w:rsid w:val="002E2AE9"/>
    <w:rPr>
      <w:b/>
      <w:bCs/>
    </w:rPr>
  </w:style>
  <w:style w:type="character" w:customStyle="1" w:styleId="AssuntodecomentrioCarter">
    <w:name w:val="Assunto de comentário Caráter"/>
    <w:basedOn w:val="TextodecomentrioCarter"/>
    <w:link w:val="Assuntodecomentrio"/>
    <w:uiPriority w:val="99"/>
    <w:semiHidden/>
    <w:rsid w:val="002E2AE9"/>
    <w:rPr>
      <w:b/>
      <w:bCs/>
      <w:sz w:val="20"/>
      <w:szCs w:val="20"/>
    </w:rPr>
  </w:style>
  <w:style w:type="paragraph" w:styleId="Reviso">
    <w:name w:val="Revision"/>
    <w:hidden/>
    <w:uiPriority w:val="99"/>
    <w:semiHidden/>
    <w:rsid w:val="00167F99"/>
    <w:pPr>
      <w:spacing w:after="0" w:line="240" w:lineRule="auto"/>
    </w:pPr>
  </w:style>
  <w:style w:type="character" w:styleId="Hiperligaovisitada">
    <w:name w:val="FollowedHyperlink"/>
    <w:basedOn w:val="Tipodeletrapredefinidodopargrafo"/>
    <w:uiPriority w:val="99"/>
    <w:semiHidden/>
    <w:unhideWhenUsed/>
    <w:rsid w:val="0064458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aquel.rogeiro@lift.com.p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outorfinancas.pt/sobre-doutor-financa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outorfinancas.pt/investimentos/pressa-desconhecimento-ou-emocoes-evite-estes-erros-se-esta-a-comecar-a-investir/"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doutorfinancas.p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iguel.carrilho@lift.com.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E2CC265F5C2334985E4B3FC6F05D8EC" ma:contentTypeVersion="11" ma:contentTypeDescription="Criar um novo documento." ma:contentTypeScope="" ma:versionID="3e0c0f55a9c5d0c1b4c732b1ee1ee6dc">
  <xsd:schema xmlns:xsd="http://www.w3.org/2001/XMLSchema" xmlns:xs="http://www.w3.org/2001/XMLSchema" xmlns:p="http://schemas.microsoft.com/office/2006/metadata/properties" xmlns:ns2="5b430281-fad7-436a-b902-e011d6f73fb0" xmlns:ns3="758c6338-9cc2-440b-9e2c-ab0d12a0ff25" targetNamespace="http://schemas.microsoft.com/office/2006/metadata/properties" ma:root="true" ma:fieldsID="266be52e6d20fefa9b2cb8ff3e2c2dc4" ns2:_="" ns3:_="">
    <xsd:import namespace="5b430281-fad7-436a-b902-e011d6f73fb0"/>
    <xsd:import namespace="758c6338-9cc2-440b-9e2c-ab0d12a0ff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430281-fad7-436a-b902-e011d6f73f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m" ma:readOnly="false" ma:fieldId="{5cf76f15-5ced-4ddc-b409-7134ff3c332f}" ma:taxonomyMulti="true" ma:sspId="ddcb7503-4b75-4e84-976f-67b56c43c83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8c6338-9cc2-440b-9e2c-ab0d12a0ff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5e6d457-6d3e-4a1d-bab7-9564f40c69ee}" ma:internalName="TaxCatchAll" ma:showField="CatchAllData" ma:web="758c6338-9cc2-440b-9e2c-ab0d12a0ff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430281-fad7-436a-b902-e011d6f73fb0">
      <Terms xmlns="http://schemas.microsoft.com/office/infopath/2007/PartnerControls"/>
    </lcf76f155ced4ddcb4097134ff3c332f>
    <TaxCatchAll xmlns="758c6338-9cc2-440b-9e2c-ab0d12a0ff25" xsi:nil="true"/>
  </documentManagement>
</p:properties>
</file>

<file path=customXml/itemProps1.xml><?xml version="1.0" encoding="utf-8"?>
<ds:datastoreItem xmlns:ds="http://schemas.openxmlformats.org/officeDocument/2006/customXml" ds:itemID="{330B4A6B-0C42-4D8E-97A6-8E18AB38C41A}">
  <ds:schemaRefs>
    <ds:schemaRef ds:uri="http://schemas.microsoft.com/sharepoint/v3/contenttype/forms"/>
  </ds:schemaRefs>
</ds:datastoreItem>
</file>

<file path=customXml/itemProps2.xml><?xml version="1.0" encoding="utf-8"?>
<ds:datastoreItem xmlns:ds="http://schemas.openxmlformats.org/officeDocument/2006/customXml" ds:itemID="{2CAE7453-388D-4124-A3CD-9E70FB915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430281-fad7-436a-b902-e011d6f73fb0"/>
    <ds:schemaRef ds:uri="758c6338-9cc2-440b-9e2c-ab0d12a0ff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7C5965-E003-404F-A887-C3ED02F3D5D5}">
  <ds:schemaRefs>
    <ds:schemaRef ds:uri="http://schemas.microsoft.com/office/2006/metadata/properties"/>
    <ds:schemaRef ds:uri="http://schemas.microsoft.com/office/infopath/2007/PartnerControls"/>
    <ds:schemaRef ds:uri="5b430281-fad7-436a-b902-e011d6f73fb0"/>
    <ds:schemaRef ds:uri="758c6338-9cc2-440b-9e2c-ab0d12a0ff25"/>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3</Pages>
  <Words>874</Words>
  <Characters>4833</Characters>
  <Application>Microsoft Office Word</Application>
  <DocSecurity>0</DocSecurity>
  <Lines>83</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Fábio Duarte</dc:creator>
  <cp:keywords/>
  <dc:description/>
  <cp:lastModifiedBy>Raquel Rogeiro</cp:lastModifiedBy>
  <cp:revision>42</cp:revision>
  <cp:lastPrinted>2025-11-12T10:24:00Z</cp:lastPrinted>
  <dcterms:created xsi:type="dcterms:W3CDTF">2026-09-14T07:48:00Z</dcterms:created>
  <dcterms:modified xsi:type="dcterms:W3CDTF">2026-10-06T08:06:00Z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0x010100CE2CC265F5C2334985E4B3FC6F05D8EC</vt:lpwstr>
  </property>
  <property fmtid="{D5CDD505-2E9C-101B-9397-08002B2CF9AE}" pid="3" name="MediaServiceImageTags">
    <vt:lpwstr/>
  </property>
</Properties>
</file>