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9026"/>
        </w:tabs>
        <w:spacing w:line="276" w:lineRule="auto"/>
        <w:rPr>
          <w:rFonts w:ascii="Aptos" w:cs="Aptos" w:eastAsia="Aptos" w:hAnsi="Aptos"/>
          <w:sz w:val="22"/>
          <w:szCs w:val="22"/>
        </w:rPr>
      </w:pPr>
      <w:r w:rsidDel="00000000" w:rsidR="00000000" w:rsidRPr="00000000">
        <w:rPr>
          <w:rFonts w:ascii="Aptos" w:cs="Aptos" w:eastAsia="Aptos" w:hAnsi="Aptos"/>
          <w:b w:val="1"/>
          <w:bCs w:val="1"/>
          <w:sz w:val="22"/>
          <w:szCs w:val="22"/>
          <w:rtl w:val="0"/>
        </w:rPr>
        <w:t xml:space="preserve">ПРЕССЪОБЩЕНИЕ</w:t>
        <w:tab/>
        <w:t xml:space="preserve">6 октомври 2026 г.</w:t>
      </w:r>
      <w:r w:rsidDel="00000000" w:rsidR="00000000" w:rsidRPr="00000000">
        <w:rPr>
          <w:rtl w:val="0"/>
        </w:rPr>
      </w:r>
    </w:p>
    <w:p w:rsidR="00000000" w:rsidDel="00000000" w:rsidP="00000000" w:rsidRDefault="00000000" w:rsidRPr="00000000" w14:paraId="00000002">
      <w:pPr>
        <w:spacing w:line="276" w:lineRule="auto"/>
        <w:rPr>
          <w:rFonts w:ascii="Aptos" w:cs="Aptos" w:eastAsia="Aptos" w:hAnsi="Aptos"/>
          <w:sz w:val="18"/>
          <w:szCs w:val="18"/>
        </w:rPr>
      </w:pPr>
      <w:r w:rsidDel="00000000" w:rsidR="00000000" w:rsidRPr="00000000">
        <w:rPr>
          <w:rtl w:val="0"/>
        </w:rPr>
      </w:r>
    </w:p>
    <w:p w:rsidR="00000000" w:rsidDel="00000000" w:rsidP="00000000" w:rsidRDefault="00000000" w:rsidRPr="00000000" w14:paraId="00000003">
      <w:pPr>
        <w:spacing w:line="276" w:lineRule="auto"/>
        <w:rPr>
          <w:rFonts w:ascii="Aptos" w:cs="Aptos" w:eastAsia="Aptos" w:hAnsi="Aptos"/>
          <w:sz w:val="18"/>
          <w:szCs w:val="18"/>
        </w:rPr>
      </w:pPr>
      <w:r w:rsidDel="00000000" w:rsidR="00000000" w:rsidRPr="00000000">
        <w:rPr>
          <w:rFonts w:ascii="Aptos" w:cs="Aptos" w:eastAsia="Aptos" w:hAnsi="Aptos"/>
          <w:b w:val="1"/>
          <w:bCs w:val="1"/>
          <w:sz w:val="18"/>
          <w:szCs w:val="18"/>
          <w:rtl w:val="0"/>
        </w:rPr>
        <w:t xml:space="preserve">Контакти за медиите:</w:t>
      </w:r>
      <w:r w:rsidDel="00000000" w:rsidR="00000000" w:rsidRPr="00000000">
        <w:rPr>
          <w:rtl w:val="0"/>
        </w:rPr>
      </w:r>
    </w:p>
    <w:p w:rsidR="00000000" w:rsidDel="00000000" w:rsidP="00000000" w:rsidRDefault="00000000" w:rsidRPr="00000000" w14:paraId="00000004">
      <w:pPr>
        <w:spacing w:line="276" w:lineRule="auto"/>
        <w:rPr>
          <w:rFonts w:ascii="Aptos" w:cs="Aptos" w:eastAsia="Aptos" w:hAnsi="Aptos"/>
          <w:sz w:val="18"/>
          <w:szCs w:val="18"/>
        </w:rPr>
      </w:pPr>
      <w:r w:rsidDel="00000000" w:rsidR="00000000" w:rsidRPr="00000000">
        <w:rPr>
          <w:rFonts w:ascii="Aptos" w:cs="Aptos" w:eastAsia="Aptos" w:hAnsi="Aptos"/>
          <w:sz w:val="18"/>
          <w:szCs w:val="18"/>
          <w:rtl w:val="0"/>
        </w:rPr>
        <w:t xml:space="preserve">Georgina Leigh, The Hoffman Agency – gleigh@hoffman.com</w:t>
      </w:r>
    </w:p>
    <w:p w:rsidR="00000000" w:rsidDel="00000000" w:rsidP="00000000" w:rsidRDefault="00000000" w:rsidRPr="00000000" w14:paraId="00000005">
      <w:pPr>
        <w:spacing w:line="276" w:lineRule="auto"/>
        <w:rPr>
          <w:rFonts w:ascii="Aptos" w:cs="Aptos" w:eastAsia="Aptos" w:hAnsi="Aptos"/>
          <w:sz w:val="18"/>
          <w:szCs w:val="18"/>
        </w:rPr>
      </w:pPr>
      <w:r w:rsidDel="00000000" w:rsidR="00000000" w:rsidRPr="00000000">
        <w:rPr>
          <w:rFonts w:ascii="Aptos" w:cs="Aptos" w:eastAsia="Aptos" w:hAnsi="Aptos"/>
          <w:sz w:val="18"/>
          <w:szCs w:val="18"/>
          <w:rtl w:val="0"/>
        </w:rPr>
        <w:t xml:space="preserve">Maria Gergova-Bengtsson, United Partners Network – maria.gergova@united-partners.com</w:t>
      </w:r>
    </w:p>
    <w:p w:rsidR="00000000" w:rsidDel="00000000" w:rsidP="00000000" w:rsidRDefault="00000000" w:rsidRPr="00000000" w14:paraId="00000006">
      <w:pPr>
        <w:spacing w:line="276" w:lineRule="auto"/>
        <w:rPr>
          <w:rFonts w:ascii="Aptos" w:cs="Aptos" w:eastAsia="Aptos" w:hAnsi="Aptos"/>
          <w:sz w:val="18"/>
          <w:szCs w:val="18"/>
        </w:rPr>
      </w:pPr>
      <w:r w:rsidDel="00000000" w:rsidR="00000000" w:rsidRPr="00000000">
        <w:rPr>
          <w:rtl w:val="0"/>
        </w:rPr>
      </w:r>
    </w:p>
    <w:p w:rsidR="00000000" w:rsidDel="00000000" w:rsidP="00000000" w:rsidRDefault="00000000" w:rsidRPr="00000000" w14:paraId="00000007">
      <w:pPr>
        <w:spacing w:line="276" w:lineRule="auto"/>
        <w:rPr>
          <w:rFonts w:ascii="Aptos" w:cs="Aptos" w:eastAsia="Aptos" w:hAnsi="Aptos"/>
          <w:sz w:val="18"/>
          <w:szCs w:val="18"/>
        </w:rPr>
      </w:pPr>
      <w:r w:rsidDel="00000000" w:rsidR="00000000" w:rsidRPr="00000000">
        <w:rPr>
          <w:rtl w:val="0"/>
        </w:rPr>
      </w:r>
    </w:p>
    <w:p w:rsidR="00000000" w:rsidDel="00000000" w:rsidP="00000000" w:rsidRDefault="00000000" w:rsidRPr="00000000" w14:paraId="00000008">
      <w:pPr>
        <w:spacing w:after="240" w:line="360" w:lineRule="auto"/>
        <w:jc w:val="center"/>
        <w:rPr>
          <w:rFonts w:ascii="Aptos" w:cs="Aptos" w:eastAsia="Aptos" w:hAnsi="Aptos"/>
          <w:sz w:val="31"/>
          <w:szCs w:val="31"/>
        </w:rPr>
      </w:pPr>
      <w:r w:rsidDel="00000000" w:rsidR="00000000" w:rsidRPr="00000000">
        <w:rPr>
          <w:rFonts w:ascii="Arial" w:cs="Arial" w:eastAsia="Arial" w:hAnsi="Arial"/>
          <w:b w:val="1"/>
          <w:bCs w:val="1"/>
          <w:color w:val="222222"/>
          <w:sz w:val="32"/>
          <w:szCs w:val="32"/>
          <w:rtl w:val="0"/>
        </w:rPr>
        <w:t xml:space="preserve">Партньорствата между независими агенции се превръщат в алтернатива на големите комуникационни холдинги</w:t>
      </w:r>
      <w:r w:rsidDel="00000000" w:rsidR="00000000" w:rsidRPr="00000000">
        <w:rPr>
          <w:rFonts w:ascii="Aptos" w:cs="Aptos" w:eastAsia="Aptos" w:hAnsi="Aptos"/>
          <w:sz w:val="31"/>
          <w:szCs w:val="31"/>
          <w:rtl w:val="0"/>
        </w:rPr>
        <w:t xml:space="preserve"> </w:t>
      </w:r>
    </w:p>
    <w:p w:rsidR="00000000" w:rsidDel="00000000" w:rsidP="00000000" w:rsidRDefault="00000000" w:rsidRPr="00000000" w14:paraId="00000009">
      <w:pPr>
        <w:spacing w:after="240" w:line="360" w:lineRule="auto"/>
        <w:jc w:val="both"/>
        <w:rPr>
          <w:rFonts w:ascii="Aptos" w:cs="Aptos" w:eastAsia="Aptos" w:hAnsi="Aptos"/>
          <w:sz w:val="18"/>
          <w:szCs w:val="18"/>
        </w:rPr>
      </w:pPr>
      <w:r w:rsidDel="00000000" w:rsidR="00000000" w:rsidRPr="00000000">
        <w:rPr>
          <w:rFonts w:ascii="Arial" w:cs="Arial" w:eastAsia="Arial" w:hAnsi="Arial"/>
          <w:i w:val="1"/>
          <w:iCs w:val="1"/>
          <w:color w:val="222222"/>
          <w:sz w:val="22"/>
          <w:szCs w:val="22"/>
          <w:rtl w:val="0"/>
        </w:rPr>
        <w:t xml:space="preserve">United Partners Network и The Hoffman Agency обединяват глобален обхват и местна експертиза в модел, който запазва гъвкавостта и независимостта на партньорските агенции.</w:t>
      </w:r>
      <w:r w:rsidDel="00000000" w:rsidR="00000000" w:rsidRPr="00000000">
        <w:rPr>
          <w:rFonts w:ascii="Aptos" w:cs="Aptos" w:eastAsia="Aptos" w:hAnsi="Aptos"/>
          <w:sz w:val="18"/>
          <w:szCs w:val="18"/>
          <w:rtl w:val="0"/>
        </w:rPr>
        <w:t xml:space="preserve"> </w:t>
      </w:r>
    </w:p>
    <w:p w:rsidR="00000000" w:rsidDel="00000000" w:rsidP="00000000" w:rsidRDefault="00000000" w:rsidRPr="00000000" w14:paraId="0000000A">
      <w:pPr>
        <w:spacing w:after="160" w:line="276" w:lineRule="auto"/>
        <w:jc w:val="both"/>
        <w:rPr>
          <w:rFonts w:ascii="Aptos" w:cs="Aptos" w:eastAsia="Aptos" w:hAnsi="Aptos"/>
          <w:sz w:val="18"/>
          <w:szCs w:val="18"/>
        </w:rPr>
      </w:pPr>
      <w:r w:rsidDel="00000000" w:rsidR="00000000" w:rsidRPr="00000000">
        <w:rPr>
          <w:rFonts w:ascii="Aptos" w:cs="Aptos" w:eastAsia="Aptos" w:hAnsi="Aptos"/>
          <w:b w:val="1"/>
          <w:bCs w:val="1"/>
          <w:color w:val="000000"/>
          <w:sz w:val="22"/>
          <w:szCs w:val="22"/>
          <w:rtl w:val="0"/>
        </w:rPr>
        <w:t xml:space="preserve">[СОФИЯ / БАРСЕЛОНА / САН ХОСЕ], 6 октомври 2026 г. – United Partners Network (UPN) и The Hoffman Agency обявиха стратегическо партньорство, което ще разшири възможностите на двете организации да работят по международни проекти и да предоставят на клиентите си достъп до местни комуникационни експерти на повече пазари по света.</w:t>
      </w:r>
      <w:r w:rsidDel="00000000" w:rsidR="00000000" w:rsidRPr="00000000">
        <w:rPr>
          <w:rtl w:val="0"/>
        </w:rPr>
      </w:r>
    </w:p>
    <w:p w:rsidR="00000000" w:rsidDel="00000000" w:rsidP="00000000" w:rsidRDefault="00000000" w:rsidRPr="00000000" w14:paraId="0000000B">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В основата на партньорството стои все по-ясно изразена нужда на международните технологични и B2B компании – да комуникират </w:t>
      </w:r>
      <w:r w:rsidDel="00000000" w:rsidR="00000000" w:rsidRPr="00000000">
        <w:rPr>
          <w:rFonts w:ascii="Aptos" w:cs="Aptos" w:eastAsia="Aptos" w:hAnsi="Aptos"/>
          <w:sz w:val="22"/>
          <w:szCs w:val="22"/>
          <w:rtl w:val="0"/>
        </w:rPr>
        <w:t xml:space="preserve">синхронизирано</w:t>
      </w:r>
      <w:r w:rsidDel="00000000" w:rsidR="00000000" w:rsidRPr="00000000">
        <w:rPr>
          <w:rFonts w:ascii="Aptos" w:cs="Aptos" w:eastAsia="Aptos" w:hAnsi="Aptos"/>
          <w:color w:val="000000"/>
          <w:sz w:val="22"/>
          <w:szCs w:val="22"/>
          <w:rtl w:val="0"/>
        </w:rPr>
        <w:t xml:space="preserve"> на различни пазари, </w:t>
      </w:r>
      <w:r w:rsidDel="00000000" w:rsidR="00000000" w:rsidRPr="00000000">
        <w:rPr>
          <w:rFonts w:ascii="Aptos" w:cs="Aptos" w:eastAsia="Aptos" w:hAnsi="Aptos"/>
          <w:sz w:val="22"/>
          <w:szCs w:val="22"/>
          <w:rtl w:val="0"/>
        </w:rPr>
        <w:t xml:space="preserve">като се има предвид </w:t>
      </w:r>
      <w:r w:rsidDel="00000000" w:rsidR="00000000" w:rsidRPr="00000000">
        <w:rPr>
          <w:rFonts w:ascii="Aptos" w:cs="Aptos" w:eastAsia="Aptos" w:hAnsi="Aptos"/>
          <w:color w:val="000000"/>
          <w:sz w:val="22"/>
          <w:szCs w:val="22"/>
          <w:rtl w:val="0"/>
        </w:rPr>
        <w:t xml:space="preserve">местната медийна среда, култура и бизнес контекст. За да се постигне това, са необходими както специалисти с реално познаване на съответния пазар, така и общ стратегически подход, който да осигури последователност на комуникацията във всички държави.</w:t>
      </w:r>
      <w:r w:rsidDel="00000000" w:rsidR="00000000" w:rsidRPr="00000000">
        <w:rPr>
          <w:rtl w:val="0"/>
        </w:rPr>
      </w:r>
    </w:p>
    <w:p w:rsidR="00000000" w:rsidDel="00000000" w:rsidP="00000000" w:rsidRDefault="00000000" w:rsidRPr="00000000" w14:paraId="0000000C">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Двете организации споделят сходен модел на работа – независими агенции и екипи, които запазват близостта си до местните пазари и същевременно могат да работят координирано по международни проекти. UPN обединява независими агенции в Европа, Близкия изток и Африка (EMEA), САЩ и Латинска Америка. The Hoffman Agency допълва това покритие с над 350 специалисти в сферата на комуникациите и маркетинга с офиси в Европа (Лондон, Мюнхен и Париж), Азия (Токио, Сеул, Пекин, Шанхай, Тайпе, Хонконг, Сингапур, Куала Лумпур, Джакарта и Банкок) и САЩ (Силициевата долина, Портланд и Бостън). Така клиентите на двете организации ще могат да разчитат едновременно на международна координация и на екипи, които познават спецификите на конкретния пазар.</w:t>
      </w:r>
      <w:r w:rsidDel="00000000" w:rsidR="00000000" w:rsidRPr="00000000">
        <w:rPr>
          <w:rtl w:val="0"/>
        </w:rPr>
      </w:r>
    </w:p>
    <w:p w:rsidR="00000000" w:rsidDel="00000000" w:rsidP="00000000" w:rsidRDefault="00000000" w:rsidRPr="00000000" w14:paraId="0000000D">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За The Hoffman Agency партньорството създава директна връзка с независимите агенции в UPN и възможност да работи чрез доверени местни екипи на пазари, на които няма собствен офис. За партньорите в UPN сътрудничеството осигурява достъп до технологичната и B2B експертиза на Hoffman и до присъствието на агенцията на някои от водещите технологични пазари в света. Това създава нови възможности за съвместна работа по международни клиентски проекти и за двете страни.</w:t>
      </w:r>
      <w:r w:rsidDel="00000000" w:rsidR="00000000" w:rsidRPr="00000000">
        <w:rPr>
          <w:rtl w:val="0"/>
        </w:rPr>
      </w:r>
    </w:p>
    <w:p w:rsidR="00000000" w:rsidDel="00000000" w:rsidP="00000000" w:rsidRDefault="00000000" w:rsidRPr="00000000" w14:paraId="0000000E">
      <w:pPr>
        <w:spacing w:after="160" w:line="276" w:lineRule="auto"/>
        <w:jc w:val="both"/>
        <w:rPr>
          <w:rFonts w:ascii="Aptos" w:cs="Aptos" w:eastAsia="Aptos" w:hAnsi="Aptos"/>
          <w:sz w:val="18"/>
          <w:szCs w:val="18"/>
        </w:rPr>
      </w:pPr>
      <w:r w:rsidDel="00000000" w:rsidR="00000000" w:rsidRPr="00000000">
        <w:rPr>
          <w:rtl w:val="0"/>
        </w:rPr>
      </w:r>
    </w:p>
    <w:p w:rsidR="00000000" w:rsidDel="00000000" w:rsidP="00000000" w:rsidRDefault="00000000" w:rsidRPr="00000000" w14:paraId="0000000F">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The Hoffman Agency е основана в Силициевата долина и днес е една от малкото независими комуникационни консултантски компании с офиси в Европа, Азия и САЩ. Агенцията работи с водещи международни технологични и B2B компании и съчетава традиционен PR с дигитални комуникации, content marketing и thought leadership.</w:t>
      </w:r>
      <w:r w:rsidDel="00000000" w:rsidR="00000000" w:rsidRPr="00000000">
        <w:rPr>
          <w:rtl w:val="0"/>
        </w:rPr>
      </w:r>
    </w:p>
    <w:p w:rsidR="00000000" w:rsidDel="00000000" w:rsidP="00000000" w:rsidRDefault="00000000" w:rsidRPr="00000000" w14:paraId="00000010">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„Независими агенции, общи стандарти и </w:t>
      </w:r>
      <w:r w:rsidDel="00000000" w:rsidR="00000000" w:rsidRPr="00000000">
        <w:rPr>
          <w:rFonts w:ascii="Aptos" w:cs="Aptos" w:eastAsia="Aptos" w:hAnsi="Aptos"/>
          <w:sz w:val="22"/>
          <w:szCs w:val="22"/>
          <w:rtl w:val="0"/>
        </w:rPr>
        <w:t xml:space="preserve">ежедневно</w:t>
      </w:r>
      <w:r w:rsidDel="00000000" w:rsidR="00000000" w:rsidRPr="00000000">
        <w:rPr>
          <w:rFonts w:ascii="Aptos" w:cs="Aptos" w:eastAsia="Aptos" w:hAnsi="Aptos"/>
          <w:color w:val="000000"/>
          <w:sz w:val="22"/>
          <w:szCs w:val="22"/>
          <w:rtl w:val="0"/>
        </w:rPr>
        <w:t xml:space="preserve"> сътрудничество – върху това е изградена UPN и партньорството с Hoffman показва точно как работи този модел на практика“, коментира Мария Гергова-Бенгтссон, основател и CEO на United Partners и движещата сила на UPN. „Hoffman има сериозна експертиза в технологичния и B2B сектор и глобално присъствие. За партньорските ни агенции това означава достъп до </w:t>
      </w:r>
      <w:r w:rsidDel="00000000" w:rsidR="00000000" w:rsidRPr="00000000">
        <w:rPr>
          <w:rFonts w:ascii="Aptos" w:cs="Aptos" w:eastAsia="Aptos" w:hAnsi="Aptos"/>
          <w:sz w:val="22"/>
          <w:szCs w:val="22"/>
          <w:rtl w:val="0"/>
        </w:rPr>
        <w:t xml:space="preserve">интересни</w:t>
      </w:r>
      <w:r w:rsidDel="00000000" w:rsidR="00000000" w:rsidRPr="00000000">
        <w:rPr>
          <w:rFonts w:ascii="Aptos" w:cs="Aptos" w:eastAsia="Aptos" w:hAnsi="Aptos"/>
          <w:color w:val="000000"/>
          <w:sz w:val="22"/>
          <w:szCs w:val="22"/>
          <w:rtl w:val="0"/>
        </w:rPr>
        <w:t xml:space="preserve"> клиентски проекти и нови пазари още от първия ден – не просто още едно име върху картата.“</w:t>
      </w:r>
      <w:r w:rsidDel="00000000" w:rsidR="00000000" w:rsidRPr="00000000">
        <w:rPr>
          <w:rtl w:val="0"/>
        </w:rPr>
      </w:r>
    </w:p>
    <w:p w:rsidR="00000000" w:rsidDel="00000000" w:rsidP="00000000" w:rsidRDefault="00000000" w:rsidRPr="00000000" w14:paraId="00000011">
      <w:pPr>
        <w:spacing w:after="160" w:line="276" w:lineRule="auto"/>
        <w:jc w:val="both"/>
        <w:rPr>
          <w:rFonts w:ascii="Aptos" w:cs="Aptos" w:eastAsia="Aptos" w:hAnsi="Aptos"/>
          <w:sz w:val="22"/>
          <w:szCs w:val="22"/>
        </w:rPr>
      </w:pPr>
      <w:r w:rsidDel="00000000" w:rsidR="00000000" w:rsidRPr="00000000">
        <w:rPr>
          <w:rFonts w:ascii="Aptos" w:cs="Aptos" w:eastAsia="Aptos" w:hAnsi="Aptos"/>
          <w:sz w:val="22"/>
          <w:szCs w:val="22"/>
          <w:rtl w:val="0"/>
        </w:rPr>
        <w:t xml:space="preserve">„Технологичните компании все по-често търсят възможности отвъд пазарите, на които традиционно са развивали бизнеса си. Все повече държави предлагат потенциал за достигане до нови клиенти, привличане на таланти и растеж, а изкуственият интелект позволява и на местни компании да излизат на международни пазари по-бързо от всякога. В Европа в частност има ясна амбиция регионът да засили ролята си в глобалното развитие на AI – и тази амбиция трябва да бъде комуникирана в световен мащаб“, коментира Дженифър Фийлдгейт, управляващ директор за Европа в The Hoffman Agency. „Чрез това партньорство разширяваме достъпа си до доверени местни специалисти, които познават съответните пазари и могат да ни помогнат да създадем най-подходящия екип за амбициите на всеки клиент – където и да го водят те.“</w:t>
      </w:r>
    </w:p>
    <w:p w:rsidR="00000000" w:rsidDel="00000000" w:rsidP="00000000" w:rsidRDefault="00000000" w:rsidRPr="00000000" w14:paraId="00000012">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Партньорството е част и от по-мащабна промяна в комуникационната индустрия. Все повече независими агенции избират да обединяват експертиза и ресурси за международни проекти, вместо да стават част от големи холдингови групи. За клиентите този модел съчетава работата с </w:t>
      </w:r>
      <w:r w:rsidDel="00000000" w:rsidR="00000000" w:rsidRPr="00000000">
        <w:rPr>
          <w:rFonts w:ascii="Aptos" w:cs="Aptos" w:eastAsia="Aptos" w:hAnsi="Aptos"/>
          <w:sz w:val="22"/>
          <w:szCs w:val="22"/>
          <w:rtl w:val="0"/>
        </w:rPr>
        <w:t xml:space="preserve">опитни</w:t>
      </w:r>
      <w:r w:rsidDel="00000000" w:rsidR="00000000" w:rsidRPr="00000000">
        <w:rPr>
          <w:rFonts w:ascii="Aptos" w:cs="Aptos" w:eastAsia="Aptos" w:hAnsi="Aptos"/>
          <w:color w:val="000000"/>
          <w:sz w:val="22"/>
          <w:szCs w:val="22"/>
          <w:rtl w:val="0"/>
        </w:rPr>
        <w:t xml:space="preserve"> и специализирани експерти с гъвкавостта и личното отношение на независимите агенции.</w:t>
      </w:r>
      <w:r w:rsidDel="00000000" w:rsidR="00000000" w:rsidRPr="00000000">
        <w:rPr>
          <w:rtl w:val="0"/>
        </w:rPr>
      </w:r>
    </w:p>
    <w:p w:rsidR="00000000" w:rsidDel="00000000" w:rsidP="00000000" w:rsidRDefault="00000000" w:rsidRPr="00000000" w14:paraId="00000013">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Партньорството се обявява непосредствено преди петото издание на годишната среща на UPN – „UP Your Game: Reinvent. Rise. Repeat.“, която ще се проведе на 8 и 9 октомври в Барселона. Близо 80 основатели на агенции, маркетинг директори и комуникационни лидери от EMEA, САЩ и Латинска Америка ще се съберат, за да обсъдят бъдещето на стратегическите комуникации.</w:t>
      </w:r>
      <w:r w:rsidDel="00000000" w:rsidR="00000000" w:rsidRPr="00000000">
        <w:rPr>
          <w:rtl w:val="0"/>
        </w:rPr>
      </w:r>
    </w:p>
    <w:p w:rsidR="00000000" w:rsidDel="00000000" w:rsidP="00000000" w:rsidRDefault="00000000" w:rsidRPr="00000000" w14:paraId="00000014">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Съвместната работа между UPN и Hoffman започва веднага. Първите инициативи включват координация по текущи клиентски възможности във Филипините и Мексико, директни контакти между партньорски агенции и общи формати за споделяне на знания и експертиза между двете мрежи.</w:t>
      </w:r>
      <w:r w:rsidDel="00000000" w:rsidR="00000000" w:rsidRPr="00000000">
        <w:rPr>
          <w:rtl w:val="0"/>
        </w:rPr>
      </w:r>
    </w:p>
    <w:p w:rsidR="00000000" w:rsidDel="00000000" w:rsidP="00000000" w:rsidRDefault="00000000" w:rsidRPr="00000000" w14:paraId="00000015">
      <w:pPr>
        <w:spacing w:line="276" w:lineRule="auto"/>
        <w:rPr>
          <w:rFonts w:ascii="Aptos" w:cs="Aptos" w:eastAsia="Aptos" w:hAnsi="Aptos"/>
          <w:sz w:val="18"/>
          <w:szCs w:val="18"/>
        </w:rPr>
      </w:pPr>
      <w:r w:rsidDel="00000000" w:rsidR="00000000" w:rsidRPr="00000000">
        <w:rPr>
          <w:rtl w:val="0"/>
        </w:rPr>
      </w:r>
    </w:p>
    <w:p w:rsidR="00000000" w:rsidDel="00000000" w:rsidP="00000000" w:rsidRDefault="00000000" w:rsidRPr="00000000" w14:paraId="00000016">
      <w:pPr>
        <w:spacing w:line="276" w:lineRule="auto"/>
        <w:jc w:val="both"/>
        <w:rPr>
          <w:rFonts w:ascii="Aptos" w:cs="Aptos" w:eastAsia="Aptos" w:hAnsi="Aptos"/>
          <w:sz w:val="18"/>
          <w:szCs w:val="18"/>
        </w:rPr>
      </w:pPr>
      <w:r w:rsidDel="00000000" w:rsidR="00000000" w:rsidRPr="00000000">
        <w:rPr>
          <w:rFonts w:ascii="Aptos" w:cs="Aptos" w:eastAsia="Aptos" w:hAnsi="Aptos"/>
          <w:b w:val="1"/>
          <w:bCs w:val="1"/>
          <w:color w:val="000000"/>
          <w:sz w:val="22"/>
          <w:szCs w:val="22"/>
          <w:rtl w:val="0"/>
        </w:rPr>
        <w:t xml:space="preserve">###</w:t>
      </w:r>
      <w:r w:rsidDel="00000000" w:rsidR="00000000" w:rsidRPr="00000000">
        <w:rPr>
          <w:rtl w:val="0"/>
        </w:rPr>
      </w:r>
    </w:p>
    <w:p w:rsidR="00000000" w:rsidDel="00000000" w:rsidP="00000000" w:rsidRDefault="00000000" w:rsidRPr="00000000" w14:paraId="00000017">
      <w:pPr>
        <w:spacing w:line="276" w:lineRule="auto"/>
        <w:rPr>
          <w:rFonts w:ascii="Aptos" w:cs="Aptos" w:eastAsia="Aptos" w:hAnsi="Aptos"/>
          <w:sz w:val="18"/>
          <w:szCs w:val="18"/>
        </w:rPr>
      </w:pPr>
      <w:r w:rsidDel="00000000" w:rsidR="00000000" w:rsidRPr="00000000">
        <w:rPr>
          <w:rtl w:val="0"/>
        </w:rPr>
      </w:r>
    </w:p>
    <w:p w:rsidR="00000000" w:rsidDel="00000000" w:rsidP="00000000" w:rsidRDefault="00000000" w:rsidRPr="00000000" w14:paraId="00000018">
      <w:pPr>
        <w:spacing w:line="276" w:lineRule="auto"/>
        <w:rPr>
          <w:rFonts w:ascii="Aptos" w:cs="Aptos" w:eastAsia="Aptos" w:hAnsi="Aptos"/>
          <w:sz w:val="18"/>
          <w:szCs w:val="18"/>
        </w:rPr>
      </w:pPr>
      <w:r w:rsidDel="00000000" w:rsidR="00000000" w:rsidRPr="00000000">
        <w:rPr>
          <w:rtl w:val="0"/>
        </w:rPr>
      </w:r>
    </w:p>
    <w:p w:rsidR="00000000" w:rsidDel="00000000" w:rsidP="00000000" w:rsidRDefault="00000000" w:rsidRPr="00000000" w14:paraId="00000019">
      <w:pPr>
        <w:spacing w:after="120" w:line="276" w:lineRule="auto"/>
        <w:jc w:val="both"/>
        <w:rPr>
          <w:rFonts w:ascii="Aptos" w:cs="Aptos" w:eastAsia="Aptos" w:hAnsi="Aptos"/>
          <w:sz w:val="18"/>
          <w:szCs w:val="18"/>
        </w:rPr>
      </w:pPr>
      <w:r w:rsidDel="00000000" w:rsidR="00000000" w:rsidRPr="00000000">
        <w:rPr>
          <w:rFonts w:ascii="Aptos" w:cs="Aptos" w:eastAsia="Aptos" w:hAnsi="Aptos"/>
          <w:b w:val="1"/>
          <w:bCs w:val="1"/>
          <w:color w:val="000000"/>
          <w:sz w:val="22"/>
          <w:szCs w:val="22"/>
          <w:rtl w:val="0"/>
        </w:rPr>
        <w:t xml:space="preserve">За United Partners Network (UPN)</w:t>
      </w:r>
      <w:r w:rsidDel="00000000" w:rsidR="00000000" w:rsidRPr="00000000">
        <w:rPr>
          <w:rtl w:val="0"/>
        </w:rPr>
      </w:r>
    </w:p>
    <w:p w:rsidR="00000000" w:rsidDel="00000000" w:rsidP="00000000" w:rsidRDefault="00000000" w:rsidRPr="00000000" w14:paraId="0000001A">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United Partners Network е глобална общност от независими агенции и комуникационни лидери от страна на клиентите в EMEA, САЩ и Латинска Америка, създадена около идеята, че обединяването на усилията дава повече възможности за растеж. Основана от Мария Гергова-Бенгтссон, CEO на United Partners, UPN свързва независими агенции за работа по координирани международни проекти, като същевременно запазва местната експертиза на всеки партньор. Повече информация: www.united-partners.com/upn</w:t>
      </w:r>
      <w:r w:rsidDel="00000000" w:rsidR="00000000" w:rsidRPr="00000000">
        <w:rPr>
          <w:rtl w:val="0"/>
        </w:rPr>
      </w:r>
    </w:p>
    <w:p w:rsidR="00000000" w:rsidDel="00000000" w:rsidP="00000000" w:rsidRDefault="00000000" w:rsidRPr="00000000" w14:paraId="0000001B">
      <w:pPr>
        <w:spacing w:after="120" w:line="276" w:lineRule="auto"/>
        <w:jc w:val="both"/>
        <w:rPr>
          <w:rFonts w:ascii="Aptos" w:cs="Aptos" w:eastAsia="Aptos" w:hAnsi="Aptos"/>
          <w:sz w:val="18"/>
          <w:szCs w:val="18"/>
        </w:rPr>
      </w:pPr>
      <w:r w:rsidDel="00000000" w:rsidR="00000000" w:rsidRPr="00000000">
        <w:rPr>
          <w:rFonts w:ascii="Aptos" w:cs="Aptos" w:eastAsia="Aptos" w:hAnsi="Aptos"/>
          <w:b w:val="1"/>
          <w:bCs w:val="1"/>
          <w:color w:val="000000"/>
          <w:sz w:val="22"/>
          <w:szCs w:val="22"/>
          <w:rtl w:val="0"/>
        </w:rPr>
        <w:t xml:space="preserve">За United Partners</w:t>
      </w:r>
      <w:r w:rsidDel="00000000" w:rsidR="00000000" w:rsidRPr="00000000">
        <w:rPr>
          <w:rtl w:val="0"/>
        </w:rPr>
      </w:r>
    </w:p>
    <w:p w:rsidR="00000000" w:rsidDel="00000000" w:rsidP="00000000" w:rsidRDefault="00000000" w:rsidRPr="00000000" w14:paraId="0000001C">
      <w:pPr>
        <w:spacing w:after="160" w:line="276" w:lineRule="auto"/>
        <w:jc w:val="both"/>
        <w:rPr>
          <w:rFonts w:ascii="Aptos" w:cs="Aptos" w:eastAsia="Aptos" w:hAnsi="Aptos"/>
          <w:sz w:val="18"/>
          <w:szCs w:val="18"/>
        </w:rPr>
      </w:pPr>
      <w:r w:rsidDel="00000000" w:rsidR="00000000" w:rsidRPr="00000000">
        <w:rPr>
          <w:rFonts w:ascii="Aptos" w:cs="Aptos" w:eastAsia="Aptos" w:hAnsi="Aptos"/>
          <w:color w:val="000000"/>
          <w:sz w:val="22"/>
          <w:szCs w:val="22"/>
          <w:rtl w:val="0"/>
        </w:rPr>
        <w:t xml:space="preserve">United Partners е независима агенция за маркетингови и корпоративни комуникации с офиси в София и Барселона. Основана през 1997 г. от Мария Бенгтссон, агенцията е сред разпознаваемите независими комуникационни компании в България, има близо 30 години опит и стои зад създаването на UPN. Повече информация: www.united-partners.com</w:t>
      </w:r>
      <w:r w:rsidDel="00000000" w:rsidR="00000000" w:rsidRPr="00000000">
        <w:rPr>
          <w:rtl w:val="0"/>
        </w:rPr>
      </w:r>
    </w:p>
    <w:p w:rsidR="00000000" w:rsidDel="00000000" w:rsidP="00000000" w:rsidRDefault="00000000" w:rsidRPr="00000000" w14:paraId="0000001D">
      <w:pPr>
        <w:spacing w:after="120" w:line="276" w:lineRule="auto"/>
        <w:jc w:val="both"/>
        <w:rPr>
          <w:rFonts w:ascii="Aptos" w:cs="Aptos" w:eastAsia="Aptos" w:hAnsi="Aptos"/>
          <w:sz w:val="18"/>
          <w:szCs w:val="18"/>
        </w:rPr>
      </w:pPr>
      <w:r w:rsidDel="00000000" w:rsidR="00000000" w:rsidRPr="00000000">
        <w:rPr>
          <w:rFonts w:ascii="Aptos" w:cs="Aptos" w:eastAsia="Aptos" w:hAnsi="Aptos"/>
          <w:b w:val="1"/>
          <w:bCs w:val="1"/>
          <w:color w:val="000000"/>
          <w:sz w:val="22"/>
          <w:szCs w:val="22"/>
          <w:rtl w:val="0"/>
        </w:rPr>
        <w:t xml:space="preserve">За The Hoffman Agency</w:t>
      </w:r>
      <w:r w:rsidDel="00000000" w:rsidR="00000000" w:rsidRPr="00000000">
        <w:rPr>
          <w:rtl w:val="0"/>
        </w:rPr>
      </w:r>
    </w:p>
    <w:p w:rsidR="00000000" w:rsidDel="00000000" w:rsidP="00000000" w:rsidRDefault="00000000" w:rsidRPr="00000000" w14:paraId="0000001E">
      <w:pPr>
        <w:spacing w:after="240" w:before="240" w:line="276" w:lineRule="auto"/>
        <w:jc w:val="both"/>
        <w:rPr>
          <w:rFonts w:ascii="Aptos" w:cs="Aptos" w:eastAsia="Aptos" w:hAnsi="Aptos"/>
          <w:sz w:val="18"/>
          <w:szCs w:val="18"/>
        </w:rPr>
      </w:pPr>
      <w:r w:rsidDel="00000000" w:rsidR="00000000" w:rsidRPr="00000000">
        <w:rPr>
          <w:rFonts w:ascii="Aptos" w:cs="Aptos" w:eastAsia="Aptos" w:hAnsi="Aptos"/>
          <w:sz w:val="22"/>
          <w:szCs w:val="22"/>
          <w:rtl w:val="0"/>
        </w:rPr>
        <w:t xml:space="preserve">The Hoffman Agency работи в широк спектър от комуникационни сфери – от традиционен PR до дигитални комуникации, content marketing и thought leadership. Компанията е сред малкото независими комуникационни консултантски агенции с глобално присъствие и има офиси в Европа (Лондон, Мюнхен и Париж), Азия (Токио, Сеул, Пекин, Шанхай, Тайпе, Хонконг, Сингапур, Банкок, Куала Лумпур и Джакарта) и САЩ (Силициевата долина, Портланд и Бостън). Агенцията работи с някои от най-големите световни брандове, като много от тях предпочитат имената им да не бъдат публично споменавани. Клиентите, за които има разрешение за публично споделяне, са посочени на сайта на The Hoffman Agency.</w:t>
      </w:r>
      <w:r w:rsidDel="00000000" w:rsidR="00000000" w:rsidRPr="00000000">
        <w:rPr>
          <w:rFonts w:ascii="Aptos" w:cs="Aptos" w:eastAsia="Aptos" w:hAnsi="Aptos"/>
          <w:sz w:val="18"/>
          <w:szCs w:val="18"/>
          <w:rtl w:val="0"/>
        </w:rPr>
        <w:t xml:space="preserve"> </w:t>
      </w:r>
      <w:r w:rsidDel="00000000" w:rsidR="00000000" w:rsidRPr="00000000">
        <w:rPr>
          <w:rFonts w:ascii="Aptos" w:cs="Aptos" w:eastAsia="Aptos" w:hAnsi="Aptos"/>
          <w:color w:val="000000"/>
          <w:sz w:val="22"/>
          <w:szCs w:val="22"/>
          <w:rtl w:val="0"/>
        </w:rPr>
        <w:t xml:space="preserve">Повече информация: https://www.hoffman.com/</w:t>
      </w:r>
      <w:r w:rsidDel="00000000" w:rsidR="00000000" w:rsidRPr="00000000">
        <w:rPr>
          <w:rtl w:val="0"/>
        </w:rPr>
      </w:r>
    </w:p>
    <w:p w:rsidR="00000000" w:rsidDel="00000000" w:rsidP="00000000" w:rsidRDefault="00000000" w:rsidRPr="00000000" w14:paraId="0000001F">
      <w:pPr>
        <w:spacing w:after="160" w:line="276" w:lineRule="auto"/>
        <w:jc w:val="both"/>
        <w:rPr>
          <w:rFonts w:ascii="Aptos" w:cs="Aptos" w:eastAsia="Aptos" w:hAnsi="Aptos"/>
          <w:sz w:val="22"/>
          <w:szCs w:val="22"/>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bottom w:color="000000" w:space="1" w:sz="4" w:val="single"/>
      </w:pBdr>
      <w:tabs>
        <w:tab w:val="right" w:leader="none" w:pos="9026"/>
      </w:tabs>
      <w:spacing w:after="360" w:lineRule="auto"/>
      <w:rPr/>
    </w:pPr>
    <w:r w:rsidDel="00000000" w:rsidR="00000000" w:rsidRPr="00000000">
      <w:rPr/>
      <w:drawing>
        <wp:inline distB="0" distT="0" distL="0" distR="0">
          <wp:extent cx="1428750" cy="6477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8750" cy="647700"/>
                  </a:xfrm>
                  <a:prstGeom prst="rect"/>
                  <a:ln/>
                </pic:spPr>
              </pic:pic>
            </a:graphicData>
          </a:graphic>
        </wp:inline>
      </w:drawing>
    </w:r>
    <w:r w:rsidDel="00000000" w:rsidR="00000000" w:rsidRPr="00000000">
      <w:rPr>
        <w:rtl w:val="0"/>
      </w:rPr>
      <w:tab/>
    </w:r>
    <w:r w:rsidDel="00000000" w:rsidR="00000000" w:rsidRPr="00000000">
      <w:rPr/>
      <w:drawing>
        <wp:inline distB="114300" distT="114300" distL="114300" distR="114300">
          <wp:extent cx="2973286" cy="635317"/>
          <wp:effectExtent b="0" l="0" r="0" t="0"/>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973286" cy="63531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color w:val="2e74b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pPr>
    <w:rPr>
      <w:color w:val="2e74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jjS5Y4iAU0L2Msh2su95v9kDPQ==">CgMxLjA4AHIhMUF4TXRjeHRsWjFGS2psc2hoT0dhTFNIc3lNQ0w3QjFk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2026-10-02T06:56:00Z</dcterms:created>
</cp:coreProperties>
</file>