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67CB04" w14:textId="77777777" w:rsidR="002106DB" w:rsidRDefault="002106DB" w:rsidP="008F77D5">
      <w:pPr>
        <w:ind w:left="1416" w:hanging="1416"/>
        <w:jc w:val="center"/>
      </w:pPr>
      <w:r>
        <w:rPr>
          <w:noProof/>
        </w:rPr>
        <w:drawing>
          <wp:inline distT="114300" distB="114300" distL="114300" distR="114300" wp14:anchorId="14772DD6" wp14:editId="3B2631DA">
            <wp:extent cx="4395788" cy="1190222"/>
            <wp:effectExtent l="0" t="0" r="0" b="0"/>
            <wp:docPr id="1" name="Imagem 1" descr="Uma imagem com texto&#10;&#10;Descrição gerada automaticament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Uma imagem com texto&#10;&#10;Descrição gerada automaticamente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395788" cy="119022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DC354E8" w14:textId="77777777" w:rsidR="002106DB" w:rsidRPr="00922926" w:rsidRDefault="002106DB" w:rsidP="002106DB">
      <w:pPr>
        <w:jc w:val="center"/>
        <w:rPr>
          <w:rFonts w:ascii="Calibri" w:hAnsi="Calibri" w:cs="Calibri"/>
          <w:b/>
        </w:rPr>
      </w:pPr>
    </w:p>
    <w:p w14:paraId="4C7053DC" w14:textId="77777777" w:rsidR="006B74CC" w:rsidRDefault="006B74CC" w:rsidP="008E1B7F">
      <w:pPr>
        <w:spacing w:line="240" w:lineRule="auto"/>
        <w:jc w:val="center"/>
        <w:rPr>
          <w:rFonts w:asciiTheme="minorHAnsi" w:hAnsiTheme="minorHAnsi" w:cstheme="minorHAnsi"/>
          <w:b/>
          <w:bCs/>
          <w:sz w:val="36"/>
          <w:szCs w:val="36"/>
        </w:rPr>
      </w:pPr>
    </w:p>
    <w:p w14:paraId="5892501E" w14:textId="1B0FE928" w:rsidR="00CC455F" w:rsidRDefault="003841EB" w:rsidP="008E1B7F">
      <w:pPr>
        <w:spacing w:line="240" w:lineRule="auto"/>
        <w:jc w:val="center"/>
        <w:rPr>
          <w:rFonts w:asciiTheme="minorHAnsi" w:hAnsiTheme="minorHAnsi" w:cstheme="minorHAnsi"/>
          <w:b/>
          <w:bCs/>
          <w:sz w:val="36"/>
          <w:szCs w:val="36"/>
        </w:rPr>
      </w:pPr>
      <w:r w:rsidRPr="003841EB">
        <w:rPr>
          <w:rFonts w:asciiTheme="minorHAnsi" w:hAnsiTheme="minorHAnsi" w:cstheme="minorHAnsi"/>
          <w:b/>
          <w:bCs/>
          <w:sz w:val="36"/>
          <w:szCs w:val="36"/>
        </w:rPr>
        <w:t>Fiscalidade ganha peso nas decisões imobiliárias: Sotheby’s lança guia com os principais benefícios fiscais para compradores, proprietários e investidores</w:t>
      </w:r>
      <w:r w:rsidR="00CC455F" w:rsidRPr="00162C68">
        <w:rPr>
          <w:rFonts w:asciiTheme="minorHAnsi" w:hAnsiTheme="minorHAnsi" w:cstheme="minorHAnsi"/>
          <w:b/>
          <w:bCs/>
          <w:sz w:val="36"/>
          <w:szCs w:val="36"/>
        </w:rPr>
        <w:t xml:space="preserve"> </w:t>
      </w:r>
    </w:p>
    <w:p w14:paraId="5634B908" w14:textId="77777777" w:rsidR="008E1B7F" w:rsidRPr="00C532E7" w:rsidRDefault="008E1B7F" w:rsidP="008E1B7F">
      <w:pPr>
        <w:spacing w:line="240" w:lineRule="auto"/>
        <w:jc w:val="center"/>
        <w:rPr>
          <w:rFonts w:asciiTheme="minorHAnsi" w:hAnsiTheme="minorHAnsi" w:cstheme="minorHAnsi"/>
          <w:b/>
          <w:i/>
        </w:rPr>
      </w:pPr>
    </w:p>
    <w:p w14:paraId="732F309C" w14:textId="1F8119F2" w:rsidR="00BF4C1E" w:rsidRDefault="00922926" w:rsidP="00BF4C1E">
      <w:pPr>
        <w:spacing w:line="240" w:lineRule="auto"/>
        <w:jc w:val="center"/>
        <w:rPr>
          <w:rFonts w:asciiTheme="minorHAnsi" w:hAnsiTheme="minorHAnsi" w:cstheme="minorHAnsi"/>
          <w:b/>
          <w:i/>
        </w:rPr>
      </w:pPr>
      <w:r w:rsidRPr="00922926">
        <w:rPr>
          <w:rFonts w:asciiTheme="minorHAnsi" w:hAnsiTheme="minorHAnsi" w:cstheme="minorHAnsi"/>
          <w:b/>
          <w:i/>
        </w:rPr>
        <w:t xml:space="preserve">Novo e-book da Portugal Sotheby’s </w:t>
      </w:r>
      <w:proofErr w:type="spellStart"/>
      <w:r w:rsidRPr="00922926">
        <w:rPr>
          <w:rFonts w:asciiTheme="minorHAnsi" w:hAnsiTheme="minorHAnsi" w:cstheme="minorHAnsi"/>
          <w:b/>
          <w:i/>
        </w:rPr>
        <w:t>International</w:t>
      </w:r>
      <w:proofErr w:type="spellEnd"/>
      <w:r w:rsidRPr="00922926">
        <w:rPr>
          <w:rFonts w:asciiTheme="minorHAnsi" w:hAnsiTheme="minorHAnsi" w:cstheme="minorHAnsi"/>
          <w:b/>
          <w:i/>
        </w:rPr>
        <w:t xml:space="preserve"> Realty reúne, de forma prática, os regimes fiscais aplicáveis à compra, venda, reabilitação e arrendamento de imóveis em Portugal</w:t>
      </w:r>
      <w:r w:rsidR="00C46A67">
        <w:rPr>
          <w:rFonts w:asciiTheme="minorHAnsi" w:hAnsiTheme="minorHAnsi" w:cstheme="minorHAnsi"/>
          <w:b/>
          <w:i/>
        </w:rPr>
        <w:t>.</w:t>
      </w:r>
      <w:r w:rsidR="00B33D0E" w:rsidRPr="00B33D0E">
        <w:rPr>
          <w:rFonts w:asciiTheme="minorHAnsi" w:hAnsiTheme="minorHAnsi" w:cstheme="minorHAnsi"/>
          <w:b/>
          <w:i/>
        </w:rPr>
        <w:t xml:space="preserve"> </w:t>
      </w:r>
    </w:p>
    <w:p w14:paraId="344A382D" w14:textId="77777777" w:rsidR="00B33D0E" w:rsidRPr="00BF4C1E" w:rsidRDefault="00B33D0E" w:rsidP="00BF4C1E">
      <w:pPr>
        <w:spacing w:line="240" w:lineRule="auto"/>
        <w:jc w:val="center"/>
        <w:rPr>
          <w:rFonts w:asciiTheme="minorHAnsi" w:hAnsiTheme="minorHAnsi" w:cstheme="minorHAnsi"/>
          <w:b/>
          <w:i/>
        </w:rPr>
      </w:pPr>
    </w:p>
    <w:p w14:paraId="670DCF5D" w14:textId="77777777" w:rsidR="003829CC" w:rsidRDefault="003829CC" w:rsidP="003829CC">
      <w:pPr>
        <w:spacing w:line="240" w:lineRule="auto"/>
        <w:jc w:val="center"/>
        <w:rPr>
          <w:rFonts w:asciiTheme="minorHAnsi" w:hAnsiTheme="minorHAnsi" w:cstheme="minorHAnsi"/>
          <w:b/>
          <w:i/>
        </w:rPr>
      </w:pPr>
    </w:p>
    <w:p w14:paraId="3AE98EC2" w14:textId="2357338C" w:rsidR="00196E8F" w:rsidRDefault="00270276" w:rsidP="00196E8F">
      <w:pPr>
        <w:spacing w:line="240" w:lineRule="auto"/>
        <w:jc w:val="both"/>
        <w:rPr>
          <w:rFonts w:asciiTheme="minorHAnsi" w:hAnsiTheme="minorHAnsi" w:cstheme="minorHAnsi"/>
        </w:rPr>
      </w:pPr>
      <w:r w:rsidRPr="00B35C5E">
        <w:rPr>
          <w:rFonts w:asciiTheme="minorHAnsi" w:hAnsiTheme="minorHAnsi" w:cstheme="minorHAnsi"/>
          <w:b/>
          <w:bCs/>
        </w:rPr>
        <w:t>Lisboa,</w:t>
      </w:r>
      <w:r w:rsidR="00BF121E" w:rsidRPr="00BF121E">
        <w:rPr>
          <w:rFonts w:asciiTheme="minorHAnsi" w:hAnsiTheme="minorHAnsi" w:cstheme="minorHAnsi"/>
          <w:b/>
          <w:bCs/>
        </w:rPr>
        <w:t xml:space="preserve"> </w:t>
      </w:r>
      <w:r w:rsidR="003C5E7E">
        <w:rPr>
          <w:rFonts w:asciiTheme="minorHAnsi" w:hAnsiTheme="minorHAnsi" w:cstheme="minorHAnsi"/>
          <w:b/>
          <w:bCs/>
        </w:rPr>
        <w:t>6</w:t>
      </w:r>
      <w:r w:rsidR="008D49D8">
        <w:rPr>
          <w:rFonts w:asciiTheme="minorHAnsi" w:hAnsiTheme="minorHAnsi" w:cstheme="minorHAnsi"/>
          <w:b/>
          <w:bCs/>
        </w:rPr>
        <w:t xml:space="preserve"> </w:t>
      </w:r>
      <w:r w:rsidR="009D4ABF">
        <w:rPr>
          <w:rFonts w:asciiTheme="minorHAnsi" w:hAnsiTheme="minorHAnsi" w:cstheme="minorHAnsi"/>
          <w:b/>
          <w:bCs/>
        </w:rPr>
        <w:t xml:space="preserve">de </w:t>
      </w:r>
      <w:r w:rsidR="008E1B7F">
        <w:rPr>
          <w:rFonts w:asciiTheme="minorHAnsi" w:hAnsiTheme="minorHAnsi" w:cstheme="minorHAnsi"/>
          <w:b/>
          <w:bCs/>
        </w:rPr>
        <w:t>outubro</w:t>
      </w:r>
      <w:r w:rsidR="00BF121E" w:rsidRPr="00BF121E">
        <w:rPr>
          <w:rFonts w:asciiTheme="minorHAnsi" w:hAnsiTheme="minorHAnsi" w:cstheme="minorHAnsi"/>
          <w:b/>
          <w:bCs/>
        </w:rPr>
        <w:t xml:space="preserve"> de 202</w:t>
      </w:r>
      <w:r w:rsidR="00F52E1E">
        <w:rPr>
          <w:rFonts w:asciiTheme="minorHAnsi" w:hAnsiTheme="minorHAnsi" w:cstheme="minorHAnsi"/>
          <w:b/>
          <w:bCs/>
        </w:rPr>
        <w:t>6</w:t>
      </w:r>
      <w:r w:rsidR="00BF121E" w:rsidRPr="00BF121E">
        <w:rPr>
          <w:rFonts w:asciiTheme="minorHAnsi" w:hAnsiTheme="minorHAnsi" w:cstheme="minorHAnsi"/>
        </w:rPr>
        <w:t xml:space="preserve"> –</w:t>
      </w:r>
      <w:r w:rsidR="00196E8F">
        <w:rPr>
          <w:rFonts w:asciiTheme="minorHAnsi" w:hAnsiTheme="minorHAnsi" w:cstheme="minorHAnsi"/>
        </w:rPr>
        <w:t xml:space="preserve"> </w:t>
      </w:r>
      <w:r w:rsidR="00196E8F" w:rsidRPr="00196E8F">
        <w:rPr>
          <w:rFonts w:asciiTheme="minorHAnsi" w:hAnsiTheme="minorHAnsi" w:cstheme="minorHAnsi"/>
        </w:rPr>
        <w:t>As alterações introduzidas no enquadramento fiscal da habitação</w:t>
      </w:r>
      <w:r w:rsidR="003A48FD">
        <w:rPr>
          <w:rFonts w:asciiTheme="minorHAnsi" w:hAnsiTheme="minorHAnsi" w:cstheme="minorHAnsi"/>
        </w:rPr>
        <w:t>,</w:t>
      </w:r>
      <w:r w:rsidR="00196E8F" w:rsidRPr="00196E8F">
        <w:rPr>
          <w:rFonts w:asciiTheme="minorHAnsi" w:hAnsiTheme="minorHAnsi" w:cstheme="minorHAnsi"/>
        </w:rPr>
        <w:t xml:space="preserve"> em 2026</w:t>
      </w:r>
      <w:r w:rsidR="003A48FD">
        <w:rPr>
          <w:rFonts w:asciiTheme="minorHAnsi" w:hAnsiTheme="minorHAnsi" w:cstheme="minorHAnsi"/>
        </w:rPr>
        <w:t>,</w:t>
      </w:r>
      <w:r w:rsidR="00196E8F" w:rsidRPr="00196E8F">
        <w:rPr>
          <w:rFonts w:asciiTheme="minorHAnsi" w:hAnsiTheme="minorHAnsi" w:cstheme="minorHAnsi"/>
        </w:rPr>
        <w:t xml:space="preserve"> vieram reforçar a importância de conhecer os benefícios disponíveis em cada operação imobiliária. Num contexto em que a fiscalidade assume um peso crescente nas decisões de compra, venda e investimento, a Portugal Sotheby’s </w:t>
      </w:r>
      <w:proofErr w:type="spellStart"/>
      <w:r w:rsidR="00196E8F" w:rsidRPr="00196E8F">
        <w:rPr>
          <w:rFonts w:asciiTheme="minorHAnsi" w:hAnsiTheme="minorHAnsi" w:cstheme="minorHAnsi"/>
        </w:rPr>
        <w:t>International</w:t>
      </w:r>
      <w:proofErr w:type="spellEnd"/>
      <w:r w:rsidR="00196E8F" w:rsidRPr="00196E8F">
        <w:rPr>
          <w:rFonts w:asciiTheme="minorHAnsi" w:hAnsiTheme="minorHAnsi" w:cstheme="minorHAnsi"/>
        </w:rPr>
        <w:t xml:space="preserve"> Realty lançou o </w:t>
      </w:r>
      <w:r w:rsidR="00196E8F" w:rsidRPr="00E46490">
        <w:rPr>
          <w:rFonts w:asciiTheme="minorHAnsi" w:hAnsiTheme="minorHAnsi" w:cstheme="minorHAnsi"/>
          <w:b/>
          <w:bCs/>
          <w:i/>
          <w:iCs/>
        </w:rPr>
        <w:t>Guia de Benefícios Fiscais para Imobiliário</w:t>
      </w:r>
      <w:r w:rsidR="00196E8F" w:rsidRPr="00196E8F">
        <w:rPr>
          <w:rFonts w:asciiTheme="minorHAnsi" w:hAnsiTheme="minorHAnsi" w:cstheme="minorHAnsi"/>
        </w:rPr>
        <w:t>, um e-book gratuito que reúne os principais regimes fiscais aplicáveis a proprietários, compradores, investidores e inquilinos.</w:t>
      </w:r>
    </w:p>
    <w:p w14:paraId="58C101EC" w14:textId="77777777" w:rsidR="003A48FD" w:rsidRPr="00196E8F" w:rsidRDefault="003A48FD" w:rsidP="00196E8F">
      <w:pPr>
        <w:spacing w:line="240" w:lineRule="auto"/>
        <w:jc w:val="both"/>
        <w:rPr>
          <w:rFonts w:asciiTheme="minorHAnsi" w:hAnsiTheme="minorHAnsi" w:cstheme="minorHAnsi"/>
        </w:rPr>
      </w:pPr>
    </w:p>
    <w:p w14:paraId="2D168B62" w14:textId="77777777" w:rsidR="00196E8F" w:rsidRDefault="00196E8F" w:rsidP="00196E8F">
      <w:pPr>
        <w:spacing w:line="240" w:lineRule="auto"/>
        <w:jc w:val="both"/>
        <w:rPr>
          <w:rFonts w:asciiTheme="minorHAnsi" w:hAnsiTheme="minorHAnsi" w:cstheme="minorHAnsi"/>
        </w:rPr>
      </w:pPr>
      <w:r w:rsidRPr="00196E8F">
        <w:rPr>
          <w:rFonts w:asciiTheme="minorHAnsi" w:hAnsiTheme="minorHAnsi" w:cstheme="minorHAnsi"/>
        </w:rPr>
        <w:t>Com uma abordagem prática e acessível, o guia pretende apoiar diferentes perfis de clientes em todas as fases de um negócio imobiliário, reunindo informação sobre os benefícios associados à aquisição de imóveis, venda e reinvestimento, obras e reabilitação urbana, bem como arrendamento habitacional. A publicação inclui exemplos concretos e a referência à legislação aplicável a cada benefício, permitindo uma consulta mais simples das oportunidades fiscais atualmente disponíveis.</w:t>
      </w:r>
    </w:p>
    <w:p w14:paraId="783A3D13" w14:textId="77777777" w:rsidR="003B649C" w:rsidRPr="00196E8F" w:rsidRDefault="003B649C" w:rsidP="00196E8F">
      <w:pPr>
        <w:spacing w:line="240" w:lineRule="auto"/>
        <w:jc w:val="both"/>
        <w:rPr>
          <w:rFonts w:asciiTheme="minorHAnsi" w:hAnsiTheme="minorHAnsi" w:cstheme="minorHAnsi"/>
        </w:rPr>
      </w:pPr>
    </w:p>
    <w:p w14:paraId="30D462AE" w14:textId="77777777" w:rsidR="003B649C" w:rsidRDefault="00196E8F" w:rsidP="00196E8F">
      <w:pPr>
        <w:spacing w:line="240" w:lineRule="auto"/>
        <w:jc w:val="both"/>
        <w:rPr>
          <w:rFonts w:asciiTheme="minorHAnsi" w:hAnsiTheme="minorHAnsi" w:cstheme="minorHAnsi"/>
        </w:rPr>
      </w:pPr>
      <w:r w:rsidRPr="00196E8F">
        <w:rPr>
          <w:rFonts w:asciiTheme="minorHAnsi" w:hAnsiTheme="minorHAnsi" w:cstheme="minorHAnsi"/>
        </w:rPr>
        <w:t xml:space="preserve">Entre as alterações mais recentes integradas no guia estão medidas introduzidas pelo pacote fiscal da habitação de 2026, nomeadamente a aplicação de uma taxa autónoma de IRS de 10% para determinados rendimentos provenientes de arrendamento habitacional dentro dos limites legalmente definidos e o alargamento da aplicação da taxa reduzida de IVA de 6% a determinadas operações de construção e reabilitação destinadas a habitação própria permanente ou arrendamento. </w:t>
      </w:r>
    </w:p>
    <w:p w14:paraId="54EDFF73" w14:textId="5EDA706C" w:rsidR="00196E8F" w:rsidRPr="00196E8F" w:rsidRDefault="00196E8F" w:rsidP="00196E8F">
      <w:pPr>
        <w:spacing w:line="240" w:lineRule="auto"/>
        <w:jc w:val="both"/>
        <w:rPr>
          <w:rFonts w:asciiTheme="minorHAnsi" w:hAnsiTheme="minorHAnsi" w:cstheme="minorHAnsi"/>
        </w:rPr>
      </w:pPr>
      <w:r w:rsidRPr="00196E8F">
        <w:rPr>
          <w:rFonts w:asciiTheme="minorHAnsi" w:hAnsiTheme="minorHAnsi" w:cstheme="minorHAnsi"/>
        </w:rPr>
        <w:t xml:space="preserve">    </w:t>
      </w:r>
    </w:p>
    <w:p w14:paraId="496DB83E" w14:textId="77777777" w:rsidR="00196E8F" w:rsidRPr="00196E8F" w:rsidRDefault="00196E8F" w:rsidP="00196E8F">
      <w:pPr>
        <w:spacing w:line="240" w:lineRule="auto"/>
        <w:jc w:val="both"/>
        <w:rPr>
          <w:rFonts w:asciiTheme="minorHAnsi" w:hAnsiTheme="minorHAnsi" w:cstheme="minorHAnsi"/>
        </w:rPr>
      </w:pPr>
      <w:r w:rsidRPr="00196E8F">
        <w:rPr>
          <w:rFonts w:asciiTheme="minorHAnsi" w:hAnsiTheme="minorHAnsi" w:cstheme="minorHAnsi"/>
        </w:rPr>
        <w:t xml:space="preserve">Organizado em </w:t>
      </w:r>
      <w:r w:rsidRPr="003B649C">
        <w:rPr>
          <w:rFonts w:asciiTheme="minorHAnsi" w:hAnsiTheme="minorHAnsi" w:cstheme="minorHAnsi"/>
          <w:b/>
          <w:bCs/>
        </w:rPr>
        <w:t>quatro áreas principais</w:t>
      </w:r>
      <w:r w:rsidRPr="00196E8F">
        <w:rPr>
          <w:rFonts w:asciiTheme="minorHAnsi" w:hAnsiTheme="minorHAnsi" w:cstheme="minorHAnsi"/>
        </w:rPr>
        <w:t>, o guia destaca os seguintes benefícios:</w:t>
      </w:r>
    </w:p>
    <w:p w14:paraId="11BF441B" w14:textId="77777777" w:rsidR="003B649C" w:rsidRDefault="003B649C" w:rsidP="00196E8F">
      <w:pPr>
        <w:spacing w:line="240" w:lineRule="auto"/>
        <w:jc w:val="both"/>
        <w:rPr>
          <w:rFonts w:asciiTheme="minorHAnsi" w:hAnsiTheme="minorHAnsi" w:cstheme="minorHAnsi"/>
        </w:rPr>
      </w:pPr>
    </w:p>
    <w:p w14:paraId="03B9F0D9" w14:textId="77777777" w:rsidR="003B649C" w:rsidRDefault="00196E8F" w:rsidP="00196E8F">
      <w:pPr>
        <w:spacing w:line="240" w:lineRule="auto"/>
        <w:jc w:val="both"/>
        <w:rPr>
          <w:rFonts w:asciiTheme="minorHAnsi" w:hAnsiTheme="minorHAnsi" w:cstheme="minorHAnsi"/>
        </w:rPr>
      </w:pPr>
      <w:r w:rsidRPr="003138BB">
        <w:rPr>
          <w:rFonts w:asciiTheme="minorHAnsi" w:hAnsiTheme="minorHAnsi" w:cstheme="minorHAnsi"/>
          <w:b/>
          <w:bCs/>
        </w:rPr>
        <w:t>Compra de imóvel.</w:t>
      </w:r>
      <w:r w:rsidRPr="00196E8F">
        <w:rPr>
          <w:rFonts w:asciiTheme="minorHAnsi" w:hAnsiTheme="minorHAnsi" w:cstheme="minorHAnsi"/>
        </w:rPr>
        <w:t xml:space="preserve"> Os jovens até aos 35 anos que adquiram a primeira Habitação Própria Permanente podem beneficiar de isenção total ou parcial de IMT e Imposto do Selo, estando também disponível um mecanismo de garantia pública do Estado que pode permitir financiamento até 100% do valor da aquisição, mediante os critérios aplicáveis.     </w:t>
      </w:r>
    </w:p>
    <w:p w14:paraId="4A77390D" w14:textId="77777777" w:rsidR="003B649C" w:rsidRDefault="003B649C" w:rsidP="00196E8F">
      <w:pPr>
        <w:spacing w:line="240" w:lineRule="auto"/>
        <w:jc w:val="both"/>
        <w:rPr>
          <w:rFonts w:asciiTheme="minorHAnsi" w:hAnsiTheme="minorHAnsi" w:cstheme="minorHAnsi"/>
        </w:rPr>
      </w:pPr>
    </w:p>
    <w:p w14:paraId="2AC9157A" w14:textId="7EACCD28" w:rsidR="00196E8F" w:rsidRDefault="00196E8F" w:rsidP="00196E8F">
      <w:pPr>
        <w:spacing w:line="240" w:lineRule="auto"/>
        <w:jc w:val="both"/>
        <w:rPr>
          <w:rFonts w:asciiTheme="minorHAnsi" w:hAnsiTheme="minorHAnsi" w:cstheme="minorHAnsi"/>
        </w:rPr>
      </w:pPr>
      <w:r w:rsidRPr="003138BB">
        <w:rPr>
          <w:rFonts w:asciiTheme="minorHAnsi" w:hAnsiTheme="minorHAnsi" w:cstheme="minorHAnsi"/>
          <w:b/>
          <w:bCs/>
        </w:rPr>
        <w:t>Venda de imóvel.</w:t>
      </w:r>
      <w:r w:rsidRPr="00196E8F">
        <w:rPr>
          <w:rFonts w:asciiTheme="minorHAnsi" w:hAnsiTheme="minorHAnsi" w:cstheme="minorHAnsi"/>
        </w:rPr>
        <w:t xml:space="preserve"> O guia explica os mecanismos de exclusão de tributação de mais-valias através do reinvestimento do valor obtido com a venda de uma Habitação Própria Permanente na aquisição, construção ou obras de uma nova habitação, bem como as possibilidades associadas ao reinvestimento em imóveis destinados ao arrendamento habitacional.     </w:t>
      </w:r>
    </w:p>
    <w:p w14:paraId="406FC61C" w14:textId="77777777" w:rsidR="006B74CC" w:rsidRPr="00196E8F" w:rsidRDefault="006B74CC" w:rsidP="00196E8F">
      <w:pPr>
        <w:spacing w:line="240" w:lineRule="auto"/>
        <w:jc w:val="both"/>
        <w:rPr>
          <w:rFonts w:asciiTheme="minorHAnsi" w:hAnsiTheme="minorHAnsi" w:cstheme="minorHAnsi"/>
        </w:rPr>
      </w:pPr>
    </w:p>
    <w:p w14:paraId="7F49B5AB" w14:textId="56A45552" w:rsidR="00196E8F" w:rsidRDefault="00196E8F" w:rsidP="00196E8F">
      <w:pPr>
        <w:spacing w:line="240" w:lineRule="auto"/>
        <w:jc w:val="both"/>
        <w:rPr>
          <w:rFonts w:asciiTheme="minorHAnsi" w:hAnsiTheme="minorHAnsi" w:cstheme="minorHAnsi"/>
        </w:rPr>
      </w:pPr>
      <w:r w:rsidRPr="002D09A6">
        <w:rPr>
          <w:rFonts w:asciiTheme="minorHAnsi" w:hAnsiTheme="minorHAnsi" w:cstheme="minorHAnsi"/>
          <w:b/>
          <w:bCs/>
        </w:rPr>
        <w:t>Reabilitação e obras.</w:t>
      </w:r>
      <w:r w:rsidRPr="00196E8F">
        <w:rPr>
          <w:rFonts w:asciiTheme="minorHAnsi" w:hAnsiTheme="minorHAnsi" w:cstheme="minorHAnsi"/>
        </w:rPr>
        <w:t xml:space="preserve"> A publicação reúne os benefícios associados a determinadas intervenções de reabilitação urbana e obras em imóveis destinados a habitação, incluindo a aplicação de IVA reduzido de 6% em situações previstas na legislação e incentivos fiscais associados a imóveis com mais de 30 anos ou localizados em Áreas de Reabilitação Urbana.     </w:t>
      </w:r>
    </w:p>
    <w:p w14:paraId="76C13DCF" w14:textId="77777777" w:rsidR="002D09A6" w:rsidRPr="00196E8F" w:rsidRDefault="002D09A6" w:rsidP="00196E8F">
      <w:pPr>
        <w:spacing w:line="240" w:lineRule="auto"/>
        <w:jc w:val="both"/>
        <w:rPr>
          <w:rFonts w:asciiTheme="minorHAnsi" w:hAnsiTheme="minorHAnsi" w:cstheme="minorHAnsi"/>
        </w:rPr>
      </w:pPr>
    </w:p>
    <w:p w14:paraId="49CB64D8" w14:textId="50D7BEE3" w:rsidR="00196E8F" w:rsidRDefault="00196E8F" w:rsidP="00196E8F">
      <w:pPr>
        <w:spacing w:line="240" w:lineRule="auto"/>
        <w:jc w:val="both"/>
        <w:rPr>
          <w:rFonts w:asciiTheme="minorHAnsi" w:hAnsiTheme="minorHAnsi" w:cstheme="minorHAnsi"/>
        </w:rPr>
      </w:pPr>
      <w:r w:rsidRPr="002D09A6">
        <w:rPr>
          <w:rFonts w:asciiTheme="minorHAnsi" w:hAnsiTheme="minorHAnsi" w:cstheme="minorHAnsi"/>
          <w:b/>
          <w:bCs/>
        </w:rPr>
        <w:t>Arrendamento.</w:t>
      </w:r>
      <w:r w:rsidRPr="00196E8F">
        <w:rPr>
          <w:rFonts w:asciiTheme="minorHAnsi" w:hAnsiTheme="minorHAnsi" w:cstheme="minorHAnsi"/>
        </w:rPr>
        <w:t xml:space="preserve"> O guia apresenta os regimes de tributação mais favoráveis para senhorios, incluindo a redução progressiva da taxa de IRS aplicável aos contratos de longa duração, que pode chegar aos 5% em contratos iguais ou superiores a 20 anos, bem como a dedução das rendas no IRS dos inquilinos dentro dos limites previstos.     </w:t>
      </w:r>
    </w:p>
    <w:p w14:paraId="54F50BFE" w14:textId="77777777" w:rsidR="002D09A6" w:rsidRPr="00196E8F" w:rsidRDefault="002D09A6" w:rsidP="00196E8F">
      <w:pPr>
        <w:spacing w:line="240" w:lineRule="auto"/>
        <w:jc w:val="both"/>
        <w:rPr>
          <w:rFonts w:asciiTheme="minorHAnsi" w:hAnsiTheme="minorHAnsi" w:cstheme="minorHAnsi"/>
        </w:rPr>
      </w:pPr>
    </w:p>
    <w:p w14:paraId="1AE898E6" w14:textId="77777777" w:rsidR="00196E8F" w:rsidRPr="002D09A6" w:rsidRDefault="00196E8F" w:rsidP="00196E8F">
      <w:pPr>
        <w:spacing w:line="240" w:lineRule="auto"/>
        <w:jc w:val="both"/>
        <w:rPr>
          <w:rFonts w:asciiTheme="minorHAnsi" w:hAnsiTheme="minorHAnsi" w:cstheme="minorHAnsi"/>
          <w:i/>
          <w:iCs/>
        </w:rPr>
      </w:pPr>
      <w:r w:rsidRPr="00196E8F">
        <w:rPr>
          <w:rFonts w:asciiTheme="minorHAnsi" w:hAnsiTheme="minorHAnsi" w:cstheme="minorHAnsi"/>
        </w:rPr>
        <w:t xml:space="preserve">Para Miguel Poisson, CEO da Portugal Sotheby’s </w:t>
      </w:r>
      <w:proofErr w:type="spellStart"/>
      <w:r w:rsidRPr="00196E8F">
        <w:rPr>
          <w:rFonts w:asciiTheme="minorHAnsi" w:hAnsiTheme="minorHAnsi" w:cstheme="minorHAnsi"/>
        </w:rPr>
        <w:t>International</w:t>
      </w:r>
      <w:proofErr w:type="spellEnd"/>
      <w:r w:rsidRPr="00196E8F">
        <w:rPr>
          <w:rFonts w:asciiTheme="minorHAnsi" w:hAnsiTheme="minorHAnsi" w:cstheme="minorHAnsi"/>
        </w:rPr>
        <w:t xml:space="preserve"> Realty, </w:t>
      </w:r>
      <w:r w:rsidRPr="002D09A6">
        <w:rPr>
          <w:rFonts w:asciiTheme="minorHAnsi" w:hAnsiTheme="minorHAnsi" w:cstheme="minorHAnsi"/>
          <w:i/>
          <w:iCs/>
        </w:rPr>
        <w:t>“num mercado imobiliário cada vez mais complexo, a componente fiscal assume um papel crescente nas decisões de compra, venda ou investimento. Muitas vezes, conhecer antecipadamente os benefícios e enquadramentos disponíveis pode fazer diferença na estratégia adotada. Com este guia, queremos disponibilizar uma ferramenta clara e atualizada que ajude os nossos clientes a tomar decisões mais informadas em diferentes momentos do ciclo imobiliário”.</w:t>
      </w:r>
    </w:p>
    <w:p w14:paraId="5EB3E4FD" w14:textId="77777777" w:rsidR="002D09A6" w:rsidRPr="00196E8F" w:rsidRDefault="002D09A6" w:rsidP="00196E8F">
      <w:pPr>
        <w:spacing w:line="240" w:lineRule="auto"/>
        <w:jc w:val="both"/>
        <w:rPr>
          <w:rFonts w:asciiTheme="minorHAnsi" w:hAnsiTheme="minorHAnsi" w:cstheme="minorHAnsi"/>
        </w:rPr>
      </w:pPr>
    </w:p>
    <w:p w14:paraId="683E6EA4" w14:textId="7E9720D0" w:rsidR="00196E8F" w:rsidRDefault="00196E8F" w:rsidP="00196E8F">
      <w:pPr>
        <w:spacing w:line="240" w:lineRule="auto"/>
        <w:jc w:val="both"/>
        <w:rPr>
          <w:rFonts w:asciiTheme="minorHAnsi" w:hAnsiTheme="minorHAnsi" w:cstheme="minorHAnsi"/>
        </w:rPr>
      </w:pPr>
      <w:r w:rsidRPr="00196E8F">
        <w:rPr>
          <w:rFonts w:asciiTheme="minorHAnsi" w:hAnsiTheme="minorHAnsi" w:cstheme="minorHAnsi"/>
        </w:rPr>
        <w:t>O Guia de Benefícios Fiscais para Imobiliário inclui</w:t>
      </w:r>
      <w:r w:rsidR="007C48DB">
        <w:rPr>
          <w:rFonts w:asciiTheme="minorHAnsi" w:hAnsiTheme="minorHAnsi" w:cstheme="minorHAnsi"/>
        </w:rPr>
        <w:t>,</w:t>
      </w:r>
      <w:r w:rsidRPr="00196E8F">
        <w:rPr>
          <w:rFonts w:asciiTheme="minorHAnsi" w:hAnsiTheme="minorHAnsi" w:cstheme="minorHAnsi"/>
        </w:rPr>
        <w:t xml:space="preserve"> ainda</w:t>
      </w:r>
      <w:r w:rsidR="007C48DB">
        <w:rPr>
          <w:rFonts w:asciiTheme="minorHAnsi" w:hAnsiTheme="minorHAnsi" w:cstheme="minorHAnsi"/>
        </w:rPr>
        <w:t>,</w:t>
      </w:r>
      <w:r w:rsidRPr="00196E8F">
        <w:rPr>
          <w:rFonts w:asciiTheme="minorHAnsi" w:hAnsiTheme="minorHAnsi" w:cstheme="minorHAnsi"/>
        </w:rPr>
        <w:t xml:space="preserve"> uma tabela-resumo que cruza diferentes perfis </w:t>
      </w:r>
      <w:r w:rsidR="007C48DB">
        <w:rPr>
          <w:rFonts w:asciiTheme="minorHAnsi" w:hAnsiTheme="minorHAnsi" w:cstheme="minorHAnsi"/>
        </w:rPr>
        <w:t>(</w:t>
      </w:r>
      <w:r w:rsidRPr="00196E8F">
        <w:rPr>
          <w:rFonts w:asciiTheme="minorHAnsi" w:hAnsiTheme="minorHAnsi" w:cstheme="minorHAnsi"/>
        </w:rPr>
        <w:t>jovem comprador, vendedor, proprietário em obras, senhorio e inquilino</w:t>
      </w:r>
      <w:r w:rsidR="007C48DB">
        <w:rPr>
          <w:rFonts w:asciiTheme="minorHAnsi" w:hAnsiTheme="minorHAnsi" w:cstheme="minorHAnsi"/>
        </w:rPr>
        <w:t>)</w:t>
      </w:r>
      <w:r w:rsidRPr="00196E8F">
        <w:rPr>
          <w:rFonts w:asciiTheme="minorHAnsi" w:hAnsiTheme="minorHAnsi" w:cstheme="minorHAnsi"/>
        </w:rPr>
        <w:t xml:space="preserve"> com os respetivos benefícios fiscais e diplomas legais aplicáveis.     </w:t>
      </w:r>
    </w:p>
    <w:p w14:paraId="60334C1F" w14:textId="77777777" w:rsidR="007C48DB" w:rsidRPr="00196E8F" w:rsidRDefault="007C48DB" w:rsidP="00196E8F">
      <w:pPr>
        <w:spacing w:line="240" w:lineRule="auto"/>
        <w:jc w:val="both"/>
        <w:rPr>
          <w:rFonts w:asciiTheme="minorHAnsi" w:hAnsiTheme="minorHAnsi" w:cstheme="minorHAnsi"/>
        </w:rPr>
      </w:pPr>
    </w:p>
    <w:p w14:paraId="6952A0EF" w14:textId="08249675" w:rsidR="008E1B7F" w:rsidRDefault="00196E8F" w:rsidP="008E1B7F">
      <w:pPr>
        <w:spacing w:line="240" w:lineRule="auto"/>
        <w:jc w:val="both"/>
        <w:rPr>
          <w:rFonts w:asciiTheme="minorHAnsi" w:hAnsiTheme="minorHAnsi" w:cstheme="minorHAnsi"/>
        </w:rPr>
      </w:pPr>
      <w:r w:rsidRPr="00196E8F">
        <w:rPr>
          <w:rFonts w:asciiTheme="minorHAnsi" w:hAnsiTheme="minorHAnsi" w:cstheme="minorHAnsi"/>
        </w:rPr>
        <w:t>O guia pode ser consultado e descarregado gratuitamente em</w:t>
      </w:r>
      <w:r w:rsidR="00E46490">
        <w:rPr>
          <w:rFonts w:asciiTheme="minorHAnsi" w:hAnsiTheme="minorHAnsi" w:cstheme="minorHAnsi"/>
        </w:rPr>
        <w:t xml:space="preserve"> </w:t>
      </w:r>
      <w:hyperlink r:id="rId10" w:history="1">
        <w:r w:rsidR="00E46490">
          <w:rPr>
            <w:rStyle w:val="Hiperligao"/>
            <w:rFonts w:asciiTheme="minorHAnsi" w:hAnsiTheme="minorHAnsi" w:cstheme="minorHAnsi"/>
          </w:rPr>
          <w:t>Guia de Benefícios Fiscais para Imobiliário</w:t>
        </w:r>
      </w:hyperlink>
      <w:r w:rsidR="00E46490">
        <w:rPr>
          <w:rFonts w:asciiTheme="minorHAnsi" w:hAnsiTheme="minorHAnsi" w:cstheme="minorHAnsi"/>
        </w:rPr>
        <w:t>.</w:t>
      </w:r>
    </w:p>
    <w:p w14:paraId="4B317DD6" w14:textId="77777777" w:rsidR="008E1B7F" w:rsidRDefault="008E1B7F" w:rsidP="008E1B7F">
      <w:pPr>
        <w:spacing w:line="240" w:lineRule="auto"/>
        <w:jc w:val="both"/>
        <w:rPr>
          <w:rFonts w:asciiTheme="minorHAnsi" w:hAnsiTheme="minorHAnsi" w:cstheme="minorHAnsi"/>
        </w:rPr>
      </w:pPr>
    </w:p>
    <w:p w14:paraId="69C5BE57" w14:textId="77777777" w:rsidR="00157948" w:rsidRDefault="00157948" w:rsidP="00A37956">
      <w:pPr>
        <w:spacing w:line="240" w:lineRule="auto"/>
        <w:jc w:val="both"/>
        <w:rPr>
          <w:rFonts w:ascii="Calibri" w:hAnsi="Calibri" w:cs="Calibri"/>
          <w:b/>
          <w:sz w:val="18"/>
          <w:szCs w:val="18"/>
        </w:rPr>
      </w:pPr>
    </w:p>
    <w:p w14:paraId="4F415023" w14:textId="755C1CB2" w:rsidR="00A37956" w:rsidRPr="00A75AB1" w:rsidRDefault="00A37956" w:rsidP="00A37956">
      <w:pPr>
        <w:spacing w:line="240" w:lineRule="auto"/>
        <w:jc w:val="both"/>
        <w:rPr>
          <w:rFonts w:ascii="Calibri" w:hAnsi="Calibri" w:cs="Calibri"/>
          <w:b/>
          <w:sz w:val="18"/>
          <w:szCs w:val="18"/>
        </w:rPr>
      </w:pPr>
      <w:r w:rsidRPr="00A75AB1">
        <w:rPr>
          <w:rFonts w:ascii="Calibri" w:hAnsi="Calibri" w:cs="Calibri"/>
          <w:b/>
          <w:sz w:val="18"/>
          <w:szCs w:val="18"/>
        </w:rPr>
        <w:t xml:space="preserve">Sobre a Portugal Sotheby’s </w:t>
      </w:r>
      <w:proofErr w:type="spellStart"/>
      <w:r w:rsidR="00A626AE">
        <w:rPr>
          <w:rFonts w:ascii="Calibri" w:hAnsi="Calibri" w:cs="Calibri"/>
          <w:b/>
          <w:sz w:val="18"/>
          <w:szCs w:val="18"/>
        </w:rPr>
        <w:t>International</w:t>
      </w:r>
      <w:proofErr w:type="spellEnd"/>
      <w:r w:rsidR="00A626AE">
        <w:rPr>
          <w:rFonts w:ascii="Calibri" w:hAnsi="Calibri" w:cs="Calibri"/>
          <w:b/>
          <w:sz w:val="18"/>
          <w:szCs w:val="18"/>
        </w:rPr>
        <w:t xml:space="preserve"> </w:t>
      </w:r>
      <w:r w:rsidRPr="00A75AB1">
        <w:rPr>
          <w:rFonts w:ascii="Calibri" w:hAnsi="Calibri" w:cs="Calibri"/>
          <w:b/>
          <w:sz w:val="18"/>
          <w:szCs w:val="18"/>
        </w:rPr>
        <w:t>Realty</w:t>
      </w:r>
    </w:p>
    <w:p w14:paraId="17AC3B4A" w14:textId="461AABA3" w:rsidR="00A37956" w:rsidRPr="00A75AB1" w:rsidRDefault="00A37956" w:rsidP="00A37956">
      <w:pPr>
        <w:spacing w:line="240" w:lineRule="auto"/>
        <w:jc w:val="both"/>
        <w:rPr>
          <w:rFonts w:ascii="Calibri" w:hAnsi="Calibri" w:cs="Calibri"/>
          <w:sz w:val="18"/>
          <w:szCs w:val="18"/>
        </w:rPr>
      </w:pPr>
      <w:r w:rsidRPr="00A75AB1">
        <w:rPr>
          <w:rFonts w:ascii="Calibri" w:hAnsi="Calibri" w:cs="Calibri"/>
          <w:sz w:val="18"/>
          <w:szCs w:val="18"/>
        </w:rPr>
        <w:t xml:space="preserve">A Sotheby’s nasceu como uma casa de leilões excecional em Londres em 1744, tendo em 1976 sido criada uma imobiliária de luxo com o mesmo nome, a Sotheby’s </w:t>
      </w:r>
      <w:proofErr w:type="spellStart"/>
      <w:r w:rsidRPr="00A75AB1">
        <w:rPr>
          <w:rFonts w:ascii="Calibri" w:hAnsi="Calibri" w:cs="Calibri"/>
          <w:sz w:val="18"/>
          <w:szCs w:val="18"/>
        </w:rPr>
        <w:t>International</w:t>
      </w:r>
      <w:proofErr w:type="spellEnd"/>
      <w:r w:rsidRPr="00A75AB1">
        <w:rPr>
          <w:rFonts w:ascii="Calibri" w:hAnsi="Calibri" w:cs="Calibri"/>
          <w:sz w:val="18"/>
          <w:szCs w:val="18"/>
        </w:rPr>
        <w:t xml:space="preserve"> Realty. Em Portugal, a Sotheby’s </w:t>
      </w:r>
      <w:proofErr w:type="spellStart"/>
      <w:r w:rsidRPr="00A75AB1">
        <w:rPr>
          <w:rFonts w:ascii="Calibri" w:hAnsi="Calibri" w:cs="Calibri"/>
          <w:sz w:val="18"/>
          <w:szCs w:val="18"/>
        </w:rPr>
        <w:t>International</w:t>
      </w:r>
      <w:proofErr w:type="spellEnd"/>
      <w:r w:rsidRPr="00A75AB1">
        <w:rPr>
          <w:rFonts w:ascii="Calibri" w:hAnsi="Calibri" w:cs="Calibri"/>
          <w:sz w:val="18"/>
          <w:szCs w:val="18"/>
        </w:rPr>
        <w:t xml:space="preserve"> Realty surge em 2007 com a abertura do seu primeiro escritório no Estoril e, dois anos depois, são inaugurados dois novos escritórios em Lisboa e em Oeiras. Atualmente, a Portugal Sotheby’s Realty conta com uma rede de 10 agências, empregando </w:t>
      </w:r>
      <w:r w:rsidR="008334A8">
        <w:rPr>
          <w:rFonts w:ascii="Calibri" w:hAnsi="Calibri" w:cs="Calibri"/>
          <w:sz w:val="18"/>
          <w:szCs w:val="18"/>
        </w:rPr>
        <w:t xml:space="preserve">cerca de 300 </w:t>
      </w:r>
      <w:r w:rsidRPr="00A75AB1">
        <w:rPr>
          <w:rFonts w:ascii="Calibri" w:hAnsi="Calibri" w:cs="Calibri"/>
          <w:sz w:val="18"/>
          <w:szCs w:val="18"/>
        </w:rPr>
        <w:t>colaboradores.</w:t>
      </w:r>
      <w:r>
        <w:rPr>
          <w:rFonts w:ascii="Calibri" w:hAnsi="Calibri" w:cs="Calibri"/>
          <w:sz w:val="18"/>
          <w:szCs w:val="18"/>
        </w:rPr>
        <w:t xml:space="preserve"> Mais informações em </w:t>
      </w:r>
      <w:hyperlink r:id="rId11" w:history="1">
        <w:r w:rsidRPr="00A75AB1">
          <w:rPr>
            <w:rStyle w:val="Hiperligao"/>
            <w:rFonts w:ascii="Calibri" w:hAnsi="Calibri" w:cs="Calibri"/>
            <w:bCs/>
            <w:color w:val="000000"/>
            <w:sz w:val="18"/>
            <w:szCs w:val="18"/>
          </w:rPr>
          <w:t>https://www.sothebysrealtypt.com/</w:t>
        </w:r>
      </w:hyperlink>
    </w:p>
    <w:p w14:paraId="2CF1B1DE" w14:textId="77777777" w:rsidR="00A37956" w:rsidRPr="00431153" w:rsidRDefault="00A37956" w:rsidP="006C2DD7">
      <w:pPr>
        <w:spacing w:line="240" w:lineRule="auto"/>
        <w:jc w:val="both"/>
        <w:rPr>
          <w:rFonts w:asciiTheme="minorHAnsi" w:hAnsiTheme="minorHAnsi" w:cstheme="minorHAnsi"/>
        </w:rPr>
      </w:pPr>
    </w:p>
    <w:p w14:paraId="198E2BC2" w14:textId="77777777" w:rsidR="00157948" w:rsidRDefault="00157948" w:rsidP="006C2DD7">
      <w:pPr>
        <w:spacing w:line="240" w:lineRule="auto"/>
        <w:jc w:val="both"/>
        <w:rPr>
          <w:rStyle w:val="Hiperligao"/>
          <w:rFonts w:asciiTheme="minorHAnsi" w:hAnsiTheme="minorHAnsi" w:cstheme="minorHAnsi"/>
          <w:b/>
          <w:color w:val="000000"/>
          <w:u w:val="none"/>
        </w:rPr>
      </w:pPr>
    </w:p>
    <w:p w14:paraId="73A887B6" w14:textId="6223FC2D" w:rsidR="006C2DD7" w:rsidRPr="00B35C5E" w:rsidRDefault="006C2DD7" w:rsidP="006C2DD7">
      <w:pPr>
        <w:spacing w:line="240" w:lineRule="auto"/>
        <w:jc w:val="both"/>
        <w:rPr>
          <w:rStyle w:val="Hiperligao"/>
          <w:rFonts w:asciiTheme="minorHAnsi" w:hAnsiTheme="minorHAnsi" w:cstheme="minorHAnsi"/>
          <w:b/>
          <w:color w:val="000000"/>
          <w:u w:val="none"/>
        </w:rPr>
      </w:pPr>
      <w:r w:rsidRPr="00B35C5E">
        <w:rPr>
          <w:rStyle w:val="Hiperligao"/>
          <w:rFonts w:asciiTheme="minorHAnsi" w:hAnsiTheme="minorHAnsi" w:cstheme="minorHAnsi"/>
          <w:b/>
          <w:color w:val="000000"/>
          <w:u w:val="none"/>
        </w:rPr>
        <w:t>Para mais informações contactar, por favor:</w:t>
      </w:r>
    </w:p>
    <w:p w14:paraId="236B4063" w14:textId="77777777" w:rsidR="006C2DD7" w:rsidRPr="00B35C5E" w:rsidRDefault="006C2DD7" w:rsidP="006C2DD7">
      <w:pPr>
        <w:spacing w:line="240" w:lineRule="auto"/>
        <w:jc w:val="both"/>
        <w:rPr>
          <w:rStyle w:val="Hiperligao"/>
          <w:rFonts w:asciiTheme="minorHAnsi" w:hAnsiTheme="minorHAnsi" w:cstheme="minorHAnsi"/>
          <w:b/>
          <w:color w:val="000000"/>
          <w:u w:val="none"/>
        </w:rPr>
      </w:pPr>
    </w:p>
    <w:p w14:paraId="6491E5C3" w14:textId="77777777" w:rsidR="006C2DD7" w:rsidRPr="00B35C5E" w:rsidRDefault="006C2DD7" w:rsidP="006C2DD7">
      <w:pPr>
        <w:spacing w:line="240" w:lineRule="auto"/>
        <w:jc w:val="both"/>
        <w:rPr>
          <w:rFonts w:asciiTheme="minorHAnsi" w:hAnsiTheme="minorHAnsi" w:cstheme="minorHAnsi"/>
          <w:bCs/>
          <w:color w:val="000000"/>
        </w:rPr>
      </w:pPr>
      <w:r w:rsidRPr="00B35C5E">
        <w:rPr>
          <w:rStyle w:val="Hiperligao"/>
          <w:rFonts w:asciiTheme="minorHAnsi" w:hAnsiTheme="minorHAnsi" w:cstheme="minorHAnsi"/>
          <w:bCs/>
          <w:color w:val="000000"/>
          <w:u w:val="none"/>
        </w:rPr>
        <w:t xml:space="preserve">Carla Rodrigues | </w:t>
      </w:r>
      <w:hyperlink r:id="rId12" w:history="1">
        <w:r w:rsidRPr="00B35C5E">
          <w:rPr>
            <w:rStyle w:val="Hiperligao"/>
            <w:rFonts w:asciiTheme="minorHAnsi" w:hAnsiTheme="minorHAnsi" w:cstheme="minorHAnsi"/>
            <w:bCs/>
          </w:rPr>
          <w:t>carla.rodrigues@lift.com.pt</w:t>
        </w:r>
      </w:hyperlink>
      <w:r w:rsidRPr="00B35C5E">
        <w:rPr>
          <w:rStyle w:val="Hiperligao"/>
          <w:rFonts w:asciiTheme="minorHAnsi" w:hAnsiTheme="minorHAnsi" w:cstheme="minorHAnsi"/>
          <w:bCs/>
          <w:color w:val="000000"/>
          <w:u w:val="none"/>
        </w:rPr>
        <w:t xml:space="preserve"> | </w:t>
      </w:r>
      <w:r w:rsidRPr="00B35C5E">
        <w:rPr>
          <w:rFonts w:asciiTheme="minorHAnsi" w:hAnsiTheme="minorHAnsi" w:cstheme="minorHAnsi"/>
          <w:bCs/>
          <w:color w:val="000000"/>
        </w:rPr>
        <w:t>915 193 379</w:t>
      </w:r>
    </w:p>
    <w:p w14:paraId="1F4AD26C" w14:textId="2C6104A5" w:rsidR="00EC5D03" w:rsidRPr="00B35C5E" w:rsidRDefault="006C2DD7" w:rsidP="00B35C5E">
      <w:pPr>
        <w:spacing w:line="240" w:lineRule="auto"/>
        <w:rPr>
          <w:rFonts w:asciiTheme="minorHAnsi" w:hAnsiTheme="minorHAnsi" w:cstheme="minorHAnsi"/>
        </w:rPr>
      </w:pPr>
      <w:r w:rsidRPr="00B35C5E">
        <w:rPr>
          <w:rFonts w:asciiTheme="minorHAnsi" w:hAnsiTheme="minorHAnsi" w:cstheme="minorHAnsi"/>
          <w:color w:val="000000"/>
        </w:rPr>
        <w:t xml:space="preserve">Anabela Pereira | </w:t>
      </w:r>
      <w:hyperlink r:id="rId13" w:history="1">
        <w:r w:rsidRPr="002E0904">
          <w:rPr>
            <w:rStyle w:val="Hiperligao"/>
            <w:rFonts w:asciiTheme="minorHAnsi" w:hAnsiTheme="minorHAnsi" w:cstheme="minorHAnsi"/>
          </w:rPr>
          <w:t>anabela.pereira@lift.com.pt</w:t>
        </w:r>
      </w:hyperlink>
      <w:r w:rsidRPr="00B35C5E">
        <w:rPr>
          <w:rFonts w:asciiTheme="minorHAnsi" w:hAnsiTheme="minorHAnsi" w:cstheme="minorHAnsi"/>
          <w:color w:val="000000"/>
        </w:rPr>
        <w:t xml:space="preserve"> | </w:t>
      </w:r>
      <w:r w:rsidRPr="00B35C5E">
        <w:rPr>
          <w:rFonts w:asciiTheme="minorHAnsi" w:hAnsiTheme="minorHAnsi" w:cstheme="minorHAnsi"/>
          <w:color w:val="000000"/>
          <w14:ligatures w14:val="standardContextual"/>
        </w:rPr>
        <w:t>936 282</w:t>
      </w:r>
      <w:r w:rsidR="00D04354">
        <w:rPr>
          <w:rFonts w:asciiTheme="minorHAnsi" w:hAnsiTheme="minorHAnsi" w:cstheme="minorHAnsi"/>
          <w:color w:val="000000"/>
          <w14:ligatures w14:val="standardContextual"/>
        </w:rPr>
        <w:t> </w:t>
      </w:r>
      <w:r w:rsidRPr="00B35C5E">
        <w:rPr>
          <w:rFonts w:asciiTheme="minorHAnsi" w:hAnsiTheme="minorHAnsi" w:cstheme="minorHAnsi"/>
          <w:color w:val="000000"/>
          <w14:ligatures w14:val="standardContextual"/>
        </w:rPr>
        <w:t>863</w:t>
      </w:r>
    </w:p>
    <w:sectPr w:rsidR="00EC5D03" w:rsidRPr="00B35C5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70A2A"/>
    <w:multiLevelType w:val="multilevel"/>
    <w:tmpl w:val="559E05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0DC4FEE"/>
    <w:multiLevelType w:val="hybridMultilevel"/>
    <w:tmpl w:val="2DC076D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4C05799"/>
    <w:multiLevelType w:val="hybridMultilevel"/>
    <w:tmpl w:val="E2BE1E4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8246AFC"/>
    <w:multiLevelType w:val="multilevel"/>
    <w:tmpl w:val="081674B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3A0212D8"/>
    <w:multiLevelType w:val="multilevel"/>
    <w:tmpl w:val="46E2C2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3C107CFD"/>
    <w:multiLevelType w:val="hybridMultilevel"/>
    <w:tmpl w:val="91A849B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A642DE6"/>
    <w:multiLevelType w:val="hybridMultilevel"/>
    <w:tmpl w:val="1B98D95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CA00E88"/>
    <w:multiLevelType w:val="multilevel"/>
    <w:tmpl w:val="6FFC70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0D14633"/>
    <w:multiLevelType w:val="multilevel"/>
    <w:tmpl w:val="A3380F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4AD595E"/>
    <w:multiLevelType w:val="multilevel"/>
    <w:tmpl w:val="4FB660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7FE53D44"/>
    <w:multiLevelType w:val="hybridMultilevel"/>
    <w:tmpl w:val="1D36E8F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42415014">
    <w:abstractNumId w:val="3"/>
  </w:num>
  <w:num w:numId="2" w16cid:durableId="870726850">
    <w:abstractNumId w:val="4"/>
  </w:num>
  <w:num w:numId="3" w16cid:durableId="950477651">
    <w:abstractNumId w:val="8"/>
  </w:num>
  <w:num w:numId="4" w16cid:durableId="72549293">
    <w:abstractNumId w:val="2"/>
  </w:num>
  <w:num w:numId="5" w16cid:durableId="929394242">
    <w:abstractNumId w:val="1"/>
  </w:num>
  <w:num w:numId="6" w16cid:durableId="1841653016">
    <w:abstractNumId w:val="0"/>
  </w:num>
  <w:num w:numId="7" w16cid:durableId="376048218">
    <w:abstractNumId w:val="7"/>
  </w:num>
  <w:num w:numId="8" w16cid:durableId="1242642411">
    <w:abstractNumId w:val="9"/>
  </w:num>
  <w:num w:numId="9" w16cid:durableId="1593246232">
    <w:abstractNumId w:val="10"/>
  </w:num>
  <w:num w:numId="10" w16cid:durableId="762534973">
    <w:abstractNumId w:val="6"/>
  </w:num>
  <w:num w:numId="11" w16cid:durableId="83410353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0CEC"/>
    <w:rsid w:val="0000316F"/>
    <w:rsid w:val="00006188"/>
    <w:rsid w:val="000221D3"/>
    <w:rsid w:val="000245B8"/>
    <w:rsid w:val="00031E5E"/>
    <w:rsid w:val="00031E60"/>
    <w:rsid w:val="00033161"/>
    <w:rsid w:val="000342BB"/>
    <w:rsid w:val="00052FEA"/>
    <w:rsid w:val="00064554"/>
    <w:rsid w:val="00070390"/>
    <w:rsid w:val="000735B9"/>
    <w:rsid w:val="000760A0"/>
    <w:rsid w:val="00076A11"/>
    <w:rsid w:val="000809F5"/>
    <w:rsid w:val="00081EEC"/>
    <w:rsid w:val="00084BAA"/>
    <w:rsid w:val="00090C95"/>
    <w:rsid w:val="00091241"/>
    <w:rsid w:val="000A3C29"/>
    <w:rsid w:val="000B71CD"/>
    <w:rsid w:val="000D2DE6"/>
    <w:rsid w:val="000D3B90"/>
    <w:rsid w:val="000E2867"/>
    <w:rsid w:val="000F5203"/>
    <w:rsid w:val="000F5D07"/>
    <w:rsid w:val="001041AE"/>
    <w:rsid w:val="00104568"/>
    <w:rsid w:val="00104AC0"/>
    <w:rsid w:val="0010603D"/>
    <w:rsid w:val="001061E9"/>
    <w:rsid w:val="001076A4"/>
    <w:rsid w:val="001106FB"/>
    <w:rsid w:val="001155F9"/>
    <w:rsid w:val="001214C3"/>
    <w:rsid w:val="00134D43"/>
    <w:rsid w:val="0013775A"/>
    <w:rsid w:val="001521C5"/>
    <w:rsid w:val="00157948"/>
    <w:rsid w:val="00157C0A"/>
    <w:rsid w:val="00161E80"/>
    <w:rsid w:val="00162C68"/>
    <w:rsid w:val="00171EFE"/>
    <w:rsid w:val="0017463C"/>
    <w:rsid w:val="00180FA5"/>
    <w:rsid w:val="00181354"/>
    <w:rsid w:val="00183D26"/>
    <w:rsid w:val="0018738E"/>
    <w:rsid w:val="001920B9"/>
    <w:rsid w:val="001934C3"/>
    <w:rsid w:val="001946E5"/>
    <w:rsid w:val="00196E8F"/>
    <w:rsid w:val="001A093B"/>
    <w:rsid w:val="001A236E"/>
    <w:rsid w:val="001B2021"/>
    <w:rsid w:val="001B57DA"/>
    <w:rsid w:val="001B6BF8"/>
    <w:rsid w:val="001B7D69"/>
    <w:rsid w:val="001C4D62"/>
    <w:rsid w:val="001C54ED"/>
    <w:rsid w:val="001D2B2C"/>
    <w:rsid w:val="001D30D3"/>
    <w:rsid w:val="001D4748"/>
    <w:rsid w:val="001D7DEE"/>
    <w:rsid w:val="001E08C9"/>
    <w:rsid w:val="001E2B70"/>
    <w:rsid w:val="001E2CE8"/>
    <w:rsid w:val="001F162D"/>
    <w:rsid w:val="001F19DD"/>
    <w:rsid w:val="002106DB"/>
    <w:rsid w:val="00210DB9"/>
    <w:rsid w:val="0021743F"/>
    <w:rsid w:val="00221F2B"/>
    <w:rsid w:val="00225442"/>
    <w:rsid w:val="002266DD"/>
    <w:rsid w:val="00235956"/>
    <w:rsid w:val="00237D18"/>
    <w:rsid w:val="002413AB"/>
    <w:rsid w:val="00244651"/>
    <w:rsid w:val="0025292C"/>
    <w:rsid w:val="00252A12"/>
    <w:rsid w:val="002625B5"/>
    <w:rsid w:val="00262EE9"/>
    <w:rsid w:val="00266C77"/>
    <w:rsid w:val="00270276"/>
    <w:rsid w:val="00271385"/>
    <w:rsid w:val="002716B1"/>
    <w:rsid w:val="00276CA0"/>
    <w:rsid w:val="002800FA"/>
    <w:rsid w:val="002806CB"/>
    <w:rsid w:val="00292DA0"/>
    <w:rsid w:val="00295949"/>
    <w:rsid w:val="002A291B"/>
    <w:rsid w:val="002B4BA6"/>
    <w:rsid w:val="002B4D0C"/>
    <w:rsid w:val="002C1501"/>
    <w:rsid w:val="002D09A6"/>
    <w:rsid w:val="002D0CEC"/>
    <w:rsid w:val="002D25C8"/>
    <w:rsid w:val="002D44D7"/>
    <w:rsid w:val="002E415D"/>
    <w:rsid w:val="002F0AF0"/>
    <w:rsid w:val="002F29A9"/>
    <w:rsid w:val="002F555F"/>
    <w:rsid w:val="0030288B"/>
    <w:rsid w:val="00302C0F"/>
    <w:rsid w:val="003039FF"/>
    <w:rsid w:val="00303AC2"/>
    <w:rsid w:val="0030723E"/>
    <w:rsid w:val="003138BB"/>
    <w:rsid w:val="003174E3"/>
    <w:rsid w:val="00322428"/>
    <w:rsid w:val="00326F20"/>
    <w:rsid w:val="00327377"/>
    <w:rsid w:val="00341014"/>
    <w:rsid w:val="00354120"/>
    <w:rsid w:val="00355C96"/>
    <w:rsid w:val="00357618"/>
    <w:rsid w:val="00357E74"/>
    <w:rsid w:val="00357EEF"/>
    <w:rsid w:val="00363F9C"/>
    <w:rsid w:val="003829CC"/>
    <w:rsid w:val="0038345B"/>
    <w:rsid w:val="00383E4B"/>
    <w:rsid w:val="003841EB"/>
    <w:rsid w:val="00384E93"/>
    <w:rsid w:val="00387984"/>
    <w:rsid w:val="00390F0A"/>
    <w:rsid w:val="003A00AF"/>
    <w:rsid w:val="003A1498"/>
    <w:rsid w:val="003A2073"/>
    <w:rsid w:val="003A48FD"/>
    <w:rsid w:val="003A5B15"/>
    <w:rsid w:val="003A60F9"/>
    <w:rsid w:val="003A6932"/>
    <w:rsid w:val="003B0505"/>
    <w:rsid w:val="003B5684"/>
    <w:rsid w:val="003B6085"/>
    <w:rsid w:val="003B649C"/>
    <w:rsid w:val="003B7B9F"/>
    <w:rsid w:val="003C25C7"/>
    <w:rsid w:val="003C5E7E"/>
    <w:rsid w:val="003C685D"/>
    <w:rsid w:val="003D12C9"/>
    <w:rsid w:val="003E0221"/>
    <w:rsid w:val="00400D72"/>
    <w:rsid w:val="004047E4"/>
    <w:rsid w:val="004050A2"/>
    <w:rsid w:val="004055C6"/>
    <w:rsid w:val="00414EC0"/>
    <w:rsid w:val="00421C58"/>
    <w:rsid w:val="00430495"/>
    <w:rsid w:val="00431153"/>
    <w:rsid w:val="004378A8"/>
    <w:rsid w:val="0044177B"/>
    <w:rsid w:val="00444A96"/>
    <w:rsid w:val="0045798D"/>
    <w:rsid w:val="00463876"/>
    <w:rsid w:val="004648BB"/>
    <w:rsid w:val="00464C29"/>
    <w:rsid w:val="004870B3"/>
    <w:rsid w:val="004901CF"/>
    <w:rsid w:val="004A0629"/>
    <w:rsid w:val="004A218A"/>
    <w:rsid w:val="004A426D"/>
    <w:rsid w:val="004A4735"/>
    <w:rsid w:val="004A79C1"/>
    <w:rsid w:val="004B2F50"/>
    <w:rsid w:val="004B3BBF"/>
    <w:rsid w:val="004B41B5"/>
    <w:rsid w:val="004C09A3"/>
    <w:rsid w:val="004C45DB"/>
    <w:rsid w:val="004C51FC"/>
    <w:rsid w:val="004C5DB8"/>
    <w:rsid w:val="004D459E"/>
    <w:rsid w:val="004E097E"/>
    <w:rsid w:val="004F45BD"/>
    <w:rsid w:val="004F5451"/>
    <w:rsid w:val="004F73AC"/>
    <w:rsid w:val="00502644"/>
    <w:rsid w:val="005071CC"/>
    <w:rsid w:val="00521D42"/>
    <w:rsid w:val="005259ED"/>
    <w:rsid w:val="00530503"/>
    <w:rsid w:val="00532199"/>
    <w:rsid w:val="00540A82"/>
    <w:rsid w:val="00541751"/>
    <w:rsid w:val="00541B85"/>
    <w:rsid w:val="00542F68"/>
    <w:rsid w:val="00547AA8"/>
    <w:rsid w:val="00547CE9"/>
    <w:rsid w:val="00550DFE"/>
    <w:rsid w:val="00555E55"/>
    <w:rsid w:val="00563680"/>
    <w:rsid w:val="00565B5D"/>
    <w:rsid w:val="00570E43"/>
    <w:rsid w:val="005719E8"/>
    <w:rsid w:val="00590002"/>
    <w:rsid w:val="0059628C"/>
    <w:rsid w:val="005969B2"/>
    <w:rsid w:val="00596CDF"/>
    <w:rsid w:val="005A5D34"/>
    <w:rsid w:val="005B3EA1"/>
    <w:rsid w:val="005C0AC0"/>
    <w:rsid w:val="005C210E"/>
    <w:rsid w:val="005D0093"/>
    <w:rsid w:val="005E174E"/>
    <w:rsid w:val="005E4952"/>
    <w:rsid w:val="005F2458"/>
    <w:rsid w:val="0062375C"/>
    <w:rsid w:val="00640582"/>
    <w:rsid w:val="0064365F"/>
    <w:rsid w:val="00647B5B"/>
    <w:rsid w:val="006511D6"/>
    <w:rsid w:val="00652C4B"/>
    <w:rsid w:val="0065541A"/>
    <w:rsid w:val="006556A6"/>
    <w:rsid w:val="00663DA8"/>
    <w:rsid w:val="0067307C"/>
    <w:rsid w:val="00674F69"/>
    <w:rsid w:val="00682C2E"/>
    <w:rsid w:val="006868D3"/>
    <w:rsid w:val="00687C7B"/>
    <w:rsid w:val="00687CAB"/>
    <w:rsid w:val="006902D6"/>
    <w:rsid w:val="00695DCE"/>
    <w:rsid w:val="00697B1B"/>
    <w:rsid w:val="006A338F"/>
    <w:rsid w:val="006B74CC"/>
    <w:rsid w:val="006C2D14"/>
    <w:rsid w:val="006C2DD7"/>
    <w:rsid w:val="006C537B"/>
    <w:rsid w:val="006E35AC"/>
    <w:rsid w:val="006E3FD6"/>
    <w:rsid w:val="006E70D2"/>
    <w:rsid w:val="006F11B0"/>
    <w:rsid w:val="00703573"/>
    <w:rsid w:val="007056A9"/>
    <w:rsid w:val="00706199"/>
    <w:rsid w:val="0070721D"/>
    <w:rsid w:val="007129EB"/>
    <w:rsid w:val="00712D0D"/>
    <w:rsid w:val="00716AF2"/>
    <w:rsid w:val="007242C6"/>
    <w:rsid w:val="00724B2F"/>
    <w:rsid w:val="007279E7"/>
    <w:rsid w:val="00727EB4"/>
    <w:rsid w:val="00732E34"/>
    <w:rsid w:val="0073361C"/>
    <w:rsid w:val="00734571"/>
    <w:rsid w:val="007350B0"/>
    <w:rsid w:val="00740379"/>
    <w:rsid w:val="00745707"/>
    <w:rsid w:val="00752B74"/>
    <w:rsid w:val="007537D5"/>
    <w:rsid w:val="00755DBF"/>
    <w:rsid w:val="0075704C"/>
    <w:rsid w:val="007647E9"/>
    <w:rsid w:val="007665BD"/>
    <w:rsid w:val="00766EA3"/>
    <w:rsid w:val="00772F74"/>
    <w:rsid w:val="007741CA"/>
    <w:rsid w:val="007768C4"/>
    <w:rsid w:val="00791839"/>
    <w:rsid w:val="0079345B"/>
    <w:rsid w:val="007A5F0A"/>
    <w:rsid w:val="007B489D"/>
    <w:rsid w:val="007B6F7E"/>
    <w:rsid w:val="007C30A5"/>
    <w:rsid w:val="007C48DB"/>
    <w:rsid w:val="007C5773"/>
    <w:rsid w:val="007C677C"/>
    <w:rsid w:val="007D176C"/>
    <w:rsid w:val="007D1C53"/>
    <w:rsid w:val="007D59FD"/>
    <w:rsid w:val="007D7E0F"/>
    <w:rsid w:val="007E0DD8"/>
    <w:rsid w:val="007E1184"/>
    <w:rsid w:val="007F623D"/>
    <w:rsid w:val="00800528"/>
    <w:rsid w:val="00805A5A"/>
    <w:rsid w:val="00806D6A"/>
    <w:rsid w:val="0080700C"/>
    <w:rsid w:val="00810055"/>
    <w:rsid w:val="008145FD"/>
    <w:rsid w:val="0082251F"/>
    <w:rsid w:val="008232BA"/>
    <w:rsid w:val="00825132"/>
    <w:rsid w:val="008312D5"/>
    <w:rsid w:val="008334A8"/>
    <w:rsid w:val="008361E3"/>
    <w:rsid w:val="00837F8A"/>
    <w:rsid w:val="00843D75"/>
    <w:rsid w:val="00845ABF"/>
    <w:rsid w:val="0085340A"/>
    <w:rsid w:val="00854884"/>
    <w:rsid w:val="008567AE"/>
    <w:rsid w:val="008616E8"/>
    <w:rsid w:val="008651E9"/>
    <w:rsid w:val="008668B0"/>
    <w:rsid w:val="0086713E"/>
    <w:rsid w:val="00890FAA"/>
    <w:rsid w:val="0089718F"/>
    <w:rsid w:val="008A51F6"/>
    <w:rsid w:val="008A7323"/>
    <w:rsid w:val="008C2A97"/>
    <w:rsid w:val="008C5189"/>
    <w:rsid w:val="008C5A0D"/>
    <w:rsid w:val="008D184E"/>
    <w:rsid w:val="008D49D8"/>
    <w:rsid w:val="008D69EA"/>
    <w:rsid w:val="008D70E5"/>
    <w:rsid w:val="008E1A5D"/>
    <w:rsid w:val="008E1B7F"/>
    <w:rsid w:val="008E3A1A"/>
    <w:rsid w:val="008F43A8"/>
    <w:rsid w:val="008F4EFA"/>
    <w:rsid w:val="008F53CD"/>
    <w:rsid w:val="008F77D5"/>
    <w:rsid w:val="008F7FF1"/>
    <w:rsid w:val="00915200"/>
    <w:rsid w:val="009159BC"/>
    <w:rsid w:val="009164A2"/>
    <w:rsid w:val="00916610"/>
    <w:rsid w:val="00922926"/>
    <w:rsid w:val="00925F80"/>
    <w:rsid w:val="0094482A"/>
    <w:rsid w:val="0095635D"/>
    <w:rsid w:val="009655C9"/>
    <w:rsid w:val="009702DD"/>
    <w:rsid w:val="00981462"/>
    <w:rsid w:val="009840BE"/>
    <w:rsid w:val="009842F2"/>
    <w:rsid w:val="0098629B"/>
    <w:rsid w:val="009935E2"/>
    <w:rsid w:val="00993E7D"/>
    <w:rsid w:val="009979C1"/>
    <w:rsid w:val="009A00C9"/>
    <w:rsid w:val="009A08D0"/>
    <w:rsid w:val="009A247A"/>
    <w:rsid w:val="009A5D29"/>
    <w:rsid w:val="009A5F0A"/>
    <w:rsid w:val="009C1E3B"/>
    <w:rsid w:val="009C5C57"/>
    <w:rsid w:val="009D3E96"/>
    <w:rsid w:val="009D4ABF"/>
    <w:rsid w:val="009D731D"/>
    <w:rsid w:val="009E2D23"/>
    <w:rsid w:val="009E793C"/>
    <w:rsid w:val="00A00025"/>
    <w:rsid w:val="00A07FA6"/>
    <w:rsid w:val="00A11869"/>
    <w:rsid w:val="00A15F46"/>
    <w:rsid w:val="00A16955"/>
    <w:rsid w:val="00A1767B"/>
    <w:rsid w:val="00A25E11"/>
    <w:rsid w:val="00A355BB"/>
    <w:rsid w:val="00A36A29"/>
    <w:rsid w:val="00A37956"/>
    <w:rsid w:val="00A4292C"/>
    <w:rsid w:val="00A445F3"/>
    <w:rsid w:val="00A44DBA"/>
    <w:rsid w:val="00A52B6C"/>
    <w:rsid w:val="00A53697"/>
    <w:rsid w:val="00A5585F"/>
    <w:rsid w:val="00A626AE"/>
    <w:rsid w:val="00A6298A"/>
    <w:rsid w:val="00A63A05"/>
    <w:rsid w:val="00A73089"/>
    <w:rsid w:val="00A7531D"/>
    <w:rsid w:val="00A821A6"/>
    <w:rsid w:val="00A84011"/>
    <w:rsid w:val="00A91C1D"/>
    <w:rsid w:val="00AA0E71"/>
    <w:rsid w:val="00AA1024"/>
    <w:rsid w:val="00AB39FB"/>
    <w:rsid w:val="00AB43CA"/>
    <w:rsid w:val="00AB5380"/>
    <w:rsid w:val="00AB546B"/>
    <w:rsid w:val="00AC030D"/>
    <w:rsid w:val="00AC3137"/>
    <w:rsid w:val="00AC7FC9"/>
    <w:rsid w:val="00AD0E1E"/>
    <w:rsid w:val="00AD5F84"/>
    <w:rsid w:val="00AF134A"/>
    <w:rsid w:val="00AF62CD"/>
    <w:rsid w:val="00B04E33"/>
    <w:rsid w:val="00B073D9"/>
    <w:rsid w:val="00B12770"/>
    <w:rsid w:val="00B12AA4"/>
    <w:rsid w:val="00B1512F"/>
    <w:rsid w:val="00B241AF"/>
    <w:rsid w:val="00B27D46"/>
    <w:rsid w:val="00B311BC"/>
    <w:rsid w:val="00B33D0E"/>
    <w:rsid w:val="00B359E3"/>
    <w:rsid w:val="00B35C5E"/>
    <w:rsid w:val="00B40EBE"/>
    <w:rsid w:val="00B440A1"/>
    <w:rsid w:val="00B44A28"/>
    <w:rsid w:val="00B53FEB"/>
    <w:rsid w:val="00B62FD5"/>
    <w:rsid w:val="00B6336D"/>
    <w:rsid w:val="00B66AFE"/>
    <w:rsid w:val="00B72A17"/>
    <w:rsid w:val="00B73012"/>
    <w:rsid w:val="00B736E3"/>
    <w:rsid w:val="00B807E0"/>
    <w:rsid w:val="00B80DC9"/>
    <w:rsid w:val="00B86EFD"/>
    <w:rsid w:val="00B873FA"/>
    <w:rsid w:val="00B8753D"/>
    <w:rsid w:val="00B93346"/>
    <w:rsid w:val="00BA4BA3"/>
    <w:rsid w:val="00BB5BC6"/>
    <w:rsid w:val="00BD0A0A"/>
    <w:rsid w:val="00BD68C8"/>
    <w:rsid w:val="00BE1BCD"/>
    <w:rsid w:val="00BF121E"/>
    <w:rsid w:val="00BF3259"/>
    <w:rsid w:val="00BF4C1E"/>
    <w:rsid w:val="00C026BB"/>
    <w:rsid w:val="00C032C1"/>
    <w:rsid w:val="00C04356"/>
    <w:rsid w:val="00C044C1"/>
    <w:rsid w:val="00C13954"/>
    <w:rsid w:val="00C22E0A"/>
    <w:rsid w:val="00C27B1D"/>
    <w:rsid w:val="00C3270F"/>
    <w:rsid w:val="00C34AC0"/>
    <w:rsid w:val="00C46A67"/>
    <w:rsid w:val="00C47AE5"/>
    <w:rsid w:val="00C532E7"/>
    <w:rsid w:val="00C53F43"/>
    <w:rsid w:val="00C67A00"/>
    <w:rsid w:val="00C7205F"/>
    <w:rsid w:val="00C770D4"/>
    <w:rsid w:val="00C809E3"/>
    <w:rsid w:val="00C80B9F"/>
    <w:rsid w:val="00C80F33"/>
    <w:rsid w:val="00C85CB2"/>
    <w:rsid w:val="00C86267"/>
    <w:rsid w:val="00C865E9"/>
    <w:rsid w:val="00C90BE5"/>
    <w:rsid w:val="00C90E36"/>
    <w:rsid w:val="00CA155A"/>
    <w:rsid w:val="00CA52FB"/>
    <w:rsid w:val="00CB5192"/>
    <w:rsid w:val="00CC0D4D"/>
    <w:rsid w:val="00CC455F"/>
    <w:rsid w:val="00CC7BC8"/>
    <w:rsid w:val="00CE2AF1"/>
    <w:rsid w:val="00CE6330"/>
    <w:rsid w:val="00CE6E10"/>
    <w:rsid w:val="00CF34E5"/>
    <w:rsid w:val="00CF73F9"/>
    <w:rsid w:val="00CF7E00"/>
    <w:rsid w:val="00D02E22"/>
    <w:rsid w:val="00D04354"/>
    <w:rsid w:val="00D0487E"/>
    <w:rsid w:val="00D06EB7"/>
    <w:rsid w:val="00D14C58"/>
    <w:rsid w:val="00D21FBC"/>
    <w:rsid w:val="00D22768"/>
    <w:rsid w:val="00D25ADE"/>
    <w:rsid w:val="00D25B0E"/>
    <w:rsid w:val="00D306BD"/>
    <w:rsid w:val="00D31D17"/>
    <w:rsid w:val="00D42339"/>
    <w:rsid w:val="00D555E4"/>
    <w:rsid w:val="00D64E0E"/>
    <w:rsid w:val="00D74367"/>
    <w:rsid w:val="00D74730"/>
    <w:rsid w:val="00D77497"/>
    <w:rsid w:val="00D97DD2"/>
    <w:rsid w:val="00DA51F7"/>
    <w:rsid w:val="00DA6A06"/>
    <w:rsid w:val="00DA78AF"/>
    <w:rsid w:val="00DC208D"/>
    <w:rsid w:val="00DC6439"/>
    <w:rsid w:val="00DD3A2D"/>
    <w:rsid w:val="00DE0692"/>
    <w:rsid w:val="00DE098F"/>
    <w:rsid w:val="00DE18B6"/>
    <w:rsid w:val="00E042BE"/>
    <w:rsid w:val="00E05E54"/>
    <w:rsid w:val="00E06DF8"/>
    <w:rsid w:val="00E26642"/>
    <w:rsid w:val="00E3184B"/>
    <w:rsid w:val="00E363E2"/>
    <w:rsid w:val="00E36DA0"/>
    <w:rsid w:val="00E4106C"/>
    <w:rsid w:val="00E428D7"/>
    <w:rsid w:val="00E46490"/>
    <w:rsid w:val="00E46C94"/>
    <w:rsid w:val="00E523F1"/>
    <w:rsid w:val="00E54074"/>
    <w:rsid w:val="00E5500A"/>
    <w:rsid w:val="00E607AF"/>
    <w:rsid w:val="00E73F12"/>
    <w:rsid w:val="00E75EC0"/>
    <w:rsid w:val="00E77D87"/>
    <w:rsid w:val="00E81F3C"/>
    <w:rsid w:val="00E95836"/>
    <w:rsid w:val="00EA0F60"/>
    <w:rsid w:val="00EA5CAB"/>
    <w:rsid w:val="00EB0692"/>
    <w:rsid w:val="00EB0BC8"/>
    <w:rsid w:val="00EB4B0F"/>
    <w:rsid w:val="00EC1E7A"/>
    <w:rsid w:val="00EC5D03"/>
    <w:rsid w:val="00EC755A"/>
    <w:rsid w:val="00ED0909"/>
    <w:rsid w:val="00ED1775"/>
    <w:rsid w:val="00ED4479"/>
    <w:rsid w:val="00ED678B"/>
    <w:rsid w:val="00EE0DA5"/>
    <w:rsid w:val="00EF5970"/>
    <w:rsid w:val="00F17165"/>
    <w:rsid w:val="00F2697B"/>
    <w:rsid w:val="00F3051F"/>
    <w:rsid w:val="00F30F96"/>
    <w:rsid w:val="00F3727B"/>
    <w:rsid w:val="00F37426"/>
    <w:rsid w:val="00F43DED"/>
    <w:rsid w:val="00F50C4E"/>
    <w:rsid w:val="00F52E1E"/>
    <w:rsid w:val="00F5319B"/>
    <w:rsid w:val="00F55F15"/>
    <w:rsid w:val="00F623E9"/>
    <w:rsid w:val="00F728CF"/>
    <w:rsid w:val="00F75761"/>
    <w:rsid w:val="00F75E13"/>
    <w:rsid w:val="00F75E5C"/>
    <w:rsid w:val="00F76986"/>
    <w:rsid w:val="00F82546"/>
    <w:rsid w:val="00F83C48"/>
    <w:rsid w:val="00F8548A"/>
    <w:rsid w:val="00F92579"/>
    <w:rsid w:val="00F95746"/>
    <w:rsid w:val="00FB25B7"/>
    <w:rsid w:val="00FB3A5A"/>
    <w:rsid w:val="00FC686B"/>
    <w:rsid w:val="00FD563D"/>
    <w:rsid w:val="00FD57E0"/>
    <w:rsid w:val="00FD6E6F"/>
    <w:rsid w:val="00FE5047"/>
    <w:rsid w:val="00FE6D01"/>
    <w:rsid w:val="00FF15C3"/>
    <w:rsid w:val="00FF71A8"/>
    <w:rsid w:val="198DD746"/>
    <w:rsid w:val="246B3C6C"/>
    <w:rsid w:val="4330072F"/>
    <w:rsid w:val="5E7F2A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C9A7D2"/>
  <w15:chartTrackingRefBased/>
  <w15:docId w15:val="{4E742AA9-9BCB-4823-A73D-AC566BD960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P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106DB"/>
    <w:pPr>
      <w:spacing w:after="0" w:line="276" w:lineRule="auto"/>
    </w:pPr>
    <w:rPr>
      <w:rFonts w:ascii="Arial" w:eastAsia="Arial" w:hAnsi="Arial" w:cs="Arial"/>
      <w:kern w:val="0"/>
      <w:lang w:eastAsia="en-GB"/>
      <w14:ligatures w14:val="none"/>
    </w:rPr>
  </w:style>
  <w:style w:type="paragraph" w:styleId="Ttulo1">
    <w:name w:val="heading 1"/>
    <w:basedOn w:val="Normal"/>
    <w:next w:val="Normal"/>
    <w:link w:val="Ttulo1Carter"/>
    <w:uiPriority w:val="9"/>
    <w:qFormat/>
    <w:rsid w:val="00B6336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iperligao">
    <w:name w:val="Hyperlink"/>
    <w:basedOn w:val="Tipodeletrapredefinidodopargrafo"/>
    <w:uiPriority w:val="99"/>
    <w:unhideWhenUsed/>
    <w:rsid w:val="002106DB"/>
    <w:rPr>
      <w:color w:val="0563C1" w:themeColor="hyperlink"/>
      <w:u w:val="single"/>
    </w:rPr>
  </w:style>
  <w:style w:type="paragraph" w:styleId="PargrafodaLista">
    <w:name w:val="List Paragraph"/>
    <w:basedOn w:val="Normal"/>
    <w:uiPriority w:val="34"/>
    <w:qFormat/>
    <w:rsid w:val="002106DB"/>
    <w:pPr>
      <w:ind w:left="720"/>
      <w:contextualSpacing/>
    </w:pPr>
  </w:style>
  <w:style w:type="paragraph" w:styleId="Reviso">
    <w:name w:val="Revision"/>
    <w:hidden/>
    <w:uiPriority w:val="99"/>
    <w:semiHidden/>
    <w:rsid w:val="00E428D7"/>
    <w:pPr>
      <w:spacing w:after="0" w:line="240" w:lineRule="auto"/>
    </w:pPr>
    <w:rPr>
      <w:rFonts w:ascii="Arial" w:eastAsia="Arial" w:hAnsi="Arial" w:cs="Arial"/>
      <w:kern w:val="0"/>
      <w:lang w:eastAsia="en-GB"/>
      <w14:ligatures w14:val="none"/>
    </w:rPr>
  </w:style>
  <w:style w:type="character" w:styleId="MenoNoResolvida">
    <w:name w:val="Unresolved Mention"/>
    <w:basedOn w:val="Tipodeletrapredefinidodopargrafo"/>
    <w:uiPriority w:val="99"/>
    <w:semiHidden/>
    <w:unhideWhenUsed/>
    <w:rsid w:val="00B35C5E"/>
    <w:rPr>
      <w:color w:val="605E5C"/>
      <w:shd w:val="clear" w:color="auto" w:fill="E1DFDD"/>
    </w:rPr>
  </w:style>
  <w:style w:type="character" w:styleId="Hiperligaovisitada">
    <w:name w:val="FollowedHyperlink"/>
    <w:basedOn w:val="Tipodeletrapredefinidodopargrafo"/>
    <w:uiPriority w:val="99"/>
    <w:semiHidden/>
    <w:unhideWhenUsed/>
    <w:rsid w:val="00B35C5E"/>
    <w:rPr>
      <w:color w:val="954F72" w:themeColor="followedHyperlink"/>
      <w:u w:val="single"/>
    </w:rPr>
  </w:style>
  <w:style w:type="character" w:styleId="Refdecomentrio">
    <w:name w:val="annotation reference"/>
    <w:basedOn w:val="Tipodeletrapredefinidodopargrafo"/>
    <w:uiPriority w:val="99"/>
    <w:semiHidden/>
    <w:unhideWhenUsed/>
    <w:rsid w:val="009702DD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unhideWhenUsed/>
    <w:rsid w:val="009702DD"/>
    <w:pPr>
      <w:spacing w:line="240" w:lineRule="auto"/>
    </w:pPr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rsid w:val="009702DD"/>
    <w:rPr>
      <w:rFonts w:ascii="Arial" w:eastAsia="Arial" w:hAnsi="Arial" w:cs="Arial"/>
      <w:kern w:val="0"/>
      <w:sz w:val="20"/>
      <w:szCs w:val="20"/>
      <w:lang w:eastAsia="en-GB"/>
      <w14:ligatures w14:val="none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9702DD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9702DD"/>
    <w:rPr>
      <w:rFonts w:ascii="Arial" w:eastAsia="Arial" w:hAnsi="Arial" w:cs="Arial"/>
      <w:b/>
      <w:bCs/>
      <w:kern w:val="0"/>
      <w:sz w:val="20"/>
      <w:szCs w:val="20"/>
      <w:lang w:eastAsia="en-GB"/>
      <w14:ligatures w14:val="none"/>
    </w:rPr>
  </w:style>
  <w:style w:type="character" w:customStyle="1" w:styleId="Ttulo1Carter">
    <w:name w:val="Título 1 Caráter"/>
    <w:basedOn w:val="Tipodeletrapredefinidodopargrafo"/>
    <w:link w:val="Ttulo1"/>
    <w:uiPriority w:val="9"/>
    <w:rsid w:val="00B6336D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:lang w:eastAsia="en-GB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7F62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872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8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48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51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34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41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09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90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0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68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75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16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anabela.pereira@lift.com.pt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carla.rodrigues@lift.com.pt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sothebysrealtypt.com/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hyperlink" Target="https://campanhas.sothebysrealtypt.com/casa-de-partida?utm_source=sothebysrealtypt.com&amp;utm_medium=website&amp;utm_campaign=vender-o-meu-imovel&amp;utm_content=link-antigo" TargetMode="External"/><Relationship Id="rId4" Type="http://schemas.openxmlformats.org/officeDocument/2006/relationships/customXml" Target="../customXml/item4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49E4B95ED44B54C93CF7A24326AA862" ma:contentTypeVersion="16" ma:contentTypeDescription="Create a new document." ma:contentTypeScope="" ma:versionID="99e2f44f1c4188afbee03fc126c18fc8">
  <xsd:schema xmlns:xsd="http://www.w3.org/2001/XMLSchema" xmlns:xs="http://www.w3.org/2001/XMLSchema" xmlns:p="http://schemas.microsoft.com/office/2006/metadata/properties" xmlns:ns2="37e14742-196e-407d-ac28-755036e92368" xmlns:ns3="5616a63c-10d3-4767-bc27-5282019ed633" targetNamespace="http://schemas.microsoft.com/office/2006/metadata/properties" ma:root="true" ma:fieldsID="d154e83391b9c6c29b956c4f577d713c" ns2:_="" ns3:_="">
    <xsd:import namespace="37e14742-196e-407d-ac28-755036e92368"/>
    <xsd:import namespace="5616a63c-10d3-4767-bc27-5282019ed63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e14742-196e-407d-ac28-755036e9236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89d19024-90d2-4c33-a65e-3c6afe2a8e0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16a63c-10d3-4767-bc27-5282019ed633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40bd9846-c2b6-4657-aa06-c919c6be6780}" ma:internalName="TaxCatchAll" ma:showField="CatchAllData" ma:web="5616a63c-10d3-4767-bc27-5282019ed63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7e14742-196e-407d-ac28-755036e92368">
      <Terms xmlns="http://schemas.microsoft.com/office/infopath/2007/PartnerControls"/>
    </lcf76f155ced4ddcb4097134ff3c332f>
    <TaxCatchAll xmlns="5616a63c-10d3-4767-bc27-5282019ed633" xsi:nil="true"/>
  </documentManagement>
</p:properties>
</file>

<file path=customXml/itemProps1.xml><?xml version="1.0" encoding="utf-8"?>
<ds:datastoreItem xmlns:ds="http://schemas.openxmlformats.org/officeDocument/2006/customXml" ds:itemID="{7A1DDE77-A927-4C73-8F9A-3D4CCEFF0B3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BF8D4DD-2515-4C99-9EDA-F5B0CF1C54E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1F87776-787C-4F74-BBD2-BE76151C041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7e14742-196e-407d-ac28-755036e92368"/>
    <ds:schemaRef ds:uri="5616a63c-10d3-4767-bc27-5282019ed63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5140295-F04F-425C-AAEF-5965DF204302}">
  <ds:schemaRefs>
    <ds:schemaRef ds:uri="http://schemas.microsoft.com/office/2006/metadata/properties"/>
    <ds:schemaRef ds:uri="http://schemas.microsoft.com/office/infopath/2007/PartnerControls"/>
    <ds:schemaRef ds:uri="37e14742-196e-407d-ac28-755036e92368"/>
    <ds:schemaRef ds:uri="5616a63c-10d3-4767-bc27-5282019ed63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754</Words>
  <Characters>4496</Characters>
  <Application>Microsoft Office Word</Application>
  <DocSecurity>0</DocSecurity>
  <Lines>88</Lines>
  <Paragraphs>22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5228</CharactersWithSpaces>
  <SharedDoc>false</SharedDoc>
  <HLinks>
    <vt:vector size="6" baseType="variant">
      <vt:variant>
        <vt:i4>5505037</vt:i4>
      </vt:variant>
      <vt:variant>
        <vt:i4>0</vt:i4>
      </vt:variant>
      <vt:variant>
        <vt:i4>0</vt:i4>
      </vt:variant>
      <vt:variant>
        <vt:i4>5</vt:i4>
      </vt:variant>
      <vt:variant>
        <vt:lpwstr>https://www.sothebysrealtypt.com/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Carla Rodrigues</dc:creator>
  <cp:keywords/>
  <dc:description/>
  <cp:lastModifiedBy>Carla Rodrigues</cp:lastModifiedBy>
  <cp:revision>22</cp:revision>
  <cp:lastPrinted>2025-01-23T17:08:00Z</cp:lastPrinted>
  <dcterms:created xsi:type="dcterms:W3CDTF">2026-09-21T16:07:00Z</dcterms:created>
  <dcterms:modified xsi:type="dcterms:W3CDTF">2026-10-02T07:36:00Z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0x010100349E4B95ED44B54C93CF7A24326AA862</vt:lpwstr>
  </property>
</Properties>
</file>