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7D340" w14:textId="77777777" w:rsidR="005A2A2F" w:rsidRPr="005A2A2F" w:rsidRDefault="005A2A2F" w:rsidP="005A2A2F">
      <w:pPr>
        <w:spacing w:before="120" w:after="120" w:line="276" w:lineRule="auto"/>
        <w:jc w:val="both"/>
        <w:rPr>
          <w:rFonts w:ascii="Noto Sans" w:eastAsia="Times New Roman" w:hAnsi="Noto Sans" w:cs="Noto Sans"/>
          <w:sz w:val="28"/>
          <w:szCs w:val="28"/>
          <w:lang w:eastAsia="en-GB"/>
        </w:rPr>
      </w:pPr>
      <w:r w:rsidRPr="005A2A2F">
        <w:rPr>
          <w:rFonts w:ascii="Noto Sans" w:eastAsia="Times New Roman" w:hAnsi="Noto Sans" w:cs="Noto Sans"/>
          <w:b/>
          <w:bCs/>
          <w:sz w:val="28"/>
          <w:szCs w:val="28"/>
          <w:lang w:eastAsia="en-GB"/>
        </w:rPr>
        <w:t>Pharma Already Has the Data Foundations that the Digital Product Passport Wants</w:t>
      </w:r>
    </w:p>
    <w:p w14:paraId="4F8009C7" w14:textId="6C9CF6E6" w:rsidR="005A2A2F" w:rsidRPr="005A2A2F" w:rsidRDefault="005A2A2F" w:rsidP="005A2A2F">
      <w:pPr>
        <w:spacing w:after="160" w:line="276" w:lineRule="auto"/>
        <w:jc w:val="both"/>
        <w:rPr>
          <w:rFonts w:ascii="Noto Sans" w:eastAsiaTheme="minorHAnsi" w:hAnsi="Noto Sans" w:cs="Noto Sans"/>
          <w:b/>
          <w:bCs/>
          <w:i/>
          <w:iCs/>
          <w:sz w:val="22"/>
        </w:rPr>
      </w:pPr>
      <w:r w:rsidRPr="005A2A2F">
        <w:rPr>
          <w:rFonts w:ascii="Noto Sans" w:eastAsiaTheme="minorHAnsi" w:hAnsi="Noto Sans" w:cs="Noto Sans"/>
          <w:b/>
          <w:bCs/>
          <w:i/>
          <w:iCs/>
          <w:sz w:val="22"/>
        </w:rPr>
        <w:t>From 2027 onwards, a number of product categories sold in the EU will have to feature a</w:t>
      </w:r>
      <w:r w:rsidRPr="005A2A2F">
        <w:rPr>
          <w:rFonts w:ascii="Noto Sans" w:eastAsiaTheme="minorHAnsi" w:hAnsi="Noto Sans" w:cs="Noto Sans"/>
          <w:b/>
          <w:bCs/>
          <w:sz w:val="22"/>
        </w:rPr>
        <w:t> </w:t>
      </w:r>
      <w:hyperlink r:id="rId6" w:history="1">
        <w:r w:rsidRPr="005A2A2F">
          <w:rPr>
            <w:rStyle w:val="Hyperlink"/>
            <w:rFonts w:ascii="Noto Sans" w:eastAsiaTheme="minorHAnsi" w:hAnsi="Noto Sans" w:cs="Noto Sans"/>
            <w:b/>
            <w:bCs/>
            <w:sz w:val="22"/>
          </w:rPr>
          <w:t>Digital Product Passport</w:t>
        </w:r>
        <w:r w:rsidRPr="005A2A2F">
          <w:rPr>
            <w:rStyle w:val="Hyperlink"/>
            <w:rFonts w:ascii="Noto Sans" w:eastAsiaTheme="minorHAnsi" w:hAnsi="Noto Sans" w:cs="Noto Sans"/>
            <w:b/>
            <w:bCs/>
            <w:i/>
            <w:iCs/>
            <w:sz w:val="22"/>
          </w:rPr>
          <w:t> (DPP)</w:t>
        </w:r>
      </w:hyperlink>
      <w:r w:rsidRPr="005A2A2F">
        <w:rPr>
          <w:rFonts w:ascii="Noto Sans" w:eastAsiaTheme="minorHAnsi" w:hAnsi="Noto Sans" w:cs="Noto Sans"/>
          <w:b/>
          <w:bCs/>
          <w:i/>
          <w:iCs/>
          <w:sz w:val="22"/>
        </w:rPr>
        <w:t xml:space="preserve"> – offering standardi</w:t>
      </w:r>
      <w:r w:rsidR="00274F25">
        <w:rPr>
          <w:rFonts w:ascii="Noto Sans" w:eastAsiaTheme="minorHAnsi" w:hAnsi="Noto Sans" w:cs="Noto Sans"/>
          <w:b/>
          <w:bCs/>
          <w:i/>
          <w:iCs/>
          <w:sz w:val="22"/>
        </w:rPr>
        <w:t>z</w:t>
      </w:r>
      <w:r w:rsidRPr="005A2A2F">
        <w:rPr>
          <w:rFonts w:ascii="Noto Sans" w:eastAsiaTheme="minorHAnsi" w:hAnsi="Noto Sans" w:cs="Noto Sans"/>
          <w:b/>
          <w:bCs/>
          <w:i/>
          <w:iCs/>
          <w:sz w:val="22"/>
        </w:rPr>
        <w:t xml:space="preserve">ed, accessible data to boost transparency, support sustainable practices, and empower informed decision-making across value chains. While much of this information is already provided by pharmaceutical companies through the GS1 </w:t>
      </w:r>
      <w:proofErr w:type="spellStart"/>
      <w:r w:rsidRPr="005A2A2F">
        <w:rPr>
          <w:rFonts w:ascii="Noto Sans" w:eastAsiaTheme="minorHAnsi" w:hAnsi="Noto Sans" w:cs="Noto Sans"/>
          <w:b/>
          <w:bCs/>
          <w:i/>
          <w:iCs/>
          <w:sz w:val="22"/>
        </w:rPr>
        <w:t>DataMatrix</w:t>
      </w:r>
      <w:proofErr w:type="spellEnd"/>
      <w:r w:rsidRPr="005A2A2F">
        <w:rPr>
          <w:rFonts w:ascii="Noto Sans" w:eastAsiaTheme="minorHAnsi" w:hAnsi="Noto Sans" w:cs="Noto Sans"/>
          <w:b/>
          <w:bCs/>
          <w:i/>
          <w:iCs/>
          <w:sz w:val="22"/>
        </w:rPr>
        <w:t xml:space="preserve"> to adhere to existing legislation, the sector is excluded from DPP requirements.</w:t>
      </w:r>
    </w:p>
    <w:p w14:paraId="7E03F4BA" w14:textId="1B6ECA44" w:rsidR="005A2A2F" w:rsidRPr="005A2A2F" w:rsidRDefault="005A2A2F" w:rsidP="005A2A2F">
      <w:pPr>
        <w:spacing w:after="160" w:line="276" w:lineRule="auto"/>
        <w:jc w:val="both"/>
        <w:rPr>
          <w:rFonts w:ascii="Noto Sans" w:eastAsiaTheme="minorHAnsi" w:hAnsi="Noto Sans" w:cs="Noto Sans"/>
          <w:i/>
          <w:iCs/>
          <w:sz w:val="22"/>
        </w:rPr>
      </w:pPr>
      <w:r w:rsidRPr="005A2A2F">
        <w:rPr>
          <w:rFonts w:ascii="Noto Sans" w:eastAsiaTheme="minorHAnsi" w:hAnsi="Noto Sans" w:cs="Noto Sans"/>
          <w:i/>
          <w:iCs/>
          <w:sz w:val="22"/>
        </w:rPr>
        <w:t>And yet, extending current pharmaceutical packaging information beyond existing regulatory demands offers compelling benefits to patient safety and global sustainability. While direct-to-consumer advertising is prohibited in the European prescription pharmaceutical sector, information accessible via 2D codes can still enable manufacturers to improve consumer understanding of recycling and disposal requirements, provide access to electronic patient information leaflets (</w:t>
      </w:r>
      <w:proofErr w:type="spellStart"/>
      <w:r w:rsidRPr="005A2A2F">
        <w:rPr>
          <w:rFonts w:ascii="Noto Sans" w:eastAsiaTheme="minorHAnsi" w:hAnsi="Noto Sans" w:cs="Noto Sans"/>
          <w:i/>
          <w:iCs/>
          <w:sz w:val="22"/>
        </w:rPr>
        <w:t>ePILs</w:t>
      </w:r>
      <w:proofErr w:type="spellEnd"/>
      <w:r w:rsidRPr="005A2A2F">
        <w:rPr>
          <w:rFonts w:ascii="Noto Sans" w:eastAsiaTheme="minorHAnsi" w:hAnsi="Noto Sans" w:cs="Noto Sans"/>
          <w:i/>
          <w:iCs/>
          <w:sz w:val="22"/>
        </w:rPr>
        <w:t xml:space="preserve">), or even deliver the transparency required to enable vital medicine reuse programs.  </w:t>
      </w:r>
    </w:p>
    <w:p w14:paraId="78D070D0" w14:textId="77777777" w:rsidR="005A2A2F" w:rsidRPr="005A2A2F" w:rsidRDefault="005A2A2F" w:rsidP="005A2A2F">
      <w:pPr>
        <w:spacing w:after="160" w:line="276" w:lineRule="auto"/>
        <w:jc w:val="both"/>
        <w:rPr>
          <w:rFonts w:ascii="Noto Sans" w:eastAsiaTheme="minorHAnsi" w:hAnsi="Noto Sans" w:cs="Noto Sans"/>
          <w:i/>
          <w:iCs/>
          <w:sz w:val="22"/>
        </w:rPr>
      </w:pPr>
      <w:r w:rsidRPr="005A2A2F">
        <w:rPr>
          <w:rFonts w:ascii="Noto Sans" w:eastAsiaTheme="minorHAnsi" w:hAnsi="Noto Sans" w:cs="Noto Sans"/>
          <w:i/>
          <w:iCs/>
          <w:sz w:val="22"/>
        </w:rPr>
        <w:t>James Cutforth, Global Head of Regulated Sectors, Domino Printing Sciences, explores the value of a DPP equivalent for pharma.</w:t>
      </w:r>
    </w:p>
    <w:p w14:paraId="6F84D578" w14:textId="77777777" w:rsidR="005A2A2F" w:rsidRPr="005A2A2F" w:rsidRDefault="005A2A2F" w:rsidP="005A2A2F">
      <w:pPr>
        <w:spacing w:after="160" w:line="276" w:lineRule="auto"/>
        <w:jc w:val="both"/>
        <w:rPr>
          <w:rFonts w:ascii="Noto Sans" w:eastAsiaTheme="minorHAnsi" w:hAnsi="Noto Sans" w:cs="Noto Sans"/>
          <w:b/>
          <w:bCs/>
          <w:sz w:val="22"/>
        </w:rPr>
      </w:pPr>
      <w:r w:rsidRPr="005A2A2F">
        <w:rPr>
          <w:rFonts w:ascii="Noto Sans" w:eastAsiaTheme="minorHAnsi" w:hAnsi="Noto Sans" w:cs="Noto Sans"/>
          <w:b/>
          <w:bCs/>
          <w:sz w:val="22"/>
        </w:rPr>
        <w:t>Pharma’s existing product passport</w:t>
      </w:r>
    </w:p>
    <w:p w14:paraId="55FE4AD0" w14:textId="678E3403" w:rsidR="005A2A2F" w:rsidRPr="005A2A2F" w:rsidRDefault="005A2A2F" w:rsidP="005A2A2F">
      <w:pPr>
        <w:spacing w:after="160" w:line="276" w:lineRule="auto"/>
        <w:jc w:val="both"/>
        <w:rPr>
          <w:rFonts w:ascii="Noto Sans" w:eastAsiaTheme="minorHAnsi" w:hAnsi="Noto Sans" w:cs="Noto Sans"/>
          <w:sz w:val="22"/>
        </w:rPr>
      </w:pPr>
      <w:r w:rsidRPr="005A2A2F">
        <w:rPr>
          <w:rFonts w:ascii="Noto Sans" w:eastAsiaTheme="minorHAnsi" w:hAnsi="Noto Sans" w:cs="Noto Sans"/>
          <w:sz w:val="22"/>
        </w:rPr>
        <w:t>In 2024 the </w:t>
      </w:r>
      <w:hyperlink r:id="rId7" w:tgtFrame="_blank" w:history="1">
        <w:r w:rsidRPr="005A2A2F">
          <w:rPr>
            <w:rFonts w:ascii="Noto Sans" w:eastAsiaTheme="minorHAnsi" w:hAnsi="Noto Sans" w:cs="Noto Sans"/>
            <w:color w:val="0563C1" w:themeColor="hyperlink"/>
            <w:sz w:val="22"/>
            <w:u w:val="single"/>
          </w:rPr>
          <w:t>Ecodesign for Sustainable Products Regulation</w:t>
        </w:r>
      </w:hyperlink>
      <w:r w:rsidRPr="005A2A2F">
        <w:rPr>
          <w:rFonts w:ascii="Noto Sans" w:eastAsiaTheme="minorHAnsi" w:hAnsi="Noto Sans" w:cs="Noto Sans"/>
          <w:sz w:val="22"/>
        </w:rPr>
        <w:t xml:space="preserve"> (ESPR) entered into force, introducing the </w:t>
      </w:r>
      <w:hyperlink r:id="rId8" w:history="1">
        <w:r w:rsidRPr="005A2A2F">
          <w:rPr>
            <w:rFonts w:ascii="Noto Sans" w:eastAsiaTheme="minorHAnsi" w:hAnsi="Noto Sans" w:cs="Noto Sans"/>
            <w:color w:val="0563C1" w:themeColor="hyperlink"/>
            <w:sz w:val="22"/>
            <w:u w:val="single"/>
          </w:rPr>
          <w:t>Digital Product Passport (DPP)</w:t>
        </w:r>
      </w:hyperlink>
      <w:r w:rsidRPr="005A2A2F">
        <w:rPr>
          <w:rFonts w:ascii="Noto Sans" w:eastAsiaTheme="minorHAnsi" w:hAnsi="Noto Sans" w:cs="Noto Sans"/>
          <w:sz w:val="22"/>
        </w:rPr>
        <w:t xml:space="preserve"> for </w:t>
      </w:r>
      <w:hyperlink r:id="rId9" w:tgtFrame="_blank" w:history="1">
        <w:r w:rsidRPr="005A2A2F">
          <w:rPr>
            <w:rFonts w:ascii="Noto Sans" w:eastAsiaTheme="minorHAnsi" w:hAnsi="Noto Sans" w:cs="Noto Sans"/>
            <w:color w:val="0563C1" w:themeColor="hyperlink"/>
            <w:sz w:val="22"/>
            <w:u w:val="single"/>
          </w:rPr>
          <w:t>selected product groups</w:t>
        </w:r>
      </w:hyperlink>
      <w:r w:rsidRPr="005A2A2F">
        <w:rPr>
          <w:rFonts w:ascii="Noto Sans" w:eastAsiaTheme="minorHAnsi" w:hAnsi="Noto Sans" w:cs="Noto Sans"/>
          <w:sz w:val="22"/>
        </w:rPr>
        <w:t xml:space="preserve"> to enhance transparency. Pharma is excluded from the requirement to provide comprehensive information about each product’s origin, materials, environmental impact, and disposal recommendations – not least because the industry is already subject to strict regulatory demands surrounding transparency and traceability. Manufacturers selling in the EU and US already use 2D </w:t>
      </w:r>
      <w:proofErr w:type="spellStart"/>
      <w:r w:rsidRPr="005A2A2F">
        <w:rPr>
          <w:rFonts w:ascii="Noto Sans" w:eastAsiaTheme="minorHAnsi" w:hAnsi="Noto Sans" w:cs="Noto Sans"/>
          <w:sz w:val="22"/>
        </w:rPr>
        <w:t>DataMatrix</w:t>
      </w:r>
      <w:proofErr w:type="spellEnd"/>
      <w:r w:rsidRPr="005A2A2F">
        <w:rPr>
          <w:rFonts w:ascii="Noto Sans" w:eastAsiaTheme="minorHAnsi" w:hAnsi="Noto Sans" w:cs="Noto Sans"/>
          <w:sz w:val="22"/>
        </w:rPr>
        <w:t xml:space="preserve"> codes to meet the seriali</w:t>
      </w:r>
      <w:r w:rsidR="00274F25">
        <w:rPr>
          <w:rFonts w:ascii="Noto Sans" w:eastAsiaTheme="minorHAnsi" w:hAnsi="Noto Sans" w:cs="Noto Sans"/>
          <w:sz w:val="22"/>
        </w:rPr>
        <w:t>z</w:t>
      </w:r>
      <w:r w:rsidRPr="005A2A2F">
        <w:rPr>
          <w:rFonts w:ascii="Noto Sans" w:eastAsiaTheme="minorHAnsi" w:hAnsi="Noto Sans" w:cs="Noto Sans"/>
          <w:sz w:val="22"/>
        </w:rPr>
        <w:t xml:space="preserve">ation and track-and-trace requirements of both the EU’s Falsified Medicines Directive (FMD) and the US Drug Supply Chain Security Act (DSCSA). </w:t>
      </w:r>
    </w:p>
    <w:p w14:paraId="1788EEE6" w14:textId="0403B656" w:rsidR="005A2A2F" w:rsidRPr="005A2A2F" w:rsidRDefault="005A2A2F" w:rsidP="005A2A2F">
      <w:pPr>
        <w:spacing w:after="160" w:line="276" w:lineRule="auto"/>
        <w:jc w:val="both"/>
        <w:rPr>
          <w:rFonts w:ascii="Noto Sans" w:eastAsiaTheme="minorHAnsi" w:hAnsi="Noto Sans" w:cs="Noto Sans"/>
          <w:sz w:val="22"/>
        </w:rPr>
      </w:pPr>
      <w:r w:rsidRPr="005A2A2F">
        <w:rPr>
          <w:rFonts w:ascii="Noto Sans" w:eastAsiaTheme="minorHAnsi" w:hAnsi="Noto Sans" w:cs="Noto Sans"/>
          <w:sz w:val="22"/>
        </w:rPr>
        <w:t xml:space="preserve">While pharmaceutical products already carry much of the same information a DPP should include, there are very notable differences. Pharma product information is built for regulators rather than patients. Medicines are prescribed rather than chosen off the shelf, removing the need for product comparison information for consumers. And, of course, unlike the other product groups that require the DPP to provide recycling </w:t>
      </w:r>
      <w:r w:rsidRPr="005A2A2F">
        <w:rPr>
          <w:rFonts w:ascii="Noto Sans" w:eastAsiaTheme="minorHAnsi" w:hAnsi="Noto Sans" w:cs="Noto Sans"/>
          <w:sz w:val="22"/>
        </w:rPr>
        <w:lastRenderedPageBreak/>
        <w:t xml:space="preserve">information, many pharmaceutical products cannot be recycled at standard public facilities – either kerbside or local </w:t>
      </w:r>
      <w:proofErr w:type="spellStart"/>
      <w:r w:rsidRPr="005A2A2F">
        <w:rPr>
          <w:rFonts w:ascii="Noto Sans" w:eastAsiaTheme="minorHAnsi" w:hAnsi="Noto Sans" w:cs="Noto Sans"/>
          <w:sz w:val="22"/>
        </w:rPr>
        <w:t>cent</w:t>
      </w:r>
      <w:r w:rsidR="00274F25">
        <w:rPr>
          <w:rFonts w:ascii="Noto Sans" w:eastAsiaTheme="minorHAnsi" w:hAnsi="Noto Sans" w:cs="Noto Sans"/>
          <w:sz w:val="22"/>
        </w:rPr>
        <w:t>e</w:t>
      </w:r>
      <w:r w:rsidRPr="005A2A2F">
        <w:rPr>
          <w:rFonts w:ascii="Noto Sans" w:eastAsiaTheme="minorHAnsi" w:hAnsi="Noto Sans" w:cs="Noto Sans"/>
          <w:sz w:val="22"/>
        </w:rPr>
        <w:t>rs</w:t>
      </w:r>
      <w:proofErr w:type="spellEnd"/>
      <w:r w:rsidRPr="005A2A2F">
        <w:rPr>
          <w:rFonts w:ascii="Noto Sans" w:eastAsiaTheme="minorHAnsi" w:hAnsi="Noto Sans" w:cs="Noto Sans"/>
          <w:sz w:val="22"/>
        </w:rPr>
        <w:t>.</w:t>
      </w:r>
    </w:p>
    <w:p w14:paraId="7B419F27" w14:textId="77777777" w:rsidR="005A2A2F" w:rsidRPr="005A2A2F" w:rsidRDefault="005A2A2F" w:rsidP="005A2A2F">
      <w:pPr>
        <w:spacing w:after="160" w:line="276" w:lineRule="auto"/>
        <w:jc w:val="both"/>
        <w:rPr>
          <w:rFonts w:ascii="Noto Sans" w:eastAsiaTheme="minorHAnsi" w:hAnsi="Noto Sans" w:cs="Noto Sans"/>
          <w:sz w:val="22"/>
        </w:rPr>
      </w:pPr>
      <w:r w:rsidRPr="005A2A2F">
        <w:rPr>
          <w:rFonts w:ascii="Noto Sans" w:eastAsiaTheme="minorHAnsi" w:hAnsi="Noto Sans" w:cs="Noto Sans"/>
          <w:sz w:val="22"/>
        </w:rPr>
        <w:t xml:space="preserve">Regulatory demands aside, there are compelling reasons why pharmaceutical manufacturers should consider the value of building on the existing GS1 </w:t>
      </w:r>
      <w:proofErr w:type="spellStart"/>
      <w:r w:rsidRPr="005A2A2F">
        <w:rPr>
          <w:rFonts w:ascii="Noto Sans" w:eastAsiaTheme="minorHAnsi" w:hAnsi="Noto Sans" w:cs="Noto Sans"/>
          <w:sz w:val="22"/>
        </w:rPr>
        <w:t>DataMatrix</w:t>
      </w:r>
      <w:proofErr w:type="spellEnd"/>
      <w:r w:rsidRPr="005A2A2F">
        <w:rPr>
          <w:rFonts w:ascii="Noto Sans" w:eastAsiaTheme="minorHAnsi" w:hAnsi="Noto Sans" w:cs="Noto Sans"/>
          <w:sz w:val="22"/>
        </w:rPr>
        <w:t xml:space="preserve"> to adopt a DPP-style code. Indeed, while the </w:t>
      </w:r>
      <w:r w:rsidRPr="005A2A2F">
        <w:rPr>
          <w:rFonts w:ascii="Noto Sans" w:eastAsia="Times New Roman" w:hAnsi="Noto Sans" w:cs="Noto Sans"/>
          <w:sz w:val="22"/>
          <w:lang w:eastAsia="en-GB"/>
        </w:rPr>
        <w:t xml:space="preserve">GS1 </w:t>
      </w:r>
      <w:proofErr w:type="spellStart"/>
      <w:r w:rsidRPr="005A2A2F">
        <w:rPr>
          <w:rFonts w:ascii="Noto Sans" w:eastAsia="Times New Roman" w:hAnsi="Noto Sans" w:cs="Noto Sans"/>
          <w:sz w:val="22"/>
          <w:lang w:eastAsia="en-GB"/>
        </w:rPr>
        <w:t>DataMatrix</w:t>
      </w:r>
      <w:proofErr w:type="spellEnd"/>
      <w:r w:rsidRPr="005A2A2F">
        <w:rPr>
          <w:rFonts w:ascii="Noto Sans" w:eastAsia="Times New Roman" w:hAnsi="Noto Sans" w:cs="Noto Sans"/>
          <w:sz w:val="22"/>
          <w:lang w:eastAsia="en-GB"/>
        </w:rPr>
        <w:t xml:space="preserve"> on pharma packs is not created in line with the GS1 Digital Link standard, which means the 2D codes cannot be automatically scanned by smartphones to provide consumer communication, a recent collaboration between </w:t>
      </w:r>
      <w:hyperlink r:id="rId10" w:history="1">
        <w:r w:rsidRPr="005A2A2F">
          <w:rPr>
            <w:rFonts w:ascii="Noto Sans" w:eastAsia="Times New Roman" w:hAnsi="Noto Sans" w:cs="Noto Sans"/>
            <w:color w:val="0563C1" w:themeColor="hyperlink"/>
            <w:sz w:val="22"/>
            <w:u w:val="single"/>
            <w:lang w:eastAsia="en-GB"/>
          </w:rPr>
          <w:t>GS1 and Google</w:t>
        </w:r>
      </w:hyperlink>
      <w:r w:rsidRPr="005A2A2F">
        <w:rPr>
          <w:rFonts w:ascii="Noto Sans" w:eastAsiaTheme="minorHAnsi" w:hAnsi="Noto Sans" w:cs="Noto Sans"/>
          <w:sz w:val="22"/>
        </w:rPr>
        <w:t xml:space="preserve"> is looking to enable </w:t>
      </w:r>
      <w:r w:rsidRPr="005A2A2F">
        <w:rPr>
          <w:rFonts w:ascii="Noto Sans" w:eastAsia="Times New Roman" w:hAnsi="Noto Sans" w:cs="Noto Sans"/>
          <w:sz w:val="22"/>
          <w:lang w:eastAsia="en-GB"/>
        </w:rPr>
        <w:t>consumers to use Google Lens to scan medicine packs directly. With GS1 continuing to work with manufacturers to extend the pharma-to-consumer reach, the foundation is in place for extending communication to enhance consumer understanding.</w:t>
      </w:r>
    </w:p>
    <w:p w14:paraId="1F83A4D0" w14:textId="77777777" w:rsidR="005A2A2F" w:rsidRPr="005A2A2F" w:rsidRDefault="005A2A2F" w:rsidP="005A2A2F">
      <w:pPr>
        <w:spacing w:after="160" w:line="276" w:lineRule="auto"/>
        <w:jc w:val="both"/>
        <w:rPr>
          <w:rFonts w:ascii="Noto Sans" w:eastAsiaTheme="minorHAnsi" w:hAnsi="Noto Sans" w:cs="Noto Sans"/>
          <w:b/>
          <w:bCs/>
          <w:sz w:val="22"/>
        </w:rPr>
      </w:pPr>
      <w:r w:rsidRPr="005A2A2F">
        <w:rPr>
          <w:rFonts w:ascii="Noto Sans" w:eastAsiaTheme="minorHAnsi" w:hAnsi="Noto Sans" w:cs="Noto Sans"/>
          <w:b/>
          <w:bCs/>
          <w:sz w:val="22"/>
        </w:rPr>
        <w:t xml:space="preserve">Transforming pharmaceutical disposal and recycling </w:t>
      </w:r>
    </w:p>
    <w:p w14:paraId="18568CF7"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The industry has a chance to play a pivotal role in reducing pharmaceutical product waste. According to the World Health Organization (WHO), </w:t>
      </w:r>
      <w:hyperlink r:id="rId11" w:history="1">
        <w:r w:rsidRPr="005A2A2F">
          <w:rPr>
            <w:rFonts w:ascii="Noto Sans" w:eastAsia="Times New Roman" w:hAnsi="Noto Sans" w:cs="Noto Sans"/>
            <w:color w:val="0563C1" w:themeColor="hyperlink"/>
            <w:sz w:val="22"/>
            <w:u w:val="single"/>
            <w:lang w:eastAsia="en-GB"/>
          </w:rPr>
          <w:t>85% of the waste</w:t>
        </w:r>
      </w:hyperlink>
      <w:r w:rsidRPr="005A2A2F">
        <w:rPr>
          <w:rFonts w:ascii="Noto Sans" w:eastAsia="Times New Roman" w:hAnsi="Noto Sans" w:cs="Noto Sans"/>
          <w:sz w:val="22"/>
          <w:lang w:eastAsia="en-GB"/>
        </w:rPr>
        <w:t xml:space="preserve"> generated by healthcare activities is general, non-hazardous waste – yet much still ends up in landfill. The balance between recyclability and safeguarding medicine is challenging but with an estimated </w:t>
      </w:r>
      <w:hyperlink r:id="rId12" w:history="1">
        <w:r w:rsidRPr="005A2A2F">
          <w:rPr>
            <w:rFonts w:ascii="Noto Sans" w:eastAsia="Times New Roman" w:hAnsi="Noto Sans" w:cs="Noto Sans"/>
            <w:color w:val="0563C1" w:themeColor="hyperlink"/>
            <w:sz w:val="22"/>
            <w:u w:val="single"/>
            <w:lang w:eastAsia="en-GB"/>
          </w:rPr>
          <w:t>150 million blister packs</w:t>
        </w:r>
      </w:hyperlink>
      <w:r w:rsidRPr="005A2A2F">
        <w:rPr>
          <w:rFonts w:ascii="Noto Sans" w:eastAsia="Times New Roman" w:hAnsi="Noto Sans" w:cs="Noto Sans"/>
          <w:sz w:val="22"/>
          <w:lang w:eastAsia="en-GB"/>
        </w:rPr>
        <w:t xml:space="preserve"> used by the NHS alone every year in the UK, the environmental footprint is a cause for concern.</w:t>
      </w:r>
    </w:p>
    <w:p w14:paraId="4B6AAB8F"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It is even more critical to address the safe disposal of enormous quantities of unused medication. Pharmaceutical consumption continues to increase </w:t>
      </w:r>
      <w:hyperlink r:id="rId13" w:history="1">
        <w:r w:rsidRPr="005A2A2F">
          <w:rPr>
            <w:rFonts w:ascii="Noto Sans" w:eastAsia="Times New Roman" w:hAnsi="Noto Sans" w:cs="Noto Sans"/>
            <w:color w:val="0563C1" w:themeColor="hyperlink"/>
            <w:sz w:val="22"/>
            <w:u w:val="single"/>
            <w:lang w:eastAsia="en-GB"/>
          </w:rPr>
          <w:t>year on year</w:t>
        </w:r>
      </w:hyperlink>
      <w:r w:rsidRPr="005A2A2F">
        <w:rPr>
          <w:rFonts w:ascii="Noto Sans" w:eastAsia="Times New Roman" w:hAnsi="Noto Sans" w:cs="Noto Sans"/>
          <w:sz w:val="22"/>
          <w:lang w:eastAsia="en-GB"/>
        </w:rPr>
        <w:t xml:space="preserve">, despite concerted efforts to </w:t>
      </w:r>
      <w:hyperlink r:id="rId14" w:history="1">
        <w:r w:rsidRPr="005A2A2F">
          <w:rPr>
            <w:rFonts w:ascii="Noto Sans" w:eastAsia="Times New Roman" w:hAnsi="Noto Sans" w:cs="Noto Sans"/>
            <w:color w:val="0563C1" w:themeColor="hyperlink"/>
            <w:sz w:val="22"/>
            <w:u w:val="single"/>
            <w:lang w:eastAsia="en-GB"/>
          </w:rPr>
          <w:t>reduce over-prescribing</w:t>
        </w:r>
      </w:hyperlink>
      <w:r w:rsidRPr="005A2A2F">
        <w:rPr>
          <w:rFonts w:ascii="Noto Sans" w:eastAsia="Times New Roman" w:hAnsi="Noto Sans" w:cs="Noto Sans"/>
          <w:sz w:val="22"/>
          <w:lang w:eastAsia="en-GB"/>
        </w:rPr>
        <w:t xml:space="preserve">. While unnecessary production and transport add to CO2 emissions, the biggest concern is how individuals are disposing of the high proportion of prescription medicines that are unused after being dispensed. In the UK, </w:t>
      </w:r>
      <w:hyperlink r:id="rId15" w:history="1">
        <w:r w:rsidRPr="005A2A2F">
          <w:rPr>
            <w:rFonts w:ascii="Noto Sans" w:eastAsia="Times New Roman" w:hAnsi="Noto Sans" w:cs="Noto Sans"/>
            <w:color w:val="0563C1" w:themeColor="hyperlink"/>
            <w:sz w:val="22"/>
            <w:u w:val="single"/>
            <w:lang w:eastAsia="en-GB"/>
          </w:rPr>
          <w:t>40% of people</w:t>
        </w:r>
      </w:hyperlink>
      <w:r w:rsidRPr="005A2A2F">
        <w:rPr>
          <w:rFonts w:ascii="Noto Sans" w:eastAsia="Times New Roman" w:hAnsi="Noto Sans" w:cs="Noto Sans"/>
          <w:sz w:val="22"/>
          <w:lang w:eastAsia="en-GB"/>
        </w:rPr>
        <w:t xml:space="preserve"> admit to throwing unused prescription medicines into general household waste, which, along with other </w:t>
      </w:r>
      <w:hyperlink r:id="rId16" w:history="1">
        <w:r w:rsidRPr="005A2A2F">
          <w:rPr>
            <w:rFonts w:ascii="Noto Sans" w:eastAsia="Times New Roman" w:hAnsi="Noto Sans" w:cs="Noto Sans"/>
            <w:color w:val="0563C1" w:themeColor="hyperlink"/>
            <w:sz w:val="22"/>
            <w:u w:val="single"/>
            <w:lang w:eastAsia="en-GB"/>
          </w:rPr>
          <w:t>incorrect disposal methods</w:t>
        </w:r>
      </w:hyperlink>
      <w:r w:rsidRPr="005A2A2F">
        <w:rPr>
          <w:rFonts w:ascii="Noto Sans" w:eastAsia="Times New Roman" w:hAnsi="Noto Sans" w:cs="Noto Sans"/>
          <w:sz w:val="22"/>
          <w:lang w:eastAsia="en-GB"/>
        </w:rPr>
        <w:t xml:space="preserve"> – including flushing down the toilet – contributes to pollution in waterways, coastlines, and ecosystems.  </w:t>
      </w:r>
    </w:p>
    <w:p w14:paraId="56445FE5" w14:textId="6FBA7499"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Lack of knowledge is a big problem that could be addressed with DPP-style codes. Raising awareness of the risks associated with healthcare waste and helping individuals with information about how to safely dispose of unwanted medicines and empty packaging – such as a link to the nearest blister pack recycling point – could make a very significant difference. Using existing </w:t>
      </w:r>
      <w:proofErr w:type="gramStart"/>
      <w:r w:rsidRPr="005A2A2F">
        <w:rPr>
          <w:rFonts w:ascii="Noto Sans" w:eastAsia="Times New Roman" w:hAnsi="Noto Sans" w:cs="Noto Sans"/>
          <w:sz w:val="22"/>
          <w:lang w:eastAsia="en-GB"/>
        </w:rPr>
        <w:t>on-product</w:t>
      </w:r>
      <w:proofErr w:type="gramEnd"/>
      <w:r w:rsidRPr="005A2A2F">
        <w:rPr>
          <w:rFonts w:ascii="Noto Sans" w:eastAsia="Times New Roman" w:hAnsi="Noto Sans" w:cs="Noto Sans"/>
          <w:sz w:val="22"/>
          <w:lang w:eastAsia="en-GB"/>
        </w:rPr>
        <w:t xml:space="preserve"> 2D codes to provide information about safe product disposal and packaging recycling would boost customer confidence while also reducing the risk to waterways and minimi</w:t>
      </w:r>
      <w:r w:rsidR="00274F25">
        <w:rPr>
          <w:rFonts w:ascii="Noto Sans" w:eastAsia="Times New Roman" w:hAnsi="Noto Sans" w:cs="Noto Sans"/>
          <w:sz w:val="22"/>
          <w:lang w:eastAsia="en-GB"/>
        </w:rPr>
        <w:t>z</w:t>
      </w:r>
      <w:r w:rsidRPr="005A2A2F">
        <w:rPr>
          <w:rFonts w:ascii="Noto Sans" w:eastAsia="Times New Roman" w:hAnsi="Noto Sans" w:cs="Noto Sans"/>
          <w:sz w:val="22"/>
          <w:lang w:eastAsia="en-GB"/>
        </w:rPr>
        <w:t>ing CO2 emissions.</w:t>
      </w:r>
    </w:p>
    <w:p w14:paraId="181FB0F5" w14:textId="77777777" w:rsidR="005A2A2F" w:rsidRPr="005A2A2F" w:rsidRDefault="005A2A2F" w:rsidP="005A2A2F">
      <w:pPr>
        <w:spacing w:before="120" w:after="120" w:line="276" w:lineRule="auto"/>
        <w:jc w:val="both"/>
        <w:rPr>
          <w:rFonts w:ascii="Noto Sans" w:eastAsia="Times New Roman" w:hAnsi="Noto Sans" w:cs="Noto Sans"/>
          <w:b/>
          <w:bCs/>
          <w:sz w:val="22"/>
          <w:lang w:eastAsia="en-GB"/>
        </w:rPr>
      </w:pPr>
      <w:r w:rsidRPr="005A2A2F">
        <w:rPr>
          <w:rFonts w:ascii="Noto Sans" w:eastAsia="Times New Roman" w:hAnsi="Noto Sans" w:cs="Noto Sans"/>
          <w:b/>
          <w:bCs/>
          <w:sz w:val="22"/>
          <w:lang w:eastAsia="en-GB"/>
        </w:rPr>
        <w:lastRenderedPageBreak/>
        <w:t>Acknowledging pharma fears</w:t>
      </w:r>
    </w:p>
    <w:p w14:paraId="12D4558A" w14:textId="363EC27F"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There are a number of legitimate concerns for pharmaceutical manufacturers considering the use of 2D codes to provide consumer information – not least the prohibition of </w:t>
      </w:r>
      <w:hyperlink r:id="rId17" w:history="1">
        <w:r w:rsidRPr="005A2A2F">
          <w:rPr>
            <w:rFonts w:ascii="Noto Sans" w:eastAsia="Times New Roman" w:hAnsi="Noto Sans" w:cs="Noto Sans"/>
            <w:color w:val="0563C1" w:themeColor="hyperlink"/>
            <w:sz w:val="22"/>
            <w:u w:val="single"/>
            <w:lang w:eastAsia="en-GB"/>
          </w:rPr>
          <w:t>direct-to-consumer advertising</w:t>
        </w:r>
      </w:hyperlink>
      <w:r w:rsidRPr="005A2A2F">
        <w:rPr>
          <w:rFonts w:ascii="Noto Sans" w:eastAsia="Times New Roman" w:hAnsi="Noto Sans" w:cs="Noto Sans"/>
          <w:sz w:val="22"/>
          <w:lang w:eastAsia="en-GB"/>
        </w:rPr>
        <w:t xml:space="preserve"> in most countries outside the US and New Zealand. Any patient-facing DPP-style code would have to be closely scrutini</w:t>
      </w:r>
      <w:r w:rsidR="00274F25">
        <w:rPr>
          <w:rFonts w:ascii="Noto Sans" w:eastAsia="Times New Roman" w:hAnsi="Noto Sans" w:cs="Noto Sans"/>
          <w:sz w:val="22"/>
          <w:lang w:eastAsia="en-GB"/>
        </w:rPr>
        <w:t>z</w:t>
      </w:r>
      <w:r w:rsidRPr="005A2A2F">
        <w:rPr>
          <w:rFonts w:ascii="Noto Sans" w:eastAsia="Times New Roman" w:hAnsi="Noto Sans" w:cs="Noto Sans"/>
          <w:sz w:val="22"/>
          <w:lang w:eastAsia="en-GB"/>
        </w:rPr>
        <w:t>ed to ensure it could not be deemed promotional in any way.</w:t>
      </w:r>
    </w:p>
    <w:p w14:paraId="76E23AE3"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Pharmaceutical manufacturers and medical practitioners also share fears about patients accessing clinical data out of context. With detailed product information written for clinicians and regulators, not patients, manufacturers could also fall foul of the EU non-direct-to-consumer advertising rules that specifically call out the risk of ‘erroneous self-diagnosis’.</w:t>
      </w:r>
    </w:p>
    <w:p w14:paraId="5FFA19AA"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However, there are compelling opportunities to leverage transparency to improve health equality and better manage the distribution of medicines, including unused items. Provision of </w:t>
      </w:r>
      <w:proofErr w:type="spellStart"/>
      <w:r w:rsidRPr="005A2A2F">
        <w:rPr>
          <w:rFonts w:ascii="Noto Sans" w:eastAsia="Times New Roman" w:hAnsi="Noto Sans" w:cs="Noto Sans"/>
          <w:sz w:val="22"/>
          <w:lang w:eastAsia="en-GB"/>
        </w:rPr>
        <w:t>ePILs</w:t>
      </w:r>
      <w:proofErr w:type="spellEnd"/>
      <w:r w:rsidRPr="005A2A2F">
        <w:rPr>
          <w:rFonts w:ascii="Noto Sans" w:eastAsia="Times New Roman" w:hAnsi="Noto Sans" w:cs="Noto Sans"/>
          <w:sz w:val="22"/>
          <w:lang w:eastAsia="en-GB"/>
        </w:rPr>
        <w:t xml:space="preserve"> and support for prescription management to avoid over-ordering are key objectives to reduce waste. There are also a number of projects looking to reconsider the automatic destruction of expired and unwanted medicines – including an initiative in Germany to </w:t>
      </w:r>
      <w:hyperlink r:id="rId18" w:history="1">
        <w:r w:rsidRPr="005A2A2F">
          <w:rPr>
            <w:rFonts w:ascii="Noto Sans" w:eastAsia="Times New Roman" w:hAnsi="Noto Sans" w:cs="Noto Sans"/>
            <w:color w:val="0563C1" w:themeColor="hyperlink"/>
            <w:sz w:val="22"/>
            <w:u w:val="single"/>
            <w:lang w:eastAsia="en-GB"/>
          </w:rPr>
          <w:t>recover compounds</w:t>
        </w:r>
      </w:hyperlink>
      <w:r w:rsidRPr="005A2A2F">
        <w:rPr>
          <w:rFonts w:ascii="Noto Sans" w:eastAsia="Times New Roman" w:hAnsi="Noto Sans" w:cs="Noto Sans"/>
          <w:sz w:val="22"/>
          <w:lang w:eastAsia="en-GB"/>
        </w:rPr>
        <w:t xml:space="preserve"> and a project in Greece to </w:t>
      </w:r>
      <w:hyperlink r:id="rId19" w:history="1">
        <w:r w:rsidRPr="005A2A2F">
          <w:rPr>
            <w:rFonts w:ascii="Noto Sans" w:eastAsia="Times New Roman" w:hAnsi="Noto Sans" w:cs="Noto Sans"/>
            <w:color w:val="0563C1" w:themeColor="hyperlink"/>
            <w:sz w:val="22"/>
            <w:u w:val="single"/>
            <w:lang w:eastAsia="en-GB"/>
          </w:rPr>
          <w:t>redistribute medicines</w:t>
        </w:r>
      </w:hyperlink>
      <w:r w:rsidRPr="005A2A2F">
        <w:rPr>
          <w:rFonts w:ascii="Noto Sans" w:eastAsia="Times New Roman" w:hAnsi="Noto Sans" w:cs="Noto Sans"/>
          <w:sz w:val="22"/>
          <w:lang w:eastAsia="en-GB"/>
        </w:rPr>
        <w:t xml:space="preserve"> to people who would otherwise not be able to afford treatment. Working in tandem with the existing strict chain of custody and anti-tamper seals to prevent reuse once opened, 2D codes could be used to ensure products are genuine and safe to use before redistribution or recovery activity.</w:t>
      </w:r>
    </w:p>
    <w:p w14:paraId="18B76AB3" w14:textId="77777777" w:rsidR="005A2A2F" w:rsidRPr="005A2A2F" w:rsidRDefault="005A2A2F" w:rsidP="005A2A2F">
      <w:pPr>
        <w:spacing w:before="120" w:after="120" w:line="276" w:lineRule="auto"/>
        <w:jc w:val="both"/>
        <w:rPr>
          <w:rFonts w:ascii="Noto Sans" w:eastAsia="Times New Roman" w:hAnsi="Noto Sans" w:cs="Noto Sans"/>
          <w:b/>
          <w:bCs/>
          <w:sz w:val="22"/>
          <w:lang w:eastAsia="en-GB"/>
        </w:rPr>
      </w:pPr>
      <w:r w:rsidRPr="005A2A2F">
        <w:rPr>
          <w:rFonts w:ascii="Noto Sans" w:eastAsia="Times New Roman" w:hAnsi="Noto Sans" w:cs="Noto Sans"/>
          <w:b/>
          <w:bCs/>
          <w:sz w:val="22"/>
          <w:lang w:eastAsia="en-GB"/>
        </w:rPr>
        <w:t>Conclusion: Barcodes are communicating with consumers</w:t>
      </w:r>
    </w:p>
    <w:p w14:paraId="4F8503A2"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For pharmaceutical companies, while DPP is not a regulatory requirement, there is a powerful opportunity to evolve the current 2D codes already found on billions of medicines to provide i</w:t>
      </w:r>
      <w:r w:rsidRPr="005A2A2F">
        <w:rPr>
          <w:rFonts w:ascii="Noto Sans" w:eastAsiaTheme="minorHAnsi" w:hAnsi="Noto Sans" w:cs="Noto Sans"/>
          <w:sz w:val="22"/>
        </w:rPr>
        <w:t xml:space="preserve">nformation not only to regulators, manufacturers, and healthcare practitioners but also patients. The provision of </w:t>
      </w:r>
      <w:proofErr w:type="spellStart"/>
      <w:r w:rsidRPr="005A2A2F">
        <w:rPr>
          <w:rFonts w:ascii="Noto Sans" w:eastAsiaTheme="minorHAnsi" w:hAnsi="Noto Sans" w:cs="Noto Sans"/>
          <w:sz w:val="22"/>
        </w:rPr>
        <w:t>e</w:t>
      </w:r>
      <w:r w:rsidRPr="005A2A2F">
        <w:rPr>
          <w:rFonts w:ascii="Noto Sans" w:eastAsia="Times New Roman" w:hAnsi="Noto Sans" w:cs="Noto Sans"/>
          <w:sz w:val="22"/>
          <w:lang w:eastAsia="en-GB"/>
        </w:rPr>
        <w:t>PILs</w:t>
      </w:r>
      <w:proofErr w:type="spellEnd"/>
      <w:r w:rsidRPr="005A2A2F">
        <w:rPr>
          <w:rFonts w:ascii="Noto Sans" w:eastAsia="Times New Roman" w:hAnsi="Noto Sans" w:cs="Noto Sans"/>
          <w:sz w:val="22"/>
          <w:lang w:eastAsia="en-GB"/>
        </w:rPr>
        <w:t xml:space="preserve"> promises to drastically reduce the need for printed leaflets. Recycling and disposal information could help consumers to understand how best to manage both used and unused medicines, reducing the risk of environmental pollution. Up-to-date information could help patients to manage their prescriptions and avoid the over-ordering that contributes to excessive drug production. And enhanced traceability could support effective and safe disposal and reuse of medicine. </w:t>
      </w:r>
    </w:p>
    <w:p w14:paraId="3CE936F1" w14:textId="3C5378E3" w:rsidR="005A2A2F" w:rsidRPr="005A2A2F" w:rsidRDefault="005A2A2F" w:rsidP="005A2A2F">
      <w:pPr>
        <w:spacing w:after="16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Pharmaceutical manufacturers are currently not required to provide DPPs but with the support of innovation such as the GS1 program, the provision of a DPP-equivalent is </w:t>
      </w:r>
      <w:r w:rsidRPr="005A2A2F">
        <w:rPr>
          <w:rFonts w:ascii="Noto Sans" w:eastAsia="Times New Roman" w:hAnsi="Noto Sans" w:cs="Noto Sans"/>
          <w:sz w:val="22"/>
          <w:lang w:eastAsia="en-GB"/>
        </w:rPr>
        <w:lastRenderedPageBreak/>
        <w:t xml:space="preserve">expected to become increasingly important in </w:t>
      </w:r>
      <w:hyperlink r:id="rId20" w:history="1">
        <w:r w:rsidRPr="005A2A2F">
          <w:rPr>
            <w:rStyle w:val="Hyperlink"/>
            <w:rFonts w:ascii="Noto Sans" w:eastAsia="Times New Roman" w:hAnsi="Noto Sans" w:cs="Noto Sans"/>
            <w:sz w:val="22"/>
            <w:lang w:eastAsia="en-GB"/>
          </w:rPr>
          <w:t>supporting future regulatory and market requirements</w:t>
        </w:r>
      </w:hyperlink>
      <w:r w:rsidRPr="005A2A2F">
        <w:rPr>
          <w:rFonts w:ascii="Noto Sans" w:eastAsia="Times New Roman" w:hAnsi="Noto Sans" w:cs="Noto Sans"/>
          <w:sz w:val="22"/>
          <w:lang w:eastAsia="en-GB"/>
        </w:rPr>
        <w:t>.</w:t>
      </w:r>
    </w:p>
    <w:p w14:paraId="63E96F8E" w14:textId="77777777" w:rsidR="005A2A2F" w:rsidRDefault="005A2A2F" w:rsidP="005A2A2F">
      <w:pPr>
        <w:spacing w:before="120" w:after="120" w:line="276" w:lineRule="auto"/>
        <w:jc w:val="both"/>
        <w:rPr>
          <w:rFonts w:ascii="Noto Sans" w:eastAsiaTheme="minorHAnsi" w:hAnsi="Noto Sans" w:cs="Noto Sans"/>
          <w:sz w:val="22"/>
        </w:rPr>
      </w:pPr>
    </w:p>
    <w:p w14:paraId="1DC4B782" w14:textId="4161E70B" w:rsidR="005A2A2F" w:rsidRDefault="005A2A2F" w:rsidP="005A2A2F">
      <w:pPr>
        <w:spacing w:before="120" w:after="120" w:line="276" w:lineRule="auto"/>
        <w:jc w:val="both"/>
        <w:rPr>
          <w:rFonts w:ascii="Noto Sans" w:eastAsiaTheme="minorHAnsi" w:hAnsi="Noto Sans" w:cs="Noto Sans"/>
          <w:sz w:val="22"/>
        </w:rPr>
      </w:pPr>
      <w:r>
        <w:rPr>
          <w:rFonts w:ascii="Noto Sans" w:eastAsiaTheme="minorHAnsi" w:hAnsi="Noto Sans" w:cs="Noto Sans"/>
          <w:sz w:val="22"/>
        </w:rPr>
        <w:t>&lt;</w:t>
      </w:r>
      <w:r w:rsidRPr="005A2A2F">
        <w:rPr>
          <w:rFonts w:ascii="Noto Sans" w:eastAsiaTheme="minorHAnsi" w:hAnsi="Noto Sans" w:cs="Noto Sans"/>
          <w:b/>
          <w:bCs/>
          <w:sz w:val="22"/>
        </w:rPr>
        <w:t>ENDS</w:t>
      </w:r>
      <w:r>
        <w:rPr>
          <w:rFonts w:ascii="Noto Sans" w:eastAsiaTheme="minorHAnsi" w:hAnsi="Noto Sans" w:cs="Noto Sans"/>
          <w:sz w:val="22"/>
        </w:rPr>
        <w:t>&gt;</w:t>
      </w:r>
    </w:p>
    <w:p w14:paraId="32AD6755" w14:textId="77777777" w:rsidR="005A2A2F" w:rsidRDefault="005A2A2F" w:rsidP="005A2A2F">
      <w:pPr>
        <w:spacing w:line="240" w:lineRule="auto"/>
        <w:rPr>
          <w:rFonts w:ascii="Noto Sans" w:hAnsi="Noto Sans" w:cs="Noto Sans"/>
          <w:b/>
          <w:sz w:val="20"/>
          <w:szCs w:val="20"/>
        </w:rPr>
      </w:pPr>
      <w:bookmarkStart w:id="0" w:name="_Hlk531088985"/>
    </w:p>
    <w:p w14:paraId="28BF71C5" w14:textId="4E302952" w:rsidR="00264B6F" w:rsidRPr="00D949CC" w:rsidRDefault="00264B6F" w:rsidP="00264B6F">
      <w:pPr>
        <w:spacing w:line="240" w:lineRule="auto"/>
        <w:rPr>
          <w:rFonts w:ascii="Noto Sans" w:hAnsi="Noto Sans" w:cs="Noto Sans"/>
          <w:sz w:val="20"/>
          <w:szCs w:val="20"/>
        </w:rPr>
      </w:pPr>
      <w:bookmarkStart w:id="1" w:name="_Hlk46133219"/>
      <w:bookmarkEnd w:id="0"/>
      <w:r w:rsidRPr="00D949CC">
        <w:rPr>
          <w:rFonts w:ascii="Noto Sans" w:eastAsia="Gill Sans" w:hAnsi="Noto Sans" w:cs="Noto Sans"/>
          <w:b/>
          <w:sz w:val="20"/>
          <w:szCs w:val="20"/>
        </w:rPr>
        <w:t>Disclaimers</w:t>
      </w:r>
      <w:r w:rsidRPr="00D949CC">
        <w:rPr>
          <w:rFonts w:ascii="Noto Sans" w:eastAsia="Gill Sans" w:hAnsi="Noto Sans" w:cs="Noto Sans"/>
          <w:b/>
          <w:sz w:val="20"/>
          <w:szCs w:val="20"/>
        </w:rPr>
        <w:br/>
      </w:r>
      <w:r w:rsidRPr="00D949CC">
        <w:rPr>
          <w:rFonts w:ascii="Noto Sans" w:eastAsia="Gill Sans" w:hAnsi="Noto Sans" w:cs="Noto Sans"/>
          <w:sz w:val="20"/>
          <w:szCs w:val="20"/>
        </w:rPr>
        <w:br/>
      </w:r>
      <w:r w:rsidRPr="00B15664">
        <w:rPr>
          <w:rFonts w:ascii="Noto Sans" w:hAnsi="Noto Sans" w:cs="Noto Sans"/>
          <w:b/>
          <w:bCs/>
          <w:sz w:val="20"/>
          <w:szCs w:val="20"/>
        </w:rPr>
        <w:t>General</w:t>
      </w:r>
      <w:r w:rsidRPr="00B15664">
        <w:rPr>
          <w:rFonts w:ascii="Noto Sans" w:hAnsi="Noto Sans" w:cs="Noto Sans"/>
          <w:sz w:val="20"/>
          <w:szCs w:val="20"/>
        </w:rPr>
        <w:br/>
      </w:r>
      <w:r w:rsidRPr="00B15664">
        <w:rPr>
          <w:rStyle w:val="ui-provide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Pr="004729BC">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Pr>
          <w:rFonts w:ascii="Noto Sans" w:hAnsi="Noto Sans" w:cs="Noto Sans"/>
          <w:sz w:val="20"/>
          <w:szCs w:val="20"/>
        </w:rPr>
        <w:t>.</w:t>
      </w:r>
      <w:r>
        <w:rPr>
          <w:rFonts w:ascii="Noto Sans" w:hAnsi="Noto Sans" w:cs="Noto Sans"/>
          <w:sz w:val="20"/>
          <w:szCs w:val="20"/>
        </w:rPr>
        <w:br/>
      </w:r>
      <w:r w:rsidRPr="00D949CC">
        <w:rPr>
          <w:rFonts w:ascii="Noto Sans" w:hAnsi="Noto Sans" w:cs="Noto Sans"/>
          <w:sz w:val="20"/>
          <w:szCs w:val="20"/>
        </w:rPr>
        <w:br/>
      </w:r>
      <w:r w:rsidRPr="00D949CC">
        <w:rPr>
          <w:rFonts w:ascii="Noto Sans" w:hAnsi="Noto Sans" w:cs="Noto Sans"/>
          <w:b/>
          <w:bCs/>
          <w:sz w:val="20"/>
          <w:szCs w:val="20"/>
        </w:rPr>
        <w:t>Imagery</w:t>
      </w:r>
      <w:r w:rsidRPr="00D949CC">
        <w:rPr>
          <w:rFonts w:ascii="Noto Sans" w:hAnsi="Noto Sans" w:cs="Noto Sans"/>
          <w:sz w:val="20"/>
          <w:szCs w:val="20"/>
        </w:rPr>
        <w:br/>
        <w:t xml:space="preserve">Images may include optional extras or upgrades. Print quality may differ depending on consumables, printer, substrates, and other factors. Images and photographs do not form any part of any terms and conditions between you and Domino. </w:t>
      </w:r>
      <w:r w:rsidRPr="00D949CC">
        <w:rPr>
          <w:rFonts w:ascii="Noto Sans" w:hAnsi="Noto Sans" w:cs="Noto Sans"/>
          <w:sz w:val="20"/>
          <w:szCs w:val="20"/>
        </w:rPr>
        <w:br/>
      </w:r>
      <w:r w:rsidRPr="00D949CC">
        <w:rPr>
          <w:rFonts w:ascii="Noto Sans" w:hAnsi="Noto Sans" w:cs="Noto Sans"/>
          <w:sz w:val="20"/>
          <w:szCs w:val="20"/>
        </w:rPr>
        <w:br/>
      </w:r>
      <w:bookmarkStart w:id="2" w:name="_Hlk61949672"/>
      <w:r w:rsidRPr="00D949CC">
        <w:rPr>
          <w:rFonts w:ascii="Noto Sans" w:eastAsia="Gill Sans" w:hAnsi="Noto Sans" w:cs="Noto Sans"/>
          <w:b/>
          <w:sz w:val="20"/>
          <w:szCs w:val="20"/>
        </w:rPr>
        <w:t>Notes to Editors:</w:t>
      </w:r>
      <w:r w:rsidRPr="00D949CC">
        <w:rPr>
          <w:rFonts w:ascii="Noto Sans" w:eastAsia="Gill Sans" w:hAnsi="Noto Sans" w:cs="Noto Sans"/>
          <w:b/>
          <w:sz w:val="20"/>
          <w:szCs w:val="20"/>
        </w:rPr>
        <w:br/>
      </w:r>
      <w:r w:rsidRPr="00D949CC">
        <w:rPr>
          <w:rFonts w:ascii="Noto Sans" w:eastAsia="Gill Sans" w:hAnsi="Noto Sans" w:cs="Noto Sans"/>
          <w:sz w:val="20"/>
          <w:szCs w:val="20"/>
        </w:rPr>
        <w:br/>
      </w:r>
      <w:r w:rsidRPr="00D949CC">
        <w:rPr>
          <w:rFonts w:ascii="Noto Sans" w:eastAsia="Gill Sans" w:hAnsi="Noto Sans" w:cs="Noto Sans"/>
          <w:b/>
          <w:sz w:val="20"/>
          <w:szCs w:val="20"/>
        </w:rPr>
        <w:t>About Domino</w:t>
      </w:r>
      <w:r w:rsidRPr="00D949CC">
        <w:rPr>
          <w:rFonts w:ascii="Noto Sans" w:eastAsia="Gill Sans" w:hAnsi="Noto Sans" w:cs="Noto Sans"/>
          <w:b/>
          <w:sz w:val="20"/>
          <w:szCs w:val="20"/>
        </w:rPr>
        <w:br/>
      </w:r>
      <w:r w:rsidRPr="00D949CC">
        <w:rPr>
          <w:rFonts w:ascii="Noto Sans" w:eastAsia="Gill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D949CC">
        <w:rPr>
          <w:rFonts w:ascii="Noto Sans" w:eastAsia="Gill Sans" w:hAnsi="Noto Sans" w:cs="Noto Sans"/>
          <w:sz w:val="20"/>
          <w:szCs w:val="20"/>
        </w:rPr>
        <w:br/>
      </w:r>
      <w:r w:rsidRPr="00D949CC">
        <w:rPr>
          <w:rFonts w:ascii="Noto Sans" w:eastAsia="Gill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D949CC">
        <w:rPr>
          <w:rFonts w:ascii="Noto Sans" w:eastAsia="Gill Sans" w:hAnsi="Noto Sans" w:cs="Noto Sans"/>
          <w:sz w:val="20"/>
          <w:szCs w:val="20"/>
        </w:rPr>
        <w:br/>
      </w:r>
      <w:r w:rsidRPr="00D949CC">
        <w:rPr>
          <w:rFonts w:ascii="Noto Sans" w:eastAsia="Gill Sans" w:hAnsi="Noto Sans" w:cs="Noto Sans"/>
          <w:sz w:val="20"/>
          <w:szCs w:val="20"/>
        </w:rPr>
        <w:br/>
        <w:t>Domino became an autonomous division within Brother Industries Ltd. on 11</w:t>
      </w:r>
      <w:r w:rsidRPr="00D949CC">
        <w:rPr>
          <w:rFonts w:ascii="Noto Sans" w:eastAsia="Gill Sans" w:hAnsi="Noto Sans" w:cs="Noto Sans"/>
          <w:sz w:val="20"/>
          <w:szCs w:val="20"/>
          <w:vertAlign w:val="superscript"/>
        </w:rPr>
        <w:t>th</w:t>
      </w:r>
      <w:r w:rsidRPr="00D949CC">
        <w:rPr>
          <w:rFonts w:ascii="Noto Sans" w:eastAsia="Gill Sans" w:hAnsi="Noto Sans" w:cs="Noto Sans"/>
          <w:sz w:val="20"/>
          <w:szCs w:val="20"/>
        </w:rPr>
        <w:t xml:space="preserve"> June 2015. </w:t>
      </w:r>
      <w:r w:rsidRPr="00D949CC">
        <w:rPr>
          <w:rFonts w:ascii="Noto Sans" w:eastAsia="Gill Sans" w:hAnsi="Noto Sans" w:cs="Noto Sans"/>
          <w:sz w:val="20"/>
          <w:szCs w:val="20"/>
        </w:rPr>
        <w:br/>
      </w:r>
      <w:r w:rsidRPr="00D949CC">
        <w:rPr>
          <w:rFonts w:ascii="Noto Sans" w:eastAsia="Gill Sans" w:hAnsi="Noto Sans" w:cs="Noto Sans"/>
          <w:sz w:val="20"/>
          <w:szCs w:val="20"/>
        </w:rPr>
        <w:br/>
      </w:r>
      <w:r w:rsidRPr="00D949CC">
        <w:rPr>
          <w:rFonts w:ascii="Noto Sans" w:eastAsia="Gill Sans" w:hAnsi="Noto Sans" w:cs="Noto Sans"/>
          <w:b/>
          <w:bCs/>
          <w:sz w:val="20"/>
          <w:szCs w:val="20"/>
        </w:rPr>
        <w:t>For further information on Domino</w:t>
      </w:r>
      <w:r w:rsidRPr="00D949CC">
        <w:rPr>
          <w:rFonts w:ascii="Noto Sans" w:eastAsia="Gill Sans" w:hAnsi="Noto Sans" w:cs="Noto Sans"/>
          <w:sz w:val="20"/>
          <w:szCs w:val="20"/>
        </w:rPr>
        <w:t xml:space="preserve">, please visit </w:t>
      </w:r>
      <w:hyperlink r:id="rId21">
        <w:r w:rsidRPr="00D949CC">
          <w:rPr>
            <w:rFonts w:ascii="Noto Sans" w:eastAsia="Gill Sans" w:hAnsi="Noto Sans" w:cs="Noto Sans"/>
            <w:sz w:val="20"/>
            <w:szCs w:val="20"/>
            <w:u w:val="single"/>
          </w:rPr>
          <w:t>www.domino-printing.com</w:t>
        </w:r>
      </w:hyperlink>
      <w:r w:rsidRPr="00D949CC">
        <w:rPr>
          <w:rFonts w:ascii="Noto Sans" w:eastAsia="Gill Sans" w:hAnsi="Noto Sans" w:cs="Noto Sans"/>
          <w:sz w:val="20"/>
          <w:szCs w:val="20"/>
        </w:rPr>
        <w:t xml:space="preserve"> </w:t>
      </w:r>
      <w:r w:rsidRPr="00D949CC">
        <w:rPr>
          <w:rFonts w:ascii="Noto Sans" w:eastAsia="Gill Sans" w:hAnsi="Noto Sans" w:cs="Noto Sans"/>
          <w:sz w:val="20"/>
          <w:szCs w:val="20"/>
        </w:rPr>
        <w:br/>
      </w:r>
      <w:r w:rsidRPr="00D949CC">
        <w:rPr>
          <w:rFonts w:ascii="Noto Sans" w:eastAsia="Gill Sans" w:hAnsi="Noto Sans" w:cs="Noto Sans"/>
          <w:sz w:val="20"/>
          <w:szCs w:val="20"/>
        </w:rPr>
        <w:br/>
      </w:r>
      <w:r w:rsidRPr="00D949CC">
        <w:rPr>
          <w:rFonts w:ascii="Noto Sans" w:eastAsia="Gill Sans" w:hAnsi="Noto Sans" w:cs="Noto Sans"/>
          <w:bCs/>
          <w:sz w:val="20"/>
          <w:szCs w:val="20"/>
        </w:rPr>
        <w:lastRenderedPageBreak/>
        <w:t>Or contact:</w:t>
      </w:r>
      <w:r w:rsidRPr="00D949CC">
        <w:rPr>
          <w:rFonts w:ascii="Noto Sans" w:eastAsia="Gill Sans" w:hAnsi="Noto Sans" w:cs="Noto Sans"/>
          <w:bCs/>
          <w:sz w:val="20"/>
          <w:szCs w:val="20"/>
        </w:rPr>
        <w:br/>
      </w:r>
      <w:r w:rsidRPr="00D949CC">
        <w:rPr>
          <w:rFonts w:ascii="Noto Sans" w:eastAsia="Gill Sans" w:hAnsi="Noto Sans" w:cs="Noto Sans"/>
          <w:b/>
          <w:sz w:val="20"/>
          <w:szCs w:val="20"/>
        </w:rPr>
        <w:br/>
      </w:r>
      <w:bookmarkEnd w:id="2"/>
      <w:r w:rsidRPr="00F4774E">
        <w:rPr>
          <w:rFonts w:ascii="Noto Sans" w:hAnsi="Noto Sans" w:cs="Noto Sans"/>
          <w:sz w:val="20"/>
          <w:szCs w:val="20"/>
          <w:lang w:val="nl"/>
        </w:rPr>
        <w:t>Jade Taylor-Salazar</w:t>
      </w:r>
      <w:r w:rsidRPr="00E06028">
        <w:rPr>
          <w:rFonts w:ascii="Noto Sans" w:hAnsi="Noto Sans" w:cs="Noto Sans"/>
          <w:sz w:val="20"/>
          <w:szCs w:val="20"/>
          <w:lang w:val="fr-FR"/>
        </w:rPr>
        <w:br/>
      </w:r>
      <w:r w:rsidRPr="00D949CC">
        <w:rPr>
          <w:rFonts w:ascii="Noto Sans" w:hAnsi="Noto Sans" w:cs="Noto Sans"/>
          <w:sz w:val="20"/>
          <w:szCs w:val="20"/>
        </w:rPr>
        <w:t xml:space="preserve">PR and Content Manager </w:t>
      </w:r>
      <w:r w:rsidRPr="00D949CC">
        <w:rPr>
          <w:rFonts w:ascii="Noto Sans" w:hAnsi="Noto Sans" w:cs="Noto Sans"/>
          <w:sz w:val="20"/>
          <w:szCs w:val="20"/>
        </w:rPr>
        <w:br/>
        <w:t xml:space="preserve">Domino Printing Sciences </w:t>
      </w:r>
      <w:r w:rsidRPr="00D949CC">
        <w:rPr>
          <w:rFonts w:ascii="Noto Sans" w:hAnsi="Noto Sans" w:cs="Noto Sans"/>
          <w:sz w:val="20"/>
          <w:szCs w:val="20"/>
        </w:rPr>
        <w:br/>
        <w:t>Tel: +44 (0) 1954 778780</w:t>
      </w:r>
      <w:r w:rsidRPr="00E06028">
        <w:rPr>
          <w:rFonts w:ascii="Noto Sans" w:hAnsi="Noto Sans" w:cs="Noto Sans"/>
          <w:sz w:val="20"/>
          <w:szCs w:val="20"/>
          <w:lang w:val="fr-FR"/>
        </w:rPr>
        <w:br/>
      </w:r>
      <w:hyperlink r:id="rId22" w:history="1">
        <w:r w:rsidRPr="002304A6">
          <w:rPr>
            <w:rStyle w:val="Hyperlink"/>
            <w:rFonts w:ascii="Noto Sans" w:hAnsi="Noto Sans" w:cs="Noto Sans"/>
            <w:sz w:val="20"/>
            <w:szCs w:val="20"/>
          </w:rPr>
          <w:t>Jade.Taylor-Salazar@domino-uk.com</w:t>
        </w:r>
      </w:hyperlink>
      <w:r>
        <w:rPr>
          <w:rFonts w:ascii="Noto Sans" w:hAnsi="Noto Sans" w:cs="Noto Sans"/>
          <w:sz w:val="20"/>
          <w:szCs w:val="20"/>
        </w:rPr>
        <w:t xml:space="preserve"> </w:t>
      </w:r>
      <w:r w:rsidRPr="00D949CC">
        <w:rPr>
          <w:rFonts w:ascii="Noto Sans" w:hAnsi="Noto Sans" w:cs="Noto Sans"/>
          <w:sz w:val="20"/>
          <w:szCs w:val="20"/>
        </w:rPr>
        <w:br/>
      </w:r>
      <w:bookmarkEnd w:id="1"/>
      <w:r w:rsidRPr="00D949CC">
        <w:rPr>
          <w:rFonts w:ascii="Noto Sans" w:hAnsi="Noto Sans" w:cs="Noto Sans"/>
          <w:sz w:val="20"/>
          <w:szCs w:val="20"/>
        </w:rPr>
        <w:br/>
      </w:r>
      <w:r w:rsidRPr="00E37E67">
        <w:rPr>
          <w:rFonts w:ascii="Noto Sans" w:hAnsi="Noto Sans" w:cs="Noto Sans"/>
          <w:sz w:val="20"/>
          <w:szCs w:val="20"/>
        </w:rPr>
        <w:t>Mahmoud Al Sabbagh</w:t>
      </w:r>
      <w:r w:rsidRPr="00D949CC">
        <w:rPr>
          <w:rFonts w:ascii="Noto Sans" w:hAnsi="Noto Sans" w:cs="Noto Sans"/>
          <w:b/>
          <w:bCs/>
          <w:sz w:val="20"/>
          <w:szCs w:val="20"/>
        </w:rPr>
        <w:br/>
      </w:r>
      <w:r w:rsidRPr="00D949CC">
        <w:rPr>
          <w:rFonts w:ascii="Noto Sans" w:hAnsi="Noto Sans" w:cs="Noto Sans"/>
          <w:sz w:val="20"/>
          <w:szCs w:val="20"/>
        </w:rPr>
        <w:t>General Manager</w:t>
      </w:r>
      <w:r>
        <w:rPr>
          <w:rFonts w:ascii="Noto Sans" w:hAnsi="Noto Sans" w:cs="Noto Sans"/>
          <w:sz w:val="20"/>
          <w:szCs w:val="20"/>
        </w:rPr>
        <w:br/>
      </w:r>
      <w:r w:rsidRPr="00D949CC">
        <w:rPr>
          <w:rFonts w:ascii="Noto Sans" w:hAnsi="Noto Sans" w:cs="Noto Sans"/>
          <w:sz w:val="20"/>
          <w:szCs w:val="20"/>
        </w:rPr>
        <w:t>Domino Dubai</w:t>
      </w:r>
      <w:r w:rsidRPr="00D949CC">
        <w:rPr>
          <w:rFonts w:ascii="Noto Sans" w:hAnsi="Noto Sans" w:cs="Noto Sans"/>
          <w:sz w:val="20"/>
          <w:szCs w:val="20"/>
        </w:rPr>
        <w:br/>
        <w:t>Tel: +97148835003</w:t>
      </w:r>
      <w:r w:rsidRPr="00D949CC">
        <w:rPr>
          <w:rFonts w:ascii="Noto Sans" w:hAnsi="Noto Sans" w:cs="Noto Sans"/>
          <w:sz w:val="20"/>
          <w:szCs w:val="20"/>
        </w:rPr>
        <w:br/>
        <w:t xml:space="preserve">Email: </w:t>
      </w:r>
      <w:hyperlink r:id="rId23" w:history="1">
        <w:r w:rsidRPr="00D949CC">
          <w:rPr>
            <w:rStyle w:val="Hyperlink"/>
            <w:rFonts w:ascii="Noto Sans" w:hAnsi="Noto Sans" w:cs="Noto Sans"/>
            <w:sz w:val="20"/>
            <w:szCs w:val="20"/>
          </w:rPr>
          <w:t>sales@domino-mea.com</w:t>
        </w:r>
      </w:hyperlink>
      <w:r w:rsidRPr="00D949CC">
        <w:rPr>
          <w:rFonts w:ascii="Noto Sans" w:hAnsi="Noto Sans" w:cs="Noto Sans"/>
          <w:sz w:val="20"/>
          <w:szCs w:val="20"/>
        </w:rPr>
        <w:t xml:space="preserve"> </w:t>
      </w:r>
      <w:r w:rsidRPr="00D949CC">
        <w:rPr>
          <w:rFonts w:ascii="Noto Sans" w:hAnsi="Noto Sans" w:cs="Noto Sans"/>
          <w:sz w:val="20"/>
          <w:szCs w:val="20"/>
        </w:rPr>
        <w:br/>
      </w:r>
    </w:p>
    <w:p w14:paraId="59ED9444" w14:textId="4FC398AB" w:rsidR="005A2A2F" w:rsidRPr="005A2A2F" w:rsidRDefault="005A2A2F" w:rsidP="005A2A2F">
      <w:pPr>
        <w:spacing w:before="120" w:after="120" w:line="276" w:lineRule="auto"/>
        <w:jc w:val="both"/>
        <w:rPr>
          <w:rFonts w:ascii="Noto Sans" w:eastAsiaTheme="minorHAnsi" w:hAnsi="Noto Sans" w:cs="Noto Sans"/>
          <w:sz w:val="22"/>
        </w:rPr>
      </w:pPr>
      <w:r w:rsidRPr="005A2A2F">
        <w:rPr>
          <w:rFonts w:ascii="Noto Sans" w:eastAsiaTheme="minorHAnsi" w:hAnsi="Noto Sans" w:cs="Noto Sans"/>
          <w:sz w:val="22"/>
        </w:rPr>
        <w:t xml:space="preserve"> </w:t>
      </w:r>
    </w:p>
    <w:p w14:paraId="53EB7C38" w14:textId="77777777" w:rsidR="005524DB" w:rsidRPr="005A2A2F" w:rsidRDefault="005524DB" w:rsidP="008E7573">
      <w:pPr>
        <w:rPr>
          <w:rFonts w:ascii="Noto Sans" w:hAnsi="Noto Sans" w:cs="Noto Sans"/>
          <w:sz w:val="22"/>
        </w:rPr>
      </w:pPr>
    </w:p>
    <w:sectPr w:rsidR="005524DB" w:rsidRPr="005A2A2F" w:rsidSect="000F6D00">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D5ACE" w14:textId="77777777" w:rsidR="00C93B4A" w:rsidRDefault="00C93B4A" w:rsidP="00785717">
      <w:pPr>
        <w:spacing w:line="240" w:lineRule="auto"/>
      </w:pPr>
      <w:r>
        <w:separator/>
      </w:r>
    </w:p>
  </w:endnote>
  <w:endnote w:type="continuationSeparator" w:id="0">
    <w:p w14:paraId="52A23C61" w14:textId="77777777" w:rsidR="00C93B4A" w:rsidRDefault="00C93B4A"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EC414" w14:textId="77777777" w:rsidR="00C93B4A" w:rsidRDefault="00C93B4A" w:rsidP="00785717">
      <w:pPr>
        <w:spacing w:line="240" w:lineRule="auto"/>
      </w:pPr>
      <w:r>
        <w:separator/>
      </w:r>
    </w:p>
  </w:footnote>
  <w:footnote w:type="continuationSeparator" w:id="0">
    <w:p w14:paraId="2E9512DC" w14:textId="77777777" w:rsidR="00C93B4A" w:rsidRDefault="00C93B4A"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D743C"/>
    <w:rsid w:val="00264B6F"/>
    <w:rsid w:val="00274F25"/>
    <w:rsid w:val="002766D9"/>
    <w:rsid w:val="002C3337"/>
    <w:rsid w:val="00372E92"/>
    <w:rsid w:val="005272B1"/>
    <w:rsid w:val="005524DB"/>
    <w:rsid w:val="005741C7"/>
    <w:rsid w:val="005A2A2F"/>
    <w:rsid w:val="0060122E"/>
    <w:rsid w:val="00647055"/>
    <w:rsid w:val="00660F46"/>
    <w:rsid w:val="00682566"/>
    <w:rsid w:val="006E0F3B"/>
    <w:rsid w:val="00785717"/>
    <w:rsid w:val="008005CD"/>
    <w:rsid w:val="008220B7"/>
    <w:rsid w:val="00823B77"/>
    <w:rsid w:val="00876AA7"/>
    <w:rsid w:val="008916A8"/>
    <w:rsid w:val="008B6461"/>
    <w:rsid w:val="008E7573"/>
    <w:rsid w:val="008F3E38"/>
    <w:rsid w:val="008F74D8"/>
    <w:rsid w:val="00931996"/>
    <w:rsid w:val="00943A95"/>
    <w:rsid w:val="009A1716"/>
    <w:rsid w:val="009A1DEC"/>
    <w:rsid w:val="009D6280"/>
    <w:rsid w:val="009E564D"/>
    <w:rsid w:val="00A34918"/>
    <w:rsid w:val="00AB11DA"/>
    <w:rsid w:val="00B23C3C"/>
    <w:rsid w:val="00B546C5"/>
    <w:rsid w:val="00BC7C15"/>
    <w:rsid w:val="00C063FE"/>
    <w:rsid w:val="00C44603"/>
    <w:rsid w:val="00C541FE"/>
    <w:rsid w:val="00C93B4A"/>
    <w:rsid w:val="00CD68D8"/>
    <w:rsid w:val="00CF1AD5"/>
    <w:rsid w:val="00E03029"/>
    <w:rsid w:val="00EC1C5A"/>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styleId="CommentReference">
    <w:name w:val="annotation reference"/>
    <w:basedOn w:val="DefaultParagraphFont"/>
    <w:uiPriority w:val="99"/>
    <w:semiHidden/>
    <w:unhideWhenUsed/>
    <w:rsid w:val="005A2A2F"/>
    <w:rPr>
      <w:sz w:val="16"/>
      <w:szCs w:val="16"/>
    </w:rPr>
  </w:style>
  <w:style w:type="paragraph" w:styleId="CommentText">
    <w:name w:val="annotation text"/>
    <w:basedOn w:val="Normal"/>
    <w:link w:val="CommentTextChar"/>
    <w:uiPriority w:val="99"/>
    <w:unhideWhenUsed/>
    <w:rsid w:val="005A2A2F"/>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5A2A2F"/>
    <w:rPr>
      <w:sz w:val="20"/>
      <w:szCs w:val="20"/>
    </w:rPr>
  </w:style>
  <w:style w:type="character" w:customStyle="1" w:styleId="ui-provider">
    <w:name w:val="ui-provider"/>
    <w:basedOn w:val="DefaultParagraphFont"/>
    <w:rsid w:val="00264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gle-market-economy.ec.europa.eu/single-market/digital-product-passport_en" TargetMode="External"/><Relationship Id="rId13" Type="http://schemas.openxmlformats.org/officeDocument/2006/relationships/hyperlink" Target="https://www.sciencedirect.com/science/article/abs/pii/S0956053X23004178" TargetMode="External"/><Relationship Id="rId18" Type="http://schemas.openxmlformats.org/officeDocument/2006/relationships/hyperlink" Target="https://www.chemistry.nat.fau.eu/research/expired-drug-initiative/"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www.domino-printing.com" TargetMode="External"/><Relationship Id="rId7" Type="http://schemas.openxmlformats.org/officeDocument/2006/relationships/hyperlink" Target="https://eur-lex.europa.eu/eli/reg/2024/1781/oj/eng" TargetMode="External"/><Relationship Id="rId12" Type="http://schemas.openxmlformats.org/officeDocument/2006/relationships/hyperlink" Target="https://mygroupltd.com/news/recycling-blister-packs-in-the-uk-the-rise-of-a-sustainable-solution/" TargetMode="External"/><Relationship Id="rId17" Type="http://schemas.openxmlformats.org/officeDocument/2006/relationships/hyperlink" Target="https://learning.eupati.eu/mod/book/view.php?id=866&amp;chapterid=781"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nhssomerset.nhs.uk/news/save-nhs-300m-cut-prescription-waste/" TargetMode="External"/><Relationship Id="rId20" Type="http://schemas.openxmlformats.org/officeDocument/2006/relationships/hyperlink" Target="https://www.domino-printing.com/en-us/sectors/life-sciences?utm_medium=non-paid&amp;utm_source=onlinepublication&amp;utm_content=phara-digital-passport-tlp-na&amp;utm_campaign=2026-int-en-global-pr-cm-fy26-q2"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domino-printing.com/en-us/blog/2023/the-future-of-traceability-get-ready-for-the-digital-product-passport?utm_medium=non-paid&amp;utm_source=onlinepublication&amp;utm_content=phara-digital-passport-tlp-na&amp;utm_campaign=2026-int-en-global-pr-cm-fy26-q2" TargetMode="External"/><Relationship Id="rId11" Type="http://schemas.openxmlformats.org/officeDocument/2006/relationships/hyperlink" Target="https://www.who.int/news-room/fact-sheets/detail/health-care-waste"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www.hippocraticpost.com/pharmacy-drugs/unused-prescription-medicines-cost-the-nhs-300-million-every-year-40-of-brits-admit-to-binning-them/" TargetMode="External"/><Relationship Id="rId23" Type="http://schemas.openxmlformats.org/officeDocument/2006/relationships/hyperlink" Target="mailto:sales@domino-mea.com" TargetMode="External"/><Relationship Id="rId28" Type="http://schemas.openxmlformats.org/officeDocument/2006/relationships/header" Target="header3.xml"/><Relationship Id="rId10" Type="http://schemas.openxmlformats.org/officeDocument/2006/relationships/hyperlink" Target="https://www.gs1.org/resources/articles/gs1-brings-trusted-medicine-information-smartphones-through-collaboration-google?utm_medium=email&amp;utm_campaign=2025%20achievements%20HIG%20and%20GM&amp;utm_content=2025%20achievements%20HIG%20and%20GM+CID_8cc20509ef92dddbd77ac62cad1804c4&amp;utm_source=newsletter&amp;utm_term=collaboration%20with%20Google" TargetMode="External"/><Relationship Id="rId19" Type="http://schemas.openxmlformats.org/officeDocument/2006/relationships/hyperlink" Target="https://givmed.org/en/"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green-forum.ec.europa.eu/news/2025-2030-working-plan-2025-07-11_en" TargetMode="External"/><Relationship Id="rId14" Type="http://schemas.openxmlformats.org/officeDocument/2006/relationships/hyperlink" Target="https://nhssomerset.nhs.uk/news/save-nhs-300m-cut-prescription-waste/" TargetMode="External"/><Relationship Id="rId22" Type="http://schemas.openxmlformats.org/officeDocument/2006/relationships/hyperlink" Target="mailto:Jade.Taylor-Salazar@domino-uk.com"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8</TotalTime>
  <Pages>5</Pages>
  <Words>1797</Words>
  <Characters>10248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3</cp:revision>
  <dcterms:created xsi:type="dcterms:W3CDTF">2026-09-18T16:05:00Z</dcterms:created>
  <dcterms:modified xsi:type="dcterms:W3CDTF">2026-09-18T16:11:00Z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