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6F42D" w14:textId="77777777" w:rsidR="006861EB" w:rsidRPr="006861EB" w:rsidRDefault="006861EB" w:rsidP="006861EB">
      <w:pPr>
        <w:spacing w:before="120" w:after="120" w:line="276" w:lineRule="auto"/>
        <w:jc w:val="both"/>
        <w:rPr>
          <w:rFonts w:ascii="Noto Sans" w:eastAsia="Times New Roman" w:hAnsi="Noto Sans" w:cs="Noto Sans"/>
          <w:sz w:val="28"/>
          <w:szCs w:val="28"/>
        </w:rPr>
      </w:pPr>
      <w:r w:rsidRPr="006861EB">
        <w:rPr>
          <w:rFonts w:ascii="Noto Sans" w:eastAsia="Times New Roman" w:hAnsi="Noto Sans" w:cs="Noto Sans"/>
          <w:b/>
          <w:bCs/>
          <w:sz w:val="28"/>
          <w:szCs w:val="28"/>
          <w:lang w:val="pt-PT"/>
        </w:rPr>
        <w:t>O setor farmacêutico já possui as bases de dados de que o Passaporte Digital do Produto necessita</w:t>
      </w:r>
    </w:p>
    <w:p w14:paraId="6DA23AD6" w14:textId="77777777" w:rsidR="006861EB" w:rsidRPr="006861EB" w:rsidRDefault="006861EB" w:rsidP="006861EB">
      <w:pPr>
        <w:spacing w:after="160" w:line="276" w:lineRule="auto"/>
        <w:jc w:val="both"/>
        <w:rPr>
          <w:rFonts w:ascii="Noto Sans" w:eastAsiaTheme="minorHAnsi" w:hAnsi="Noto Sans" w:cs="Noto Sans"/>
          <w:i/>
          <w:iCs/>
          <w:sz w:val="22"/>
        </w:rPr>
      </w:pPr>
      <w:r w:rsidRPr="006861EB">
        <w:rPr>
          <w:rFonts w:ascii="Noto Sans" w:eastAsiaTheme="minorHAnsi" w:hAnsi="Noto Sans" w:cs="Noto Sans"/>
          <w:i/>
          <w:iCs/>
          <w:sz w:val="22"/>
          <w:lang w:val="pt-PT"/>
        </w:rPr>
        <w:t>A partir de 2027, várias categorias de produtos vendidas na UE terão de incluir um</w:t>
      </w:r>
      <w:r w:rsidRPr="006861EB">
        <w:rPr>
          <w:rFonts w:ascii="Noto Sans" w:eastAsiaTheme="minorHAnsi" w:hAnsi="Noto Sans" w:cs="Noto Sans"/>
          <w:sz w:val="22"/>
          <w:lang w:val="pt-PT"/>
        </w:rPr>
        <w:t xml:space="preserve"> Passaporte Digital do Produto</w:t>
      </w:r>
      <w:r w:rsidRPr="006861EB">
        <w:rPr>
          <w:rFonts w:ascii="Noto Sans" w:eastAsiaTheme="minorHAnsi" w:hAnsi="Noto Sans" w:cs="Noto Sans"/>
          <w:i/>
          <w:iCs/>
          <w:sz w:val="22"/>
          <w:lang w:val="pt-PT"/>
        </w:rPr>
        <w:t xml:space="preserve"> (PDP), oferecendo dados standardizados e acessíveis para aumentar a transparência, apoiar práticas sustentáveis e permitir uma tomada de decisão informada em todas as cadeias de valor. Embora grande parte desta informação já seja fornecida pelas empresas farmacêuticas através do GS1 DataMatrix para cumprir a legislação existente, o setor está excluído dos requisitos do PDP.</w:t>
      </w:r>
    </w:p>
    <w:p w14:paraId="03B81171" w14:textId="77777777" w:rsidR="006861EB" w:rsidRPr="006861EB" w:rsidRDefault="006861EB" w:rsidP="006861EB">
      <w:pPr>
        <w:spacing w:after="160" w:line="276" w:lineRule="auto"/>
        <w:jc w:val="both"/>
        <w:rPr>
          <w:rFonts w:ascii="Noto Sans" w:eastAsiaTheme="minorHAnsi" w:hAnsi="Noto Sans" w:cs="Noto Sans"/>
          <w:i/>
          <w:iCs/>
          <w:sz w:val="22"/>
        </w:rPr>
      </w:pPr>
      <w:r w:rsidRPr="006861EB">
        <w:rPr>
          <w:rFonts w:ascii="Noto Sans" w:eastAsiaTheme="minorHAnsi" w:hAnsi="Noto Sans" w:cs="Noto Sans"/>
          <w:i/>
          <w:iCs/>
          <w:sz w:val="22"/>
          <w:lang w:val="pt-PT"/>
        </w:rPr>
        <w:t xml:space="preserve">Contudo, estender a informação atual das embalagens farmacêuticas para além das exigências regulamentares existentes oferece vantagens significativas para a segurança do doente e para a sustentabilidade global. Embora a publicidade direta ao consumidor seja proibida no setor farmacêutico europeu de medicamentos sujeitos a receita médica, as informações acessíveis através de códigos 2D podem ainda permitir aos fabricantes melhorar a compreensão dos consumidores sobre os requisitos de reciclagem e eliminação, disponibilizar acesso a folhetos informativos eletrónicos para o doente (ePIL) ou até proporcionar a transparência necessária para viabilizar programas essenciais de reutilização de medicamentos.  </w:t>
      </w:r>
    </w:p>
    <w:p w14:paraId="4781CC87" w14:textId="77777777" w:rsidR="006861EB" w:rsidRPr="006861EB" w:rsidRDefault="006861EB" w:rsidP="006861EB">
      <w:pPr>
        <w:spacing w:after="160" w:line="276" w:lineRule="auto"/>
        <w:jc w:val="both"/>
        <w:rPr>
          <w:rFonts w:ascii="Noto Sans" w:eastAsiaTheme="minorHAnsi" w:hAnsi="Noto Sans" w:cs="Noto Sans"/>
          <w:i/>
          <w:iCs/>
          <w:sz w:val="22"/>
        </w:rPr>
      </w:pPr>
      <w:r w:rsidRPr="006861EB">
        <w:rPr>
          <w:rFonts w:ascii="Noto Sans" w:eastAsiaTheme="minorHAnsi" w:hAnsi="Noto Sans" w:cs="Noto Sans"/>
          <w:i/>
          <w:iCs/>
          <w:sz w:val="22"/>
          <w:lang w:val="pt-PT"/>
        </w:rPr>
        <w:t>James Cutforth, Global Head of Regulated Sectors da Domino Printing Sciences, explora o valor de um equivalente do PDP para o setor farmacêutico.</w:t>
      </w:r>
    </w:p>
    <w:p w14:paraId="599044E3" w14:textId="77777777" w:rsidR="006861EB" w:rsidRPr="006861EB" w:rsidRDefault="006861EB" w:rsidP="006861EB">
      <w:pPr>
        <w:spacing w:after="160" w:line="276" w:lineRule="auto"/>
        <w:jc w:val="both"/>
        <w:rPr>
          <w:rFonts w:ascii="Noto Sans" w:eastAsiaTheme="minorHAnsi" w:hAnsi="Noto Sans" w:cs="Noto Sans"/>
          <w:b/>
          <w:bCs/>
          <w:sz w:val="22"/>
        </w:rPr>
      </w:pPr>
      <w:r w:rsidRPr="006861EB">
        <w:rPr>
          <w:rFonts w:ascii="Noto Sans" w:eastAsiaTheme="minorHAnsi" w:hAnsi="Noto Sans" w:cs="Noto Sans"/>
          <w:b/>
          <w:bCs/>
          <w:sz w:val="22"/>
          <w:lang w:val="pt-PT"/>
        </w:rPr>
        <w:t>Passaporte do produto existente do setor farmacêutico</w:t>
      </w:r>
    </w:p>
    <w:p w14:paraId="0EAF9D3F" w14:textId="77777777" w:rsidR="006861EB" w:rsidRPr="006861EB" w:rsidRDefault="006861EB" w:rsidP="006861EB">
      <w:pPr>
        <w:spacing w:after="160" w:line="276" w:lineRule="auto"/>
        <w:jc w:val="both"/>
        <w:rPr>
          <w:rFonts w:ascii="Noto Sans" w:eastAsiaTheme="minorHAnsi" w:hAnsi="Noto Sans" w:cs="Noto Sans"/>
          <w:sz w:val="22"/>
        </w:rPr>
      </w:pPr>
      <w:r w:rsidRPr="006861EB">
        <w:rPr>
          <w:rFonts w:ascii="Noto Sans" w:eastAsiaTheme="minorHAnsi" w:hAnsi="Noto Sans" w:cs="Noto Sans"/>
          <w:sz w:val="22"/>
          <w:lang w:val="pt-PT"/>
        </w:rPr>
        <w:t xml:space="preserve">Em 2024, o </w:t>
      </w:r>
      <w:hyperlink r:id="rId6" w:tgtFrame="_blank" w:history="1">
        <w:r w:rsidRPr="006861EB">
          <w:rPr>
            <w:rFonts w:ascii="Noto Sans" w:eastAsiaTheme="minorHAnsi" w:hAnsi="Noto Sans" w:cs="Noto Sans"/>
            <w:color w:val="0563C1" w:themeColor="hyperlink"/>
            <w:sz w:val="22"/>
            <w:u w:val="single"/>
            <w:lang w:val="pt-PT"/>
          </w:rPr>
          <w:t>Regulamento de Conceção Ecológica de Produtos Sustentáveis</w:t>
        </w:r>
      </w:hyperlink>
      <w:r w:rsidRPr="006861EB">
        <w:rPr>
          <w:rFonts w:ascii="Noto Sans" w:eastAsiaTheme="minorHAnsi" w:hAnsi="Noto Sans" w:cs="Noto Sans"/>
          <w:sz w:val="22"/>
          <w:lang w:val="pt-PT"/>
        </w:rPr>
        <w:t xml:space="preserve"> </w:t>
      </w:r>
      <w:r w:rsidRPr="006861EB">
        <w:rPr>
          <w:rFonts w:ascii="Noto Sans" w:eastAsiaTheme="minorHAnsi" w:hAnsi="Noto Sans" w:cs="Noto Sans"/>
          <w:sz w:val="22"/>
          <w:u w:val="single"/>
          <w:lang w:val="pt-PT"/>
        </w:rPr>
        <w:t>(RCEPS)</w:t>
      </w:r>
      <w:r w:rsidRPr="006861EB">
        <w:rPr>
          <w:rFonts w:ascii="Noto Sans" w:eastAsiaTheme="minorHAnsi" w:hAnsi="Noto Sans" w:cs="Noto Sans"/>
          <w:sz w:val="22"/>
          <w:lang w:val="pt-PT"/>
        </w:rPr>
        <w:t xml:space="preserve"> entrou em vigor, introduzindo o </w:t>
      </w:r>
      <w:hyperlink r:id="rId7" w:history="1">
        <w:r w:rsidRPr="006861EB">
          <w:rPr>
            <w:rFonts w:ascii="Noto Sans" w:eastAsiaTheme="minorHAnsi" w:hAnsi="Noto Sans" w:cs="Noto Sans"/>
            <w:color w:val="0563C1" w:themeColor="hyperlink"/>
            <w:sz w:val="22"/>
            <w:u w:val="single"/>
            <w:lang w:val="pt-PT"/>
          </w:rPr>
          <w:t>Passaporte Digital do Produto (DPP)</w:t>
        </w:r>
      </w:hyperlink>
      <w:r w:rsidRPr="006861EB">
        <w:rPr>
          <w:rFonts w:ascii="Noto Sans" w:eastAsiaTheme="minorHAnsi" w:hAnsi="Noto Sans" w:cs="Noto Sans"/>
          <w:sz w:val="22"/>
          <w:lang w:val="pt-PT"/>
        </w:rPr>
        <w:t xml:space="preserve"> para </w:t>
      </w:r>
      <w:hyperlink r:id="rId8" w:tgtFrame="_blank" w:history="1">
        <w:r w:rsidRPr="006861EB">
          <w:rPr>
            <w:rFonts w:ascii="Noto Sans" w:eastAsiaTheme="minorHAnsi" w:hAnsi="Noto Sans" w:cs="Noto Sans"/>
            <w:color w:val="0563C1" w:themeColor="hyperlink"/>
            <w:sz w:val="22"/>
            <w:u w:val="single"/>
            <w:lang w:val="pt-PT"/>
          </w:rPr>
          <w:t>grupos de produtos selecionados</w:t>
        </w:r>
      </w:hyperlink>
      <w:r w:rsidRPr="006861EB">
        <w:rPr>
          <w:rFonts w:ascii="Noto Sans" w:eastAsiaTheme="minorHAnsi" w:hAnsi="Noto Sans" w:cs="Noto Sans"/>
          <w:sz w:val="22"/>
          <w:lang w:val="pt-PT"/>
        </w:rPr>
        <w:t xml:space="preserve"> de forma a aumentar a transparência. O setor farmacêutico está excluído da obrigatoriedade de fornecer informações detalhadas sobre a origem, os materiais, o impacto ambiental e as recomendações de eliminação de cada produto, até porque a indústria já está sujeita a exigências regulamentares rigorosas no que diz respeito à transparência e rastreabilidade. Os fabricantes que comercializam os seus produtos na UE e nos EUA já utilizam códigos 2D DataMatrix para cumprir os requisitos de serialização e rastreabilidade previstos na Diretiva Relativa aos Medicamentos Falsificados da UE (FMD) e na Drug Supply Chain Security Act (DSCSA) dos EUA. </w:t>
      </w:r>
    </w:p>
    <w:p w14:paraId="02303921" w14:textId="77777777" w:rsidR="006861EB" w:rsidRPr="006861EB" w:rsidRDefault="006861EB" w:rsidP="006861EB">
      <w:pPr>
        <w:spacing w:after="160" w:line="276" w:lineRule="auto"/>
        <w:jc w:val="both"/>
        <w:rPr>
          <w:rFonts w:ascii="Noto Sans" w:eastAsiaTheme="minorHAnsi" w:hAnsi="Noto Sans" w:cs="Noto Sans"/>
          <w:sz w:val="22"/>
        </w:rPr>
      </w:pPr>
      <w:r w:rsidRPr="006861EB">
        <w:rPr>
          <w:rFonts w:ascii="Noto Sans" w:eastAsiaTheme="minorHAnsi" w:hAnsi="Noto Sans" w:cs="Noto Sans"/>
          <w:sz w:val="22"/>
          <w:lang w:val="pt-PT"/>
        </w:rPr>
        <w:t xml:space="preserve">Embora os produtos farmacêuticos já contenham grande parte da informação que um PDP deve incluir, existem diferenças muito evidentes. A informação sobre produtos do </w:t>
      </w:r>
      <w:r w:rsidRPr="006861EB">
        <w:rPr>
          <w:rFonts w:ascii="Noto Sans" w:eastAsiaTheme="minorHAnsi" w:hAnsi="Noto Sans" w:cs="Noto Sans"/>
          <w:sz w:val="22"/>
          <w:lang w:val="pt-PT"/>
        </w:rPr>
        <w:lastRenderedPageBreak/>
        <w:t>setor farmacêutico é concebida para reguladores e não para o paciente. Os medicamentos são dispensados mediante receita médica, em vez de serem escolhidos diretamente pelos consumidores, o que elimina a necessidade de informações de comparação de produtos. E, naturalmente, ao contrário dos outros grupos de produtos que exigem que o PDP forneça informações de reciclagem, muitos produtos farmacêuticos não podem ser reciclados em instalações públicas standard, quer seja na recolha porta a porta ou em centros locais.</w:t>
      </w:r>
    </w:p>
    <w:p w14:paraId="0F0C6628" w14:textId="77777777" w:rsidR="006861EB" w:rsidRPr="006861EB" w:rsidRDefault="006861EB" w:rsidP="006861EB">
      <w:pPr>
        <w:spacing w:after="160" w:line="276" w:lineRule="auto"/>
        <w:jc w:val="both"/>
        <w:rPr>
          <w:rFonts w:ascii="Noto Sans" w:eastAsiaTheme="minorHAnsi" w:hAnsi="Noto Sans" w:cs="Noto Sans"/>
          <w:sz w:val="22"/>
        </w:rPr>
      </w:pPr>
      <w:r w:rsidRPr="006861EB">
        <w:rPr>
          <w:rFonts w:ascii="Noto Sans" w:eastAsiaTheme="minorHAnsi" w:hAnsi="Noto Sans" w:cs="Noto Sans"/>
          <w:sz w:val="22"/>
          <w:lang w:val="pt-PT"/>
        </w:rPr>
        <w:t xml:space="preserve">Para além das exigências regulamentares, existem razões convincentes para que os fabricantes farmacêuticos considerem o valor de aproveitar o GS1 DataMatrix existente para adotar um código ao estilo do PDP. De facto, embora o GS1 DataMatrix nas embalagens do setor farmacêutico não seja criado de acordo com a Norma GS1 Digital Link, o que significa que os códigos 2D não podem ser digitalizados automaticamente por smartphones para permitir a comunicação com os consumidores, uma colaboração recente entre </w:t>
      </w:r>
      <w:hyperlink r:id="rId9" w:history="1">
        <w:r w:rsidRPr="006861EB">
          <w:rPr>
            <w:rFonts w:ascii="Noto Sans" w:eastAsia="Times New Roman" w:hAnsi="Noto Sans" w:cs="Noto Sans"/>
            <w:color w:val="0563C1" w:themeColor="hyperlink"/>
            <w:sz w:val="22"/>
            <w:u w:val="single"/>
            <w:lang w:val="pt-PT"/>
          </w:rPr>
          <w:t>a GS1 e a Google</w:t>
        </w:r>
      </w:hyperlink>
      <w:r w:rsidRPr="006861EB">
        <w:rPr>
          <w:rFonts w:ascii="Noto Sans" w:eastAsiaTheme="minorHAnsi" w:hAnsi="Noto Sans" w:cs="Noto Sans"/>
          <w:sz w:val="22"/>
          <w:lang w:val="pt-PT"/>
        </w:rPr>
        <w:t xml:space="preserve"> procura permitir que os consumidores utilizem o Google Lens para ler diretamente os códigos nas embalagens de medicamentos. Com a GS1 a continuar a trabalhar com os fabricantes para aproximar o setor farmacêutico dos consumidores, estão criadas as condições para alargar a comunicação e melhorar a compreensão dos consumidores.</w:t>
      </w:r>
    </w:p>
    <w:p w14:paraId="69B7C4BA" w14:textId="77777777" w:rsidR="006861EB" w:rsidRPr="006861EB" w:rsidRDefault="006861EB" w:rsidP="006861EB">
      <w:pPr>
        <w:spacing w:after="160" w:line="276" w:lineRule="auto"/>
        <w:jc w:val="both"/>
        <w:rPr>
          <w:rFonts w:ascii="Noto Sans" w:eastAsiaTheme="minorHAnsi" w:hAnsi="Noto Sans" w:cs="Noto Sans"/>
          <w:b/>
          <w:bCs/>
          <w:sz w:val="22"/>
        </w:rPr>
      </w:pPr>
      <w:r w:rsidRPr="006861EB">
        <w:rPr>
          <w:rFonts w:ascii="Noto Sans" w:eastAsiaTheme="minorHAnsi" w:hAnsi="Noto Sans" w:cs="Noto Sans"/>
          <w:b/>
          <w:bCs/>
          <w:sz w:val="22"/>
          <w:lang w:val="pt-PT"/>
        </w:rPr>
        <w:t xml:space="preserve">Transformar a eliminação e a reciclagem de produtos farmacêuticos </w:t>
      </w:r>
    </w:p>
    <w:p w14:paraId="4A030D41" w14:textId="77777777" w:rsidR="006861EB" w:rsidRPr="006861EB" w:rsidRDefault="006861EB" w:rsidP="006861EB">
      <w:pPr>
        <w:spacing w:before="120" w:after="120" w:line="276" w:lineRule="auto"/>
        <w:jc w:val="both"/>
        <w:rPr>
          <w:rFonts w:ascii="Noto Sans" w:eastAsia="Times New Roman" w:hAnsi="Noto Sans" w:cs="Noto Sans"/>
          <w:sz w:val="22"/>
        </w:rPr>
      </w:pPr>
      <w:r w:rsidRPr="006861EB">
        <w:rPr>
          <w:rFonts w:ascii="Noto Sans" w:eastAsia="Times New Roman" w:hAnsi="Noto Sans" w:cs="Noto Sans"/>
          <w:sz w:val="22"/>
          <w:lang w:val="pt-PT"/>
        </w:rPr>
        <w:t xml:space="preserve">A indústria tem a oportunidade de desempenhar um papel fundamental na redução do desperdício de produtos farmacêuticos. De acordo com a Organização Mundial da Saúde (OMS), </w:t>
      </w:r>
      <w:hyperlink r:id="rId10" w:history="1">
        <w:r w:rsidRPr="006861EB">
          <w:rPr>
            <w:rFonts w:ascii="Noto Sans" w:eastAsia="Times New Roman" w:hAnsi="Noto Sans" w:cs="Noto Sans"/>
            <w:color w:val="0563C1" w:themeColor="hyperlink"/>
            <w:sz w:val="22"/>
            <w:u w:val="single"/>
            <w:lang w:val="pt-PT"/>
          </w:rPr>
          <w:t>85% do desperdício</w:t>
        </w:r>
      </w:hyperlink>
      <w:r w:rsidRPr="006861EB">
        <w:rPr>
          <w:rFonts w:ascii="Noto Sans" w:eastAsia="Times New Roman" w:hAnsi="Noto Sans" w:cs="Noto Sans"/>
          <w:sz w:val="22"/>
          <w:lang w:val="pt-PT"/>
        </w:rPr>
        <w:t xml:space="preserve"> gerado por atividades de cuidados de saúde é desperdício geral não perigoso, no entanto, muito ainda acaba em aterros sanitários. O equilíbrio entre a reciclabilidade e a salvaguarda de medicamentos é desafiante, mas com uma estimativa de </w:t>
      </w:r>
      <w:hyperlink r:id="rId11" w:history="1">
        <w:r w:rsidRPr="006861EB">
          <w:rPr>
            <w:rFonts w:ascii="Noto Sans" w:eastAsia="Times New Roman" w:hAnsi="Noto Sans" w:cs="Noto Sans"/>
            <w:color w:val="0563C1" w:themeColor="hyperlink"/>
            <w:sz w:val="22"/>
            <w:u w:val="single"/>
            <w:lang w:val="pt-PT"/>
          </w:rPr>
          <w:t>150 milhões de embalagens blister</w:t>
        </w:r>
      </w:hyperlink>
      <w:r w:rsidRPr="006861EB">
        <w:rPr>
          <w:rFonts w:ascii="Noto Sans" w:eastAsia="Times New Roman" w:hAnsi="Noto Sans" w:cs="Noto Sans"/>
          <w:sz w:val="22"/>
          <w:lang w:val="pt-PT"/>
        </w:rPr>
        <w:t xml:space="preserve"> utilizadas apenas pelo NHS todos os anos no Reino Unido, a pegada ambiental é motivo de preocupação.</w:t>
      </w:r>
    </w:p>
    <w:p w14:paraId="72204FDA" w14:textId="77777777" w:rsidR="006861EB" w:rsidRPr="006861EB" w:rsidRDefault="006861EB" w:rsidP="006861EB">
      <w:pPr>
        <w:spacing w:before="120" w:after="120" w:line="276" w:lineRule="auto"/>
        <w:jc w:val="both"/>
        <w:rPr>
          <w:rFonts w:ascii="Noto Sans" w:eastAsia="Times New Roman" w:hAnsi="Noto Sans" w:cs="Noto Sans"/>
          <w:sz w:val="22"/>
        </w:rPr>
      </w:pPr>
      <w:r w:rsidRPr="006861EB">
        <w:rPr>
          <w:rFonts w:ascii="Noto Sans" w:eastAsia="Times New Roman" w:hAnsi="Noto Sans" w:cs="Noto Sans"/>
          <w:sz w:val="22"/>
          <w:lang w:val="pt-PT"/>
        </w:rPr>
        <w:t xml:space="preserve">É ainda mais crítico abordar a eliminação segura de quantidades enormes de medicamentos não utilizados. O consumo de produtos farmacêuticos continua a aumentar </w:t>
      </w:r>
      <w:hyperlink r:id="rId12" w:history="1">
        <w:r w:rsidRPr="006861EB">
          <w:rPr>
            <w:rFonts w:ascii="Noto Sans" w:eastAsia="Times New Roman" w:hAnsi="Noto Sans" w:cs="Noto Sans"/>
            <w:color w:val="0563C1" w:themeColor="hyperlink"/>
            <w:sz w:val="22"/>
            <w:u w:val="single"/>
            <w:lang w:val="pt-PT"/>
          </w:rPr>
          <w:t>ano após ano</w:t>
        </w:r>
      </w:hyperlink>
      <w:r w:rsidRPr="006861EB">
        <w:rPr>
          <w:rFonts w:ascii="Noto Sans" w:eastAsia="Times New Roman" w:hAnsi="Noto Sans" w:cs="Noto Sans"/>
          <w:sz w:val="22"/>
          <w:lang w:val="pt-PT"/>
        </w:rPr>
        <w:t xml:space="preserve">, apesar dos esforços concertados para </w:t>
      </w:r>
      <w:hyperlink r:id="rId13" w:history="1">
        <w:r w:rsidRPr="006861EB">
          <w:rPr>
            <w:rFonts w:ascii="Noto Sans" w:eastAsia="Times New Roman" w:hAnsi="Noto Sans" w:cs="Noto Sans"/>
            <w:color w:val="0563C1" w:themeColor="hyperlink"/>
            <w:sz w:val="22"/>
            <w:u w:val="single"/>
            <w:lang w:val="pt-PT"/>
          </w:rPr>
          <w:t>reduzir a emissão excessiva de receitas médicas</w:t>
        </w:r>
      </w:hyperlink>
      <w:r w:rsidRPr="006861EB">
        <w:rPr>
          <w:rFonts w:ascii="Noto Sans" w:eastAsia="Times New Roman" w:hAnsi="Noto Sans" w:cs="Noto Sans"/>
          <w:sz w:val="22"/>
          <w:lang w:val="pt-PT"/>
        </w:rPr>
        <w:t xml:space="preserve">. Embora a produção e o transporte desnecessários contribuam para as emissões de CO2, a maior preocupação reside na forma como os indivíduos eliminam a elevada proporção de medicamentos sujeitos a receita médica que não são utilizados após a sua dispensa. No Reino Unido, </w:t>
      </w:r>
      <w:hyperlink r:id="rId14" w:history="1">
        <w:r w:rsidRPr="006861EB">
          <w:rPr>
            <w:rFonts w:ascii="Noto Sans" w:eastAsia="Times New Roman" w:hAnsi="Noto Sans" w:cs="Noto Sans"/>
            <w:color w:val="0563C1" w:themeColor="hyperlink"/>
            <w:sz w:val="22"/>
            <w:u w:val="single"/>
            <w:lang w:val="pt-PT"/>
          </w:rPr>
          <w:t>40% das pessoas</w:t>
        </w:r>
      </w:hyperlink>
      <w:r w:rsidRPr="006861EB">
        <w:rPr>
          <w:rFonts w:ascii="Noto Sans" w:eastAsia="Times New Roman" w:hAnsi="Noto Sans" w:cs="Noto Sans"/>
          <w:sz w:val="22"/>
          <w:lang w:val="pt-PT"/>
        </w:rPr>
        <w:t xml:space="preserve"> admitem deitar medicamentos sujeitos a receita médica não utilizados no lixo doméstico comum, </w:t>
      </w:r>
      <w:r w:rsidRPr="006861EB">
        <w:rPr>
          <w:rFonts w:ascii="Noto Sans" w:eastAsia="Times New Roman" w:hAnsi="Noto Sans" w:cs="Noto Sans"/>
          <w:sz w:val="22"/>
          <w:lang w:val="pt-PT"/>
        </w:rPr>
        <w:lastRenderedPageBreak/>
        <w:t xml:space="preserve">o que, juntamente com outros </w:t>
      </w:r>
      <w:hyperlink r:id="rId15" w:history="1">
        <w:r w:rsidRPr="006861EB">
          <w:rPr>
            <w:rFonts w:ascii="Noto Sans" w:eastAsia="Times New Roman" w:hAnsi="Noto Sans" w:cs="Noto Sans"/>
            <w:color w:val="0563C1" w:themeColor="hyperlink"/>
            <w:sz w:val="22"/>
            <w:u w:val="single"/>
            <w:lang w:val="pt-PT"/>
          </w:rPr>
          <w:t>métodos de eliminação incorretos</w:t>
        </w:r>
      </w:hyperlink>
      <w:r w:rsidRPr="006861EB">
        <w:rPr>
          <w:rFonts w:ascii="Noto Sans" w:eastAsia="Times New Roman" w:hAnsi="Noto Sans" w:cs="Noto Sans"/>
          <w:sz w:val="22"/>
          <w:lang w:val="pt-PT"/>
        </w:rPr>
        <w:t xml:space="preserve">, incluindo deitá-los na sanita, contribui para a poluição de cursos de água, zonas costeiras e ecossistemas.  </w:t>
      </w:r>
    </w:p>
    <w:p w14:paraId="5CA444D8" w14:textId="77777777" w:rsidR="006861EB" w:rsidRPr="006861EB" w:rsidRDefault="006861EB" w:rsidP="006861EB">
      <w:pPr>
        <w:spacing w:before="120" w:after="120" w:line="276" w:lineRule="auto"/>
        <w:jc w:val="both"/>
        <w:rPr>
          <w:rFonts w:ascii="Noto Sans" w:eastAsia="Times New Roman" w:hAnsi="Noto Sans" w:cs="Noto Sans"/>
          <w:sz w:val="22"/>
        </w:rPr>
      </w:pPr>
      <w:r w:rsidRPr="006861EB">
        <w:rPr>
          <w:rFonts w:ascii="Noto Sans" w:eastAsia="Times New Roman" w:hAnsi="Noto Sans" w:cs="Noto Sans"/>
          <w:sz w:val="22"/>
          <w:lang w:val="pt-PT"/>
        </w:rPr>
        <w:t>A falta de conhecimento é um grande problema que poderia ser resolvido com códigos ao estilo do PDP. Aumentar a sensibilização para os riscos associados ao desperdício hospitalar e ajudar as pessoas com informações sobre como eliminar de forma segura medicamentos indesejados e embalagens vazias, incluindo uma ligação para o ponto de reciclagem de embalagens blister mais próximo, poderá fazer uma diferença muito significativa. A utilização de códigos 2D já existentes no produto para fornecer informações sobre a eliminação segura do produto e a reciclagem da embalagem aumentaria a confiança dos consumidores, reduzindo simultaneamente o risco de poluição das vias navegáveis e minimizando as emissões de CO2.</w:t>
      </w:r>
    </w:p>
    <w:p w14:paraId="24F20CFA" w14:textId="77777777" w:rsidR="006861EB" w:rsidRPr="006861EB" w:rsidRDefault="006861EB" w:rsidP="006861EB">
      <w:pPr>
        <w:spacing w:before="120" w:after="120" w:line="276" w:lineRule="auto"/>
        <w:jc w:val="both"/>
        <w:rPr>
          <w:rFonts w:ascii="Noto Sans" w:eastAsia="Times New Roman" w:hAnsi="Noto Sans" w:cs="Noto Sans"/>
          <w:b/>
          <w:bCs/>
          <w:sz w:val="22"/>
        </w:rPr>
      </w:pPr>
      <w:r w:rsidRPr="006861EB">
        <w:rPr>
          <w:rFonts w:ascii="Noto Sans" w:eastAsia="Times New Roman" w:hAnsi="Noto Sans" w:cs="Noto Sans"/>
          <w:b/>
          <w:bCs/>
          <w:sz w:val="22"/>
          <w:lang w:val="pt-PT"/>
        </w:rPr>
        <w:t>Validar os receios do setor farmacêutico</w:t>
      </w:r>
    </w:p>
    <w:p w14:paraId="74E8ABFB" w14:textId="77777777" w:rsidR="006861EB" w:rsidRPr="006861EB" w:rsidRDefault="006861EB" w:rsidP="006861EB">
      <w:pPr>
        <w:spacing w:before="120" w:after="120" w:line="276" w:lineRule="auto"/>
        <w:jc w:val="both"/>
        <w:rPr>
          <w:rFonts w:ascii="Noto Sans" w:eastAsia="Times New Roman" w:hAnsi="Noto Sans" w:cs="Noto Sans"/>
          <w:sz w:val="22"/>
        </w:rPr>
      </w:pPr>
      <w:r w:rsidRPr="006861EB">
        <w:rPr>
          <w:rFonts w:ascii="Noto Sans" w:eastAsia="Times New Roman" w:hAnsi="Noto Sans" w:cs="Noto Sans"/>
          <w:sz w:val="22"/>
          <w:lang w:val="pt-PT"/>
        </w:rPr>
        <w:t xml:space="preserve">Existem vários receios legítimos para os fabricantes farmacêuticos que consideram a utilização de códigos 2D para fornecer informações ao consumidor, nomeadamente a proibição de </w:t>
      </w:r>
      <w:hyperlink r:id="rId16" w:history="1">
        <w:r w:rsidRPr="006861EB">
          <w:rPr>
            <w:rFonts w:ascii="Noto Sans" w:eastAsia="Times New Roman" w:hAnsi="Noto Sans" w:cs="Noto Sans"/>
            <w:color w:val="0563C1" w:themeColor="hyperlink"/>
            <w:sz w:val="22"/>
            <w:u w:val="single"/>
            <w:lang w:val="pt-PT"/>
          </w:rPr>
          <w:t>publicidade direta ao consumidor</w:t>
        </w:r>
      </w:hyperlink>
      <w:r w:rsidRPr="006861EB">
        <w:rPr>
          <w:rFonts w:ascii="Noto Sans" w:eastAsia="Times New Roman" w:hAnsi="Noto Sans" w:cs="Noto Sans"/>
          <w:sz w:val="22"/>
          <w:lang w:val="pt-PT"/>
        </w:rPr>
        <w:t xml:space="preserve"> na maioria dos países fora dos EUA e da Nova Zelândia. Qualquer código ao estilo do PDP direcionado ao paciente teria de ser minuciosamente analisado para garantir que não pudesse ser considerado promocional de forma alguma.</w:t>
      </w:r>
    </w:p>
    <w:p w14:paraId="1D1AC23C" w14:textId="77777777" w:rsidR="006861EB" w:rsidRPr="006861EB" w:rsidRDefault="006861EB" w:rsidP="006861EB">
      <w:pPr>
        <w:spacing w:before="120" w:after="120" w:line="276" w:lineRule="auto"/>
        <w:jc w:val="both"/>
        <w:rPr>
          <w:rFonts w:ascii="Noto Sans" w:eastAsia="Times New Roman" w:hAnsi="Noto Sans" w:cs="Noto Sans"/>
          <w:sz w:val="22"/>
        </w:rPr>
      </w:pPr>
      <w:r w:rsidRPr="006861EB">
        <w:rPr>
          <w:rFonts w:ascii="Noto Sans" w:eastAsia="Times New Roman" w:hAnsi="Noto Sans" w:cs="Noto Sans"/>
          <w:sz w:val="22"/>
          <w:lang w:val="pt-PT"/>
        </w:rPr>
        <w:t>Os fabricantes farmacêuticos e os profissionais de saúde também partilham o receio de que os pacientes acedam a dados clínicos fora de contexto. Com informações detalhadas sobre o produto escritas para clínicos e reguladores, e não para o paciente, os fabricantes poderiam também violar as regras da UE sobre publicidade não direcionada ao consumidor, que assinalam especificamente o risco de "diagnóstico erróneo por conta própria".</w:t>
      </w:r>
    </w:p>
    <w:p w14:paraId="269A29A0" w14:textId="77777777" w:rsidR="006861EB" w:rsidRPr="006861EB" w:rsidRDefault="006861EB" w:rsidP="006861EB">
      <w:pPr>
        <w:spacing w:before="120" w:after="120" w:line="276" w:lineRule="auto"/>
        <w:jc w:val="both"/>
        <w:rPr>
          <w:rFonts w:ascii="Noto Sans" w:eastAsia="Times New Roman" w:hAnsi="Noto Sans" w:cs="Noto Sans"/>
          <w:sz w:val="22"/>
        </w:rPr>
      </w:pPr>
      <w:r w:rsidRPr="006861EB">
        <w:rPr>
          <w:rFonts w:ascii="Noto Sans" w:eastAsia="Times New Roman" w:hAnsi="Noto Sans" w:cs="Noto Sans"/>
          <w:sz w:val="22"/>
          <w:lang w:val="pt-PT"/>
        </w:rPr>
        <w:t xml:space="preserve">No entanto, existem oportunidades convincentes para tirar partido da transparência para melhorar a igualdade na saúde e gerir melhor a distribuição de medicamentos, incluindo os itens não utilizados. A disponibilização de ePILs e o apoio à gestão de receitas médicas para evitar encomendas excessivas são objetivos fundamentais para reduzir o desperdício. Existem também vários projetos que procuram reconsiderar a destruição automática de medicamentos fora de prazo ou indesejados, incluindo uma iniciativa na Alemanha para </w:t>
      </w:r>
      <w:hyperlink r:id="rId17" w:history="1">
        <w:r w:rsidRPr="006861EB">
          <w:rPr>
            <w:rFonts w:ascii="Noto Sans" w:eastAsia="Times New Roman" w:hAnsi="Noto Sans" w:cs="Noto Sans"/>
            <w:color w:val="0563C1" w:themeColor="hyperlink"/>
            <w:sz w:val="22"/>
            <w:u w:val="single"/>
            <w:lang w:val="pt-PT"/>
          </w:rPr>
          <w:t>recuperar compostos</w:t>
        </w:r>
      </w:hyperlink>
      <w:r w:rsidRPr="006861EB">
        <w:rPr>
          <w:rFonts w:ascii="Noto Sans" w:eastAsia="Times New Roman" w:hAnsi="Noto Sans" w:cs="Noto Sans"/>
          <w:sz w:val="22"/>
          <w:lang w:val="pt-PT"/>
        </w:rPr>
        <w:t xml:space="preserve"> e um projeto na Grécia para </w:t>
      </w:r>
      <w:hyperlink r:id="rId18" w:history="1">
        <w:r w:rsidRPr="006861EB">
          <w:rPr>
            <w:rFonts w:ascii="Noto Sans" w:eastAsia="Times New Roman" w:hAnsi="Noto Sans" w:cs="Noto Sans"/>
            <w:color w:val="0563C1" w:themeColor="hyperlink"/>
            <w:sz w:val="22"/>
            <w:u w:val="single"/>
            <w:lang w:val="pt-PT"/>
          </w:rPr>
          <w:t>redistribuir medicamentos</w:t>
        </w:r>
      </w:hyperlink>
      <w:r w:rsidRPr="006861EB">
        <w:rPr>
          <w:rFonts w:ascii="Noto Sans" w:eastAsia="Times New Roman" w:hAnsi="Noto Sans" w:cs="Noto Sans"/>
          <w:sz w:val="22"/>
          <w:lang w:val="pt-PT"/>
        </w:rPr>
        <w:t xml:space="preserve"> a pessoas que, de outra forma, não teriam capacidade financeira para pagar o tratamento. Trabalhando em conjunto com a atual e rigorosa cadeia de custódia e com os selos de anti-estampagem para evitar a reutilização após a </w:t>
      </w:r>
      <w:r w:rsidRPr="006861EB">
        <w:rPr>
          <w:rFonts w:ascii="Noto Sans" w:eastAsia="Times New Roman" w:hAnsi="Noto Sans" w:cs="Noto Sans"/>
          <w:sz w:val="22"/>
          <w:lang w:val="pt-PT"/>
        </w:rPr>
        <w:lastRenderedPageBreak/>
        <w:t>abertura, os códigos 2D poderiam ser utilizados para garantir que os produtos são genuínos e seguros para utilização antes de qualquer atividade de redistribuição ou recuperação.</w:t>
      </w:r>
    </w:p>
    <w:p w14:paraId="033BB0F3" w14:textId="77777777" w:rsidR="006861EB" w:rsidRPr="006861EB" w:rsidRDefault="006861EB" w:rsidP="006861EB">
      <w:pPr>
        <w:spacing w:before="120" w:after="120" w:line="276" w:lineRule="auto"/>
        <w:jc w:val="both"/>
        <w:rPr>
          <w:rFonts w:ascii="Noto Sans" w:eastAsia="Times New Roman" w:hAnsi="Noto Sans" w:cs="Noto Sans"/>
          <w:b/>
          <w:bCs/>
          <w:sz w:val="22"/>
        </w:rPr>
      </w:pPr>
      <w:r w:rsidRPr="006861EB">
        <w:rPr>
          <w:rFonts w:ascii="Noto Sans" w:eastAsia="Times New Roman" w:hAnsi="Noto Sans" w:cs="Noto Sans"/>
          <w:b/>
          <w:bCs/>
          <w:sz w:val="22"/>
          <w:lang w:val="pt-PT"/>
        </w:rPr>
        <w:t>Conclusão: Códigos de barras que comunicam com os consumidores</w:t>
      </w:r>
    </w:p>
    <w:p w14:paraId="24001B3E" w14:textId="77777777" w:rsidR="006861EB" w:rsidRPr="006861EB" w:rsidRDefault="006861EB" w:rsidP="006861EB">
      <w:pPr>
        <w:spacing w:before="120" w:after="120" w:line="276" w:lineRule="auto"/>
        <w:jc w:val="both"/>
        <w:rPr>
          <w:rFonts w:ascii="Noto Sans" w:eastAsia="Times New Roman" w:hAnsi="Noto Sans" w:cs="Noto Sans"/>
          <w:sz w:val="22"/>
        </w:rPr>
      </w:pPr>
      <w:r w:rsidRPr="006861EB">
        <w:rPr>
          <w:rFonts w:ascii="Noto Sans" w:eastAsiaTheme="minorHAnsi" w:hAnsi="Noto Sans" w:cs="Noto Sans"/>
          <w:sz w:val="22"/>
          <w:lang w:val="pt-PT"/>
        </w:rPr>
        <w:t xml:space="preserve">Para as empresas farmacêuticas, embora o PDP não seja um requisito regulamentar, existe uma poderosa oportunidade para evoluir os atuais códigos 2D, já presentes em milhares de milhões de medicamentos, de modo a fornecer informação não só a reguladores, fabricantes e profissionais de saúde, mas também aos pacientes. A disponibilização de ePILs promete reduzir drasticamente a necessidade de folhetos impressos. As informações sobre reciclagem e eliminação podem ajudar os consumidores a compreender a melhor forma de gerir tanto os medicamentos utilizados como os não utilizados, reduzindo o risco de poluição ambiental. Informações atualizadas poderão ajudar os pacientes a gerir as suas receitas médicas e evitar o excesso de encomendas que contribui para a produção excessiva de medicamentos. Além disso, uma rastreabilidade melhorada poderá apoiar a eliminação e reutilização eficaz e segura de medicamentos. </w:t>
      </w:r>
    </w:p>
    <w:p w14:paraId="3321DF83" w14:textId="3E1412C8" w:rsidR="006861EB" w:rsidRPr="006861EB" w:rsidRDefault="006861EB" w:rsidP="006861EB">
      <w:pPr>
        <w:spacing w:after="160" w:line="276" w:lineRule="auto"/>
        <w:jc w:val="both"/>
        <w:rPr>
          <w:rFonts w:ascii="Noto Sans" w:eastAsia="Times New Roman" w:hAnsi="Noto Sans" w:cs="Noto Sans"/>
          <w:sz w:val="22"/>
        </w:rPr>
      </w:pPr>
      <w:r w:rsidRPr="006861EB">
        <w:rPr>
          <w:rFonts w:ascii="Noto Sans" w:eastAsia="Times New Roman" w:hAnsi="Noto Sans" w:cs="Noto Sans"/>
          <w:sz w:val="22"/>
          <w:lang w:val="pt-PT"/>
        </w:rPr>
        <w:t xml:space="preserve">Os fabricantes farmacêuticos não são atualmente obrigados a fornecer os PDP, mas, com o apoio de inovações como o programa GS1, prevê-se que o fornecimento de um equivalente ao DPP se torne cada vez mais importante </w:t>
      </w:r>
      <w:hyperlink r:id="rId19" w:history="1">
        <w:r w:rsidRPr="006861EB">
          <w:rPr>
            <w:rFonts w:ascii="Noto Sans" w:eastAsia="Times New Roman" w:hAnsi="Noto Sans" w:cs="Noto Sans"/>
            <w:color w:val="0563C1" w:themeColor="hyperlink"/>
            <w:sz w:val="22"/>
            <w:u w:val="single"/>
            <w:lang w:val="pt-PT"/>
          </w:rPr>
          <w:t>no apoio aos futuros requisitos regulamentares e de mercado</w:t>
        </w:r>
      </w:hyperlink>
      <w:r w:rsidRPr="006861EB">
        <w:rPr>
          <w:rFonts w:ascii="Noto Sans" w:eastAsia="Times New Roman" w:hAnsi="Noto Sans" w:cs="Noto Sans"/>
          <w:sz w:val="22"/>
          <w:lang w:val="pt-PT"/>
        </w:rPr>
        <w:t>.</w:t>
      </w:r>
    </w:p>
    <w:p w14:paraId="2DCD68F0" w14:textId="77777777" w:rsidR="006B2707" w:rsidRDefault="006B2707" w:rsidP="006861EB">
      <w:pPr>
        <w:spacing w:before="120" w:after="120" w:line="276" w:lineRule="auto"/>
        <w:jc w:val="both"/>
        <w:rPr>
          <w:rFonts w:ascii="Noto Sans" w:eastAsiaTheme="minorHAnsi" w:hAnsi="Noto Sans" w:cs="Noto Sans"/>
          <w:sz w:val="22"/>
          <w:lang w:val="pt-PT"/>
        </w:rPr>
      </w:pPr>
    </w:p>
    <w:p w14:paraId="358861BB" w14:textId="1FF5A526" w:rsidR="006861EB" w:rsidRDefault="006861EB" w:rsidP="006861EB">
      <w:pPr>
        <w:spacing w:before="120" w:after="120" w:line="276" w:lineRule="auto"/>
        <w:jc w:val="both"/>
        <w:rPr>
          <w:rFonts w:ascii="Noto Sans" w:eastAsiaTheme="minorHAnsi" w:hAnsi="Noto Sans" w:cs="Noto Sans"/>
          <w:sz w:val="22"/>
          <w:lang w:val="pt-PT"/>
        </w:rPr>
      </w:pPr>
      <w:r>
        <w:rPr>
          <w:rFonts w:ascii="Noto Sans" w:eastAsiaTheme="minorHAnsi" w:hAnsi="Noto Sans" w:cs="Noto Sans"/>
          <w:sz w:val="22"/>
          <w:lang w:val="pt-PT"/>
        </w:rPr>
        <w:t>&lt;</w:t>
      </w:r>
      <w:r w:rsidRPr="006B2707">
        <w:rPr>
          <w:rFonts w:ascii="Noto Sans" w:eastAsiaTheme="minorHAnsi" w:hAnsi="Noto Sans" w:cs="Noto Sans"/>
          <w:b/>
          <w:bCs/>
          <w:sz w:val="22"/>
          <w:lang w:val="pt-PT"/>
        </w:rPr>
        <w:t>FIM</w:t>
      </w:r>
      <w:r>
        <w:rPr>
          <w:rFonts w:ascii="Noto Sans" w:eastAsiaTheme="minorHAnsi" w:hAnsi="Noto Sans" w:cs="Noto Sans"/>
          <w:sz w:val="22"/>
          <w:lang w:val="pt-PT"/>
        </w:rPr>
        <w:t>&gt;</w:t>
      </w:r>
    </w:p>
    <w:p w14:paraId="5081D5D8" w14:textId="77777777" w:rsidR="006B2707" w:rsidRDefault="006B2707" w:rsidP="006861EB">
      <w:pPr>
        <w:spacing w:before="120" w:after="120" w:line="276" w:lineRule="auto"/>
        <w:jc w:val="both"/>
        <w:rPr>
          <w:rFonts w:ascii="Noto Sans" w:eastAsiaTheme="minorHAnsi" w:hAnsi="Noto Sans" w:cs="Noto Sans"/>
          <w:sz w:val="22"/>
          <w:lang w:val="pt-PT"/>
        </w:rPr>
      </w:pPr>
    </w:p>
    <w:p w14:paraId="575A7801" w14:textId="0042A262" w:rsidR="006861EB" w:rsidRPr="002B23C7" w:rsidRDefault="006861EB" w:rsidP="006861EB">
      <w:pPr>
        <w:spacing w:line="240" w:lineRule="auto"/>
        <w:rPr>
          <w:rFonts w:ascii="Noto Sans" w:eastAsiaTheme="minorHAnsi" w:hAnsi="Noto Sans" w:cs="Noto Sans"/>
          <w:sz w:val="22"/>
          <w:lang w:val="pt-PT"/>
        </w:rPr>
      </w:pPr>
      <w:bookmarkStart w:id="0" w:name="_Hlk531088985"/>
      <w:bookmarkStart w:id="1" w:name="_Hlk61949672"/>
      <w:r w:rsidRPr="002856FD">
        <w:rPr>
          <w:rFonts w:ascii="Noto Sans" w:hAnsi="Noto Sans" w:cs="Noto Sans"/>
          <w:b/>
          <w:bCs/>
          <w:sz w:val="20"/>
          <w:szCs w:val="20"/>
          <w:lang w:val="pt"/>
        </w:rPr>
        <w:t>Isenção de responsabilidade</w:t>
      </w:r>
      <w:bookmarkEnd w:id="0"/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b/>
          <w:bCs/>
          <w:sz w:val="20"/>
          <w:szCs w:val="20"/>
          <w:lang w:val="pt"/>
        </w:rPr>
        <w:t>Geral</w:t>
      </w:r>
      <w:r w:rsidRPr="002856FD">
        <w:rPr>
          <w:rFonts w:ascii="Noto Sans" w:hAnsi="Noto Sans" w:cs="Noto Sans"/>
          <w:sz w:val="20"/>
          <w:szCs w:val="20"/>
          <w:lang w:val="pt"/>
        </w:rPr>
        <w:br/>
        <w:t xml:space="preserve">As informações constantes no presente comunicado de imprensa são consideradas verdadeiras e corretas à data da publicação pela Domino. Qualquer alteração verificada após a data da publicação pode afetar a exatidão destas informações. </w:t>
      </w:r>
      <w:r w:rsidRPr="004002D9">
        <w:rPr>
          <w:rFonts w:ascii="Noto Sans" w:hAnsi="Noto Sans" w:cs="Noto Sans"/>
          <w:sz w:val="20"/>
          <w:szCs w:val="20"/>
          <w:lang w:val="pt"/>
        </w:rPr>
        <w:t>Todos os valores em termos de desempenho e alegações, citados no presente, documento foram obtidos sob condições específicas e apenas poderão ser repetidos sob condições semelhantes. Para obter detalhes específicos do produto, deve entrar em contacto com o seu Consultor Comercial da Domino. O presente documento não faz parte de quaisquer termos e condições celebrados entre si e a Domino.</w:t>
      </w:r>
      <w:r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b/>
          <w:bCs/>
          <w:sz w:val="20"/>
          <w:szCs w:val="20"/>
          <w:lang w:val="pt"/>
        </w:rPr>
        <w:t>Imagens</w:t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lastRenderedPageBreak/>
        <w:t xml:space="preserve">As imagens podem incluir melhorias ou extras opcionais. A qualidade de impressão pode variar de acordo com os consumíveis, o equipamento, a superfície e outros fatores. As imagens e fotografias não fazem parte de quaisquer termos e condições celebrados entre si e a Domino Portugal. </w:t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E0B38">
        <w:rPr>
          <w:rFonts w:ascii="Noto Sans" w:eastAsia="Gill Sans" w:hAnsi="Noto Sans" w:cs="Noto Sans"/>
          <w:b/>
          <w:sz w:val="20"/>
          <w:szCs w:val="20"/>
          <w:lang w:val="es-ES"/>
        </w:rPr>
        <w:br/>
      </w:r>
      <w:r w:rsidRPr="002E0B38">
        <w:rPr>
          <w:rFonts w:ascii="Noto Sans" w:eastAsia="Gill Sans" w:hAnsi="Noto Sans" w:cs="Noto Sans"/>
          <w:b/>
          <w:bCs/>
          <w:sz w:val="20"/>
          <w:szCs w:val="20"/>
          <w:lang w:val="pt-PT"/>
        </w:rPr>
        <w:t>Notas para os editores:</w:t>
      </w:r>
      <w:r w:rsidRPr="002E0B38">
        <w:rPr>
          <w:rFonts w:ascii="Noto Sans" w:eastAsia="Gill Sans" w:hAnsi="Noto Sans" w:cs="Noto Sans"/>
          <w:b/>
          <w:sz w:val="20"/>
          <w:szCs w:val="20"/>
          <w:lang w:val="es-ES"/>
        </w:rPr>
        <w:br/>
      </w:r>
      <w:r w:rsidRPr="002E0B38">
        <w:rPr>
          <w:rFonts w:ascii="Noto Sans" w:eastAsia="Gill Sans" w:hAnsi="Noto Sans" w:cs="Noto Sans"/>
          <w:sz w:val="20"/>
          <w:szCs w:val="20"/>
          <w:lang w:val="es-ES"/>
        </w:rPr>
        <w:br/>
      </w:r>
      <w:r w:rsidRPr="002856FD">
        <w:rPr>
          <w:rFonts w:ascii="Noto Sans" w:hAnsi="Noto Sans" w:cs="Noto Sans"/>
          <w:b/>
          <w:bCs/>
          <w:color w:val="000000" w:themeColor="text1"/>
          <w:sz w:val="20"/>
          <w:szCs w:val="20"/>
          <w:lang w:val="pt"/>
        </w:rPr>
        <w:t>Acerca da Domino</w:t>
      </w:r>
      <w:r>
        <w:rPr>
          <w:rFonts w:ascii="Noto Sans" w:hAnsi="Noto Sans" w:cs="Noto Sans"/>
          <w:b/>
          <w:bCs/>
          <w:color w:val="000000" w:themeColor="text1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t xml:space="preserve">Desde 1978, a Domino Printing Sciences (Domino) estabeleceu uma reputação global relativamente ao desenvolvimento e fabrico de tecnologias de codificação, marcação e impressão, revelando um idêntico prestígio nos seus produtos de pós-venda e de apoio ao cliente a nível mundial. Atualmente, a Domino oferece uma das mais abrangentes gamas de soluções de codificação, desenvolvidas com o objetivo de satisfazer os requisitos de conformidade e produtividade dos fabricantes em inúmeros setores, incluindo bebidas, produtos alimentares, farmacêuticos e industriais. As principais tecnologias da empresa incluem sistemas inovadores de impressão a jato de tinta, impressão a laser, impressão e aplicação, e impressão por transferência térmica desenvolvidos para a aplicação de dados variáveis, códigos de barras e códigos de rastreabilidade exclusivos em produtos e embalagens. </w:t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  <w:t>A Domino emprega mais de 3 000 pessoas em todo o mundo e comercializa para mais de 120 países através de uma rede global de 29 filiais e mais de 200 distribuidores. As instalações de fabrico da Domino localizam-se na Alemanha, China, EUA, Índia, Reino Unido, Suécia e Suíça.</w:t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  <w:t xml:space="preserve">A Domino tornou-se uma divisão independente da Brother Industries Ltd. a 11 de junho de 2015. </w:t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  <w:t>Para obter mais informações sobre a Domino,</w:t>
      </w:r>
      <w:r w:rsidRPr="002856FD">
        <w:rPr>
          <w:rFonts w:ascii="Noto Sans" w:hAnsi="Noto Sans" w:cs="Noto Sans"/>
          <w:sz w:val="20"/>
          <w:szCs w:val="20"/>
          <w:lang w:val="pt"/>
        </w:rPr>
        <w:br/>
        <w:t xml:space="preserve">visite </w:t>
      </w:r>
      <w:hyperlink r:id="rId20" w:history="1">
        <w:r w:rsidRPr="002856FD">
          <w:rPr>
            <w:rStyle w:val="Hyperlink"/>
            <w:rFonts w:ascii="Noto Sans" w:hAnsi="Noto Sans" w:cs="Noto Sans"/>
            <w:sz w:val="20"/>
            <w:szCs w:val="20"/>
            <w:lang w:val="pt"/>
          </w:rPr>
          <w:t>www.domino-printing.com</w:t>
        </w:r>
      </w:hyperlink>
      <w:r w:rsidRPr="002856FD">
        <w:rPr>
          <w:rFonts w:ascii="Noto Sans" w:hAnsi="Noto Sans" w:cs="Noto Sans"/>
          <w:sz w:val="20"/>
          <w:szCs w:val="20"/>
          <w:lang w:val="pt"/>
        </w:rPr>
        <w:t xml:space="preserve"> </w:t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b/>
          <w:bCs/>
          <w:sz w:val="20"/>
          <w:szCs w:val="20"/>
          <w:lang w:val="pt"/>
        </w:rPr>
        <w:t>Deverá contactar:</w:t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85521E">
        <w:rPr>
          <w:rFonts w:ascii="Noto Sans" w:hAnsi="Noto Sans" w:cs="Noto Sans"/>
          <w:sz w:val="20"/>
          <w:szCs w:val="20"/>
          <w:lang w:val="pt"/>
        </w:rPr>
        <w:t>Jade Taylor-Salazar</w:t>
      </w:r>
      <w:r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t xml:space="preserve">PR and Content Manager </w:t>
      </w:r>
      <w:r w:rsidRPr="002856FD">
        <w:rPr>
          <w:rFonts w:ascii="Noto Sans" w:hAnsi="Noto Sans" w:cs="Noto Sans"/>
          <w:sz w:val="20"/>
          <w:szCs w:val="20"/>
          <w:lang w:val="pt"/>
        </w:rPr>
        <w:br/>
        <w:t xml:space="preserve">Domino Printing Sciences </w:t>
      </w:r>
      <w:r w:rsidRPr="002856FD">
        <w:rPr>
          <w:rFonts w:ascii="Noto Sans" w:hAnsi="Noto Sans" w:cs="Noto Sans"/>
          <w:sz w:val="20"/>
          <w:szCs w:val="20"/>
          <w:lang w:val="pt"/>
        </w:rPr>
        <w:br/>
        <w:t>Tel.: +44 (0) 1954 778 780</w:t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hyperlink r:id="rId21" w:history="1">
        <w:r w:rsidRPr="0085521E">
          <w:rPr>
            <w:rStyle w:val="Hyperlink"/>
            <w:rFonts w:ascii="Noto Sans" w:hAnsi="Noto Sans" w:cs="Noto Sans"/>
            <w:sz w:val="20"/>
            <w:szCs w:val="20"/>
            <w:lang w:val="pt"/>
          </w:rPr>
          <w:t>Jade.Taylor-Salazar@domino-uk.com</w:t>
        </w:r>
      </w:hyperlink>
      <w:r w:rsidRPr="0085521E">
        <w:rPr>
          <w:rFonts w:ascii="Noto Sans" w:hAnsi="Noto Sans" w:cs="Noto Sans"/>
          <w:sz w:val="20"/>
          <w:szCs w:val="20"/>
          <w:lang w:val="pt"/>
        </w:rPr>
        <w:t xml:space="preserve"> </w:t>
      </w:r>
      <w:r>
        <w:rPr>
          <w:rFonts w:ascii="Noto Sans" w:hAnsi="Noto Sans" w:cs="Noto Sans"/>
          <w:sz w:val="20"/>
          <w:szCs w:val="20"/>
          <w:lang w:val="pt"/>
        </w:rPr>
        <w:br/>
      </w:r>
      <w:r>
        <w:rPr>
          <w:rFonts w:ascii="Noto Sans" w:hAnsi="Noto Sans" w:cs="Noto Sans"/>
          <w:sz w:val="20"/>
          <w:szCs w:val="20"/>
          <w:lang w:val="pt"/>
        </w:rPr>
        <w:br/>
      </w:r>
      <w:r w:rsidRPr="00A13A74">
        <w:rPr>
          <w:rFonts w:ascii="Noto Sans" w:eastAsiaTheme="minorHAnsi" w:hAnsi="Noto Sans" w:cs="Noto Sans"/>
          <w:sz w:val="20"/>
          <w:szCs w:val="20"/>
          <w:lang w:val="pt-PT"/>
        </w:rPr>
        <w:t>Daniela Ribeiro</w:t>
      </w:r>
      <w:r>
        <w:rPr>
          <w:rFonts w:ascii="Noto Sans" w:eastAsiaTheme="minorHAnsi" w:hAnsi="Noto Sans" w:cs="Noto Sans"/>
          <w:sz w:val="20"/>
          <w:szCs w:val="20"/>
          <w:lang w:val="pt-PT"/>
        </w:rPr>
        <w:br/>
      </w:r>
      <w:r w:rsidRPr="00A13A74">
        <w:rPr>
          <w:rFonts w:ascii="Noto Sans" w:eastAsiaTheme="minorHAnsi" w:hAnsi="Noto Sans" w:cs="Noto Sans"/>
          <w:sz w:val="20"/>
          <w:szCs w:val="20"/>
          <w:lang w:val="pt-PT"/>
        </w:rPr>
        <w:t>Marketing and Communications Executive</w:t>
      </w:r>
      <w:r>
        <w:rPr>
          <w:rFonts w:ascii="Noto Sans" w:eastAsiaTheme="minorHAnsi" w:hAnsi="Noto Sans" w:cs="Noto Sans"/>
          <w:sz w:val="20"/>
          <w:szCs w:val="20"/>
          <w:lang w:val="pt-PT"/>
        </w:rPr>
        <w:br/>
      </w:r>
      <w:r w:rsidRPr="00A13A74">
        <w:rPr>
          <w:rFonts w:ascii="Noto Sans" w:eastAsiaTheme="minorHAnsi" w:hAnsi="Noto Sans" w:cs="Noto Sans"/>
          <w:sz w:val="20"/>
          <w:szCs w:val="20"/>
          <w:lang w:val="pt-PT"/>
        </w:rPr>
        <w:t>Domino Portugal</w:t>
      </w:r>
      <w:r>
        <w:rPr>
          <w:rFonts w:ascii="Noto Sans" w:eastAsiaTheme="minorHAnsi" w:hAnsi="Noto Sans" w:cs="Noto Sans"/>
          <w:sz w:val="20"/>
          <w:szCs w:val="20"/>
          <w:lang w:val="pt-PT"/>
        </w:rPr>
        <w:br/>
      </w:r>
      <w:r w:rsidRPr="00A13A74">
        <w:rPr>
          <w:rFonts w:ascii="Noto Sans" w:eastAsiaTheme="minorHAnsi" w:hAnsi="Noto Sans" w:cs="Noto Sans"/>
          <w:sz w:val="20"/>
          <w:szCs w:val="20"/>
          <w:lang w:val="pt-PT"/>
        </w:rPr>
        <w:t>Tel.: +351 919866148</w:t>
      </w:r>
      <w:r>
        <w:rPr>
          <w:rFonts w:ascii="Noto Sans" w:eastAsiaTheme="minorHAnsi" w:hAnsi="Noto Sans" w:cs="Noto Sans"/>
          <w:sz w:val="20"/>
          <w:szCs w:val="20"/>
          <w:lang w:val="pt-PT"/>
        </w:rPr>
        <w:br/>
      </w:r>
      <w:hyperlink r:id="rId22" w:history="1">
        <w:r w:rsidRPr="00A13A74">
          <w:rPr>
            <w:rStyle w:val="Hyperlink"/>
            <w:rFonts w:ascii="Noto Sans" w:eastAsiaTheme="minorHAnsi" w:hAnsi="Noto Sans" w:cs="Noto Sans"/>
            <w:sz w:val="20"/>
            <w:szCs w:val="20"/>
            <w:lang w:val="pt-PT"/>
          </w:rPr>
          <w:t>Daniela.Ribeiro@domino-portugal.com</w:t>
        </w:r>
      </w:hyperlink>
      <w:r>
        <w:rPr>
          <w:rFonts w:ascii="Noto Sans" w:eastAsiaTheme="minorHAnsi" w:hAnsi="Noto Sans" w:cs="Noto Sans"/>
          <w:sz w:val="22"/>
          <w:lang w:val="pt-PT"/>
        </w:rPr>
        <w:t xml:space="preserve"> </w:t>
      </w:r>
    </w:p>
    <w:bookmarkEnd w:id="1"/>
    <w:p w14:paraId="44BAADB5" w14:textId="77777777" w:rsidR="006861EB" w:rsidRPr="00A13A74" w:rsidRDefault="006861EB" w:rsidP="006861EB">
      <w:pPr>
        <w:spacing w:after="160" w:line="240" w:lineRule="auto"/>
        <w:rPr>
          <w:rFonts w:ascii="Noto Sans" w:eastAsiaTheme="minorHAnsi" w:hAnsi="Noto Sans" w:cs="Noto Sans"/>
          <w:color w:val="0D0D0D" w:themeColor="text1" w:themeTint="F2"/>
          <w:sz w:val="20"/>
          <w:szCs w:val="20"/>
          <w:lang w:val="pt-PT"/>
        </w:rPr>
      </w:pPr>
    </w:p>
    <w:p w14:paraId="3D9D51DE" w14:textId="77777777" w:rsidR="006861EB" w:rsidRPr="006861EB" w:rsidRDefault="006861EB" w:rsidP="006861EB">
      <w:pPr>
        <w:spacing w:before="120" w:after="120" w:line="276" w:lineRule="auto"/>
        <w:jc w:val="both"/>
        <w:rPr>
          <w:rFonts w:ascii="Noto Sans" w:eastAsiaTheme="minorHAnsi" w:hAnsi="Noto Sans" w:cs="Noto Sans"/>
          <w:sz w:val="22"/>
        </w:rPr>
      </w:pPr>
    </w:p>
    <w:p w14:paraId="53EB7C38" w14:textId="77777777" w:rsidR="005524DB" w:rsidRPr="008E7573" w:rsidRDefault="005524DB" w:rsidP="008E7573"/>
    <w:sectPr w:rsidR="005524DB" w:rsidRPr="008E7573" w:rsidSect="000F6D00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440" w:right="1440" w:bottom="1440" w:left="1440" w:header="1531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D9151" w14:textId="77777777" w:rsidR="00E45D87" w:rsidRDefault="00E45D87" w:rsidP="00785717">
      <w:pPr>
        <w:spacing w:line="240" w:lineRule="auto"/>
      </w:pPr>
      <w:r>
        <w:separator/>
      </w:r>
    </w:p>
  </w:endnote>
  <w:endnote w:type="continuationSeparator" w:id="0">
    <w:p w14:paraId="49A39DFB" w14:textId="77777777" w:rsidR="00E45D87" w:rsidRDefault="00E45D87" w:rsidP="007857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">
    <w:panose1 w:val="020B0502040504020204"/>
    <w:charset w:val="00"/>
    <w:family w:val="swiss"/>
    <w:pitch w:val="variable"/>
    <w:sig w:usb0="E00082FF" w:usb1="4000205F" w:usb2="08000029" w:usb3="00000000" w:csb0="0000019F" w:csb1="00000000"/>
  </w:font>
  <w:font w:name="Gill Sans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0F32A" w14:textId="77777777" w:rsidR="00EC1C5A" w:rsidRDefault="00EC1C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523E4" w14:textId="77777777" w:rsidR="00785717" w:rsidRDefault="000F6D00" w:rsidP="00785717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1A3A08" wp14:editId="0C311E39">
          <wp:simplePos x="0" y="0"/>
          <wp:positionH relativeFrom="column">
            <wp:posOffset>4953000</wp:posOffset>
          </wp:positionH>
          <wp:positionV relativeFrom="paragraph">
            <wp:posOffset>1231440</wp:posOffset>
          </wp:positionV>
          <wp:extent cx="1466850" cy="13935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139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7C15">
      <w:rPr>
        <w:noProof/>
      </w:rPr>
      <w:drawing>
        <wp:anchor distT="0" distB="0" distL="114300" distR="114300" simplePos="0" relativeHeight="251658240" behindDoc="1" locked="0" layoutInCell="1" allowOverlap="1" wp14:anchorId="536137F7" wp14:editId="53ACCE9A">
          <wp:simplePos x="0" y="0"/>
          <wp:positionH relativeFrom="page">
            <wp:posOffset>47625</wp:posOffset>
          </wp:positionH>
          <wp:positionV relativeFrom="page">
            <wp:posOffset>9247505</wp:posOffset>
          </wp:positionV>
          <wp:extent cx="7448550" cy="1259840"/>
          <wp:effectExtent l="0" t="0" r="0" b="0"/>
          <wp:wrapNone/>
          <wp:docPr id="1" name="Picture 1" descr="A picture containing knif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knif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3FA95" w14:textId="77777777" w:rsidR="00EC1C5A" w:rsidRDefault="00EC1C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D28AE" w14:textId="77777777" w:rsidR="00E45D87" w:rsidRDefault="00E45D87" w:rsidP="00785717">
      <w:pPr>
        <w:spacing w:line="240" w:lineRule="auto"/>
      </w:pPr>
      <w:r>
        <w:separator/>
      </w:r>
    </w:p>
  </w:footnote>
  <w:footnote w:type="continuationSeparator" w:id="0">
    <w:p w14:paraId="113C828D" w14:textId="77777777" w:rsidR="00E45D87" w:rsidRDefault="00E45D87" w:rsidP="007857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7E0BA" w14:textId="77777777" w:rsidR="00EC1C5A" w:rsidRDefault="00EC1C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5D583" w14:textId="77777777" w:rsidR="000F6D00" w:rsidRDefault="002766D9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52D8042" wp14:editId="1D9E5B1D">
          <wp:simplePos x="0" y="0"/>
          <wp:positionH relativeFrom="page">
            <wp:posOffset>228600</wp:posOffset>
          </wp:positionH>
          <wp:positionV relativeFrom="paragraph">
            <wp:posOffset>-972185</wp:posOffset>
          </wp:positionV>
          <wp:extent cx="2781300" cy="1096645"/>
          <wp:effectExtent l="0" t="0" r="0" b="0"/>
          <wp:wrapSquare wrapText="bothSides"/>
          <wp:docPr id="3" name="Picture 3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, company nam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FFFEFD"/>
                      </a:clrFrom>
                      <a:clrTo>
                        <a:srgbClr val="FFFE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420"/>
                  <a:stretch/>
                </pic:blipFill>
                <pic:spPr bwMode="auto">
                  <a:xfrm>
                    <a:off x="0" y="0"/>
                    <a:ext cx="2781300" cy="10966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1E02A" w14:textId="77777777" w:rsidR="00EC1C5A" w:rsidRDefault="00EC1C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4D"/>
    <w:rsid w:val="0002201E"/>
    <w:rsid w:val="000F6D00"/>
    <w:rsid w:val="00113106"/>
    <w:rsid w:val="001D743C"/>
    <w:rsid w:val="002766D9"/>
    <w:rsid w:val="002C3337"/>
    <w:rsid w:val="00372E92"/>
    <w:rsid w:val="005272B1"/>
    <w:rsid w:val="005524DB"/>
    <w:rsid w:val="005741C7"/>
    <w:rsid w:val="0060122E"/>
    <w:rsid w:val="00647055"/>
    <w:rsid w:val="00660F46"/>
    <w:rsid w:val="00682566"/>
    <w:rsid w:val="006861EB"/>
    <w:rsid w:val="006B2707"/>
    <w:rsid w:val="00785717"/>
    <w:rsid w:val="008220B7"/>
    <w:rsid w:val="00823B77"/>
    <w:rsid w:val="008916A8"/>
    <w:rsid w:val="008B6461"/>
    <w:rsid w:val="008E7573"/>
    <w:rsid w:val="008F3E38"/>
    <w:rsid w:val="008F74D8"/>
    <w:rsid w:val="00931996"/>
    <w:rsid w:val="00943A95"/>
    <w:rsid w:val="009A1716"/>
    <w:rsid w:val="009A1DEC"/>
    <w:rsid w:val="009D6280"/>
    <w:rsid w:val="009E564D"/>
    <w:rsid w:val="00A34918"/>
    <w:rsid w:val="00AB11DA"/>
    <w:rsid w:val="00B23C3C"/>
    <w:rsid w:val="00B546C5"/>
    <w:rsid w:val="00BC7C15"/>
    <w:rsid w:val="00C063FE"/>
    <w:rsid w:val="00C34AFD"/>
    <w:rsid w:val="00C44603"/>
    <w:rsid w:val="00C541FE"/>
    <w:rsid w:val="00CF1AD5"/>
    <w:rsid w:val="00E03029"/>
    <w:rsid w:val="00E45D87"/>
    <w:rsid w:val="00EC1C5A"/>
    <w:rsid w:val="00F8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75E0C"/>
  <w15:chartTrackingRefBased/>
  <w15:docId w15:val="{C5FE791E-4976-45BD-8795-31D7E3D9B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43C"/>
    <w:pPr>
      <w:spacing w:after="0" w:line="360" w:lineRule="auto"/>
    </w:pPr>
    <w:rPr>
      <w:rFonts w:ascii="Verdana" w:eastAsia="Calibri" w:hAnsi="Verdana" w:cs="Times New Roman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717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785717"/>
  </w:style>
  <w:style w:type="paragraph" w:styleId="Footer">
    <w:name w:val="footer"/>
    <w:basedOn w:val="Normal"/>
    <w:link w:val="FooterChar"/>
    <w:uiPriority w:val="99"/>
    <w:unhideWhenUsed/>
    <w:rsid w:val="00785717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785717"/>
  </w:style>
  <w:style w:type="character" w:styleId="Hyperlink">
    <w:name w:val="Hyperlink"/>
    <w:basedOn w:val="DefaultParagraphFont"/>
    <w:uiPriority w:val="99"/>
    <w:rsid w:val="001D743C"/>
    <w:rPr>
      <w:color w:val="0000FF"/>
      <w:u w:val="single"/>
    </w:rPr>
  </w:style>
  <w:style w:type="paragraph" w:styleId="NoSpacing">
    <w:name w:val="No Spacing"/>
    <w:uiPriority w:val="1"/>
    <w:qFormat/>
    <w:rsid w:val="001D743C"/>
    <w:pPr>
      <w:spacing w:after="0" w:line="240" w:lineRule="auto"/>
    </w:pPr>
    <w:rPr>
      <w:rFonts w:ascii="Verdana" w:eastAsia="Calibri" w:hAnsi="Verdana" w:cs="Times New Roman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31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een-forum.ec.europa.eu/news/2025-2030-working-plan-2025-07-11_en" TargetMode="External"/><Relationship Id="rId13" Type="http://schemas.openxmlformats.org/officeDocument/2006/relationships/hyperlink" Target="https://nhssomerset.nhs.uk/news/save-nhs-300m-cut-prescription-waste/" TargetMode="External"/><Relationship Id="rId18" Type="http://schemas.openxmlformats.org/officeDocument/2006/relationships/hyperlink" Target="https://givmed.org/en/" TargetMode="External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hyperlink" Target="mailto:Jade.Taylor-Salazar@domino-uk.com" TargetMode="External"/><Relationship Id="rId7" Type="http://schemas.openxmlformats.org/officeDocument/2006/relationships/hyperlink" Target="https://single-market-economy.ec.europa.eu/single-market/digital-product-passport_en" TargetMode="External"/><Relationship Id="rId12" Type="http://schemas.openxmlformats.org/officeDocument/2006/relationships/hyperlink" Target="https://www.sciencedirect.com/science/article/abs/pii/S0956053X23004178" TargetMode="External"/><Relationship Id="rId17" Type="http://schemas.openxmlformats.org/officeDocument/2006/relationships/hyperlink" Target="https://www.chemistry.nat.fau.eu/research/expired-drug-initiative/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learning.eupati.eu/mod/book/view.php?id=866&amp;chapterid=781" TargetMode="External"/><Relationship Id="rId20" Type="http://schemas.openxmlformats.org/officeDocument/2006/relationships/hyperlink" Target="http://www.domino-printing.pt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ur-lex.europa.eu/eli/reg/2024/1781/oj/eng" TargetMode="External"/><Relationship Id="rId11" Type="http://schemas.openxmlformats.org/officeDocument/2006/relationships/hyperlink" Target="https://mygroupltd.com/news/recycling-blister-packs-in-the-uk-the-rise-of-a-sustainable-solution/" TargetMode="External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nhssomerset.nhs.uk/news/save-nhs-300m-cut-prescription-waste/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s://www.who.int/news-room/fact-sheets/detail/health-care-waste" TargetMode="External"/><Relationship Id="rId19" Type="http://schemas.openxmlformats.org/officeDocument/2006/relationships/hyperlink" Target="https://www.domino-printing.com/pt-pt/sectors/life-sciences?utm_medium=non-paid&amp;utm_source=onlinepublication&amp;utm_content=phara-digital-passport-tlp-pt&amp;utm_campaign=2026-int-pt-global-pr-cm-fy26-q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s1.org/resources/articles/gs1-brings-trusted-medicine-information-smartphones-through-collaboration-google?utm_medium=email&amp;utm_campaign=2025%20achievements%20HIG%20and%20GM&amp;utm_content=2025%20achievements%20HIG%20and%20GM+CID_8cc20509ef92dddbd77ac62cad1804c4&amp;utm_source=newsletter&amp;utm_term=collaboration%20with%20Google" TargetMode="External"/><Relationship Id="rId14" Type="http://schemas.openxmlformats.org/officeDocument/2006/relationships/hyperlink" Target="https://www.hippocraticpost.com/pharmacy-drugs/unused-prescription-medicines-cost-the-nhs-300-million-every-year-40-of-brits-admit-to-binning-them/" TargetMode="External"/><Relationship Id="rId22" Type="http://schemas.openxmlformats.org/officeDocument/2006/relationships/hyperlink" Target="mailto:Daniela.Ribeiro@domino-portugal.com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_Taylor-Salazar\AppData\Roaming\Microsoft\Templates\header%20and%20foo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header and footer</Template>
  <TotalTime>7</TotalTime>
  <Pages>6</Pages>
  <Words>2032</Words>
  <Characters>11587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Taylor-Salazar</dc:creator>
  <cp:keywords/>
  <dc:description/>
  <cp:lastModifiedBy>Rachael Cooper</cp:lastModifiedBy>
  <cp:revision>3</cp:revision>
  <dcterms:created xsi:type="dcterms:W3CDTF">2026-09-28T13:53:00Z</dcterms:created>
  <dcterms:modified xsi:type="dcterms:W3CDTF">2026-09-28T13:58:00Z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8c460ca5-f23d-4821-b40e-ba4a1f2458c0</vt:lpwstr>
  </property>
</Properties>
</file>