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240" w:line="276" w:lineRule="auto"/>
        <w:jc w:val="right"/>
        <w:rPr>
          <w:rFonts w:ascii="Proxima Nova" w:cs="Proxima Nova" w:eastAsia="Proxima Nova" w:hAnsi="Proxima Nova"/>
          <w:sz w:val="30"/>
          <w:szCs w:val="30"/>
        </w:rPr>
      </w:pPr>
      <w:r w:rsidDel="00000000" w:rsidR="00000000" w:rsidRPr="00000000">
        <w:rPr>
          <w:rFonts w:ascii="Proxima Nova" w:cs="Proxima Nova" w:eastAsia="Proxima Nova" w:hAnsi="Proxima Nova"/>
          <w:sz w:val="20"/>
          <w:szCs w:val="20"/>
          <w:rtl w:val="0"/>
        </w:rPr>
        <w:t xml:space="preserve">Warszawa, 1 października 2026 r.</w:t>
      </w:r>
      <w:r w:rsidDel="00000000" w:rsidR="00000000" w:rsidRPr="00000000">
        <w:rPr>
          <w:rtl w:val="0"/>
        </w:rPr>
      </w:r>
    </w:p>
    <w:p w:rsidR="00000000" w:rsidDel="00000000" w:rsidP="00000000" w:rsidRDefault="00000000" w:rsidRPr="00000000" w14:paraId="00000002">
      <w:pPr>
        <w:spacing w:after="0" w:before="240" w:line="276" w:lineRule="auto"/>
        <w:jc w:val="center"/>
        <w:rPr>
          <w:rFonts w:ascii="Proxima Nova" w:cs="Proxima Nova" w:eastAsia="Proxima Nova" w:hAnsi="Proxima Nova"/>
          <w:b w:val="1"/>
          <w:bCs w:val="1"/>
          <w:sz w:val="30"/>
          <w:szCs w:val="30"/>
        </w:rPr>
      </w:pPr>
      <w:r w:rsidDel="00000000" w:rsidR="00000000" w:rsidRPr="00000000">
        <w:rPr>
          <w:rFonts w:ascii="Proxima Nova" w:cs="Proxima Nova" w:eastAsia="Proxima Nova" w:hAnsi="Proxima Nova"/>
          <w:b w:val="1"/>
          <w:bCs w:val="1"/>
          <w:sz w:val="30"/>
          <w:szCs w:val="30"/>
          <w:rtl w:val="0"/>
        </w:rPr>
        <w:t xml:space="preserve">14,6% więcej ofert w AI/ML. Dane theprotocol.it pokazują, gdzie rośnie zapotrzebowanie w IT</w:t>
      </w:r>
    </w:p>
    <w:p w:rsidR="00000000" w:rsidDel="00000000" w:rsidP="00000000" w:rsidRDefault="00000000" w:rsidRPr="00000000" w14:paraId="00000003">
      <w:pPr>
        <w:spacing w:after="0" w:before="240" w:line="276"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bCs w:val="1"/>
          <w:sz w:val="20"/>
          <w:szCs w:val="20"/>
          <w:rtl w:val="0"/>
        </w:rPr>
        <w:t xml:space="preserve">Polski rynek IT pozostaje w fazie stabilizacji i większej ostrożności, ale staje się mniej jednoznaczny. W ostatnich 90 dniach liczba ofert w AI/ML wzrosła o 14,6%, a w Business Analytics o 7,8%, podczas gdy backend – utrzymując pozycję lidera – odnotował niewielki spadek. Różnice między specjalizacjami widać jeszcze wyraźniej na poziomie wynagrodzeń i dostępności pracy zdalnej. A im mniej spójny obraz rynku, tym ważniejsza staje się bieżąca orientacja w konkretnym segmencie rynku.</w:t>
      </w:r>
      <w:r w:rsidDel="00000000" w:rsidR="00000000" w:rsidRPr="00000000">
        <w:rPr>
          <w:rtl w:val="0"/>
        </w:rPr>
      </w:r>
    </w:p>
    <w:p w:rsidR="00000000" w:rsidDel="00000000" w:rsidP="00000000" w:rsidRDefault="00000000" w:rsidRPr="00000000" w14:paraId="00000004">
      <w:pPr>
        <w:spacing w:after="0" w:before="240" w:line="276"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Executive summary</w:t>
      </w:r>
    </w:p>
    <w:p w:rsidR="00000000" w:rsidDel="00000000" w:rsidP="00000000" w:rsidRDefault="00000000" w:rsidRPr="00000000" w14:paraId="00000005">
      <w:pPr>
        <w:numPr>
          <w:ilvl w:val="0"/>
          <w:numId w:val="2"/>
        </w:numPr>
        <w:spacing w:after="0" w:before="200" w:line="276"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W ostatnich 90 dniach w całym sektorze IT </w:t>
      </w:r>
      <w:r w:rsidDel="00000000" w:rsidR="00000000" w:rsidRPr="00000000">
        <w:rPr>
          <w:rFonts w:ascii="Proxima Nova" w:cs="Proxima Nova" w:eastAsia="Proxima Nova" w:hAnsi="Proxima Nova"/>
          <w:b w:val="1"/>
          <w:bCs w:val="1"/>
          <w:sz w:val="20"/>
          <w:szCs w:val="20"/>
          <w:rtl w:val="0"/>
        </w:rPr>
        <w:t xml:space="preserve">wzrosły mediana wynagrodzeń (+1,9%) i udział ofert z pracą zdalną (+2,2%)</w:t>
      </w:r>
      <w:r w:rsidDel="00000000" w:rsidR="00000000" w:rsidRPr="00000000">
        <w:rPr>
          <w:rFonts w:ascii="Proxima Nova" w:cs="Proxima Nova" w:eastAsia="Proxima Nova" w:hAnsi="Proxima Nova"/>
          <w:sz w:val="20"/>
          <w:szCs w:val="20"/>
          <w:rtl w:val="0"/>
        </w:rPr>
        <w:t xml:space="preserve">.</w:t>
      </w:r>
    </w:p>
    <w:p w:rsidR="00000000" w:rsidDel="00000000" w:rsidP="00000000" w:rsidRDefault="00000000" w:rsidRPr="00000000" w14:paraId="00000006">
      <w:pPr>
        <w:numPr>
          <w:ilvl w:val="0"/>
          <w:numId w:val="2"/>
        </w:numPr>
        <w:spacing w:after="0" w:before="0" w:line="276"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Popyt i wynagrodzenia nie zawsze idą w parze. </w:t>
      </w:r>
      <w:r w:rsidDel="00000000" w:rsidR="00000000" w:rsidRPr="00000000">
        <w:rPr>
          <w:rFonts w:ascii="Proxima Nova" w:cs="Proxima Nova" w:eastAsia="Proxima Nova" w:hAnsi="Proxima Nova"/>
          <w:b w:val="1"/>
          <w:bCs w:val="1"/>
          <w:sz w:val="20"/>
          <w:szCs w:val="20"/>
          <w:rtl w:val="0"/>
        </w:rPr>
        <w:t xml:space="preserve">Backend notuje mniej ofert przy wyższych stawkach, AI/ML – więcej ofert przy stabilizacji wynagrodzeń</w:t>
      </w:r>
      <w:r w:rsidDel="00000000" w:rsidR="00000000" w:rsidRPr="00000000">
        <w:rPr>
          <w:rFonts w:ascii="Proxima Nova" w:cs="Proxima Nova" w:eastAsia="Proxima Nova" w:hAnsi="Proxima Nova"/>
          <w:sz w:val="20"/>
          <w:szCs w:val="20"/>
          <w:rtl w:val="0"/>
        </w:rPr>
        <w:t xml:space="preserve">, a administracja IT – niewielki wzrost ofert przy wyraźnym wzroście stawek.</w:t>
      </w:r>
    </w:p>
    <w:p w:rsidR="00000000" w:rsidDel="00000000" w:rsidP="00000000" w:rsidRDefault="00000000" w:rsidRPr="00000000" w14:paraId="00000007">
      <w:pPr>
        <w:numPr>
          <w:ilvl w:val="0"/>
          <w:numId w:val="2"/>
        </w:numPr>
        <w:spacing w:after="0" w:before="0" w:line="276"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Praca zdalna pozostaje ważnym elementem rynku, ale jej dostępność mocno zależy od specjalizacji. </w:t>
      </w:r>
      <w:r w:rsidDel="00000000" w:rsidR="00000000" w:rsidRPr="00000000">
        <w:rPr>
          <w:rFonts w:ascii="Proxima Nova" w:cs="Proxima Nova" w:eastAsia="Proxima Nova" w:hAnsi="Proxima Nova"/>
          <w:b w:val="1"/>
          <w:bCs w:val="1"/>
          <w:sz w:val="20"/>
          <w:szCs w:val="20"/>
          <w:rtl w:val="0"/>
        </w:rPr>
        <w:t xml:space="preserve">Udział ofert remote sięga 41% w AI/ML i 38,7% w backendzie</w:t>
      </w:r>
      <w:r w:rsidDel="00000000" w:rsidR="00000000" w:rsidRPr="00000000">
        <w:rPr>
          <w:rFonts w:ascii="Proxima Nova" w:cs="Proxima Nova" w:eastAsia="Proxima Nova" w:hAnsi="Proxima Nova"/>
          <w:sz w:val="20"/>
          <w:szCs w:val="20"/>
          <w:rtl w:val="0"/>
        </w:rPr>
        <w:t xml:space="preserve">, podczas gdy w administracji IT ze względu na specyfikę wynosi 16%.</w:t>
      </w:r>
    </w:p>
    <w:p w:rsidR="00000000" w:rsidDel="00000000" w:rsidP="00000000" w:rsidRDefault="00000000" w:rsidRPr="00000000" w14:paraId="00000008">
      <w:pPr>
        <w:numPr>
          <w:ilvl w:val="0"/>
          <w:numId w:val="2"/>
        </w:numPr>
        <w:spacing w:after="0" w:before="0" w:line="276"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b w:val="1"/>
          <w:bCs w:val="1"/>
          <w:sz w:val="20"/>
          <w:szCs w:val="20"/>
          <w:rtl w:val="0"/>
        </w:rPr>
        <w:t xml:space="preserve">Rosnący udział AI nie oznacza odwrotu od technologicznego rdzenia rynku</w:t>
      </w:r>
      <w:r w:rsidDel="00000000" w:rsidR="00000000" w:rsidRPr="00000000">
        <w:rPr>
          <w:rFonts w:ascii="Proxima Nova" w:cs="Proxima Nova" w:eastAsia="Proxima Nova" w:hAnsi="Proxima Nova"/>
          <w:sz w:val="20"/>
          <w:szCs w:val="20"/>
          <w:rtl w:val="0"/>
        </w:rPr>
        <w:t xml:space="preserve">. SQL pozostaje najczęściej wskazywaną technologią w ofertach, a w kluczowych specjalizacjach nadal dominują Java, Linux, SQL i Python.</w:t>
      </w:r>
    </w:p>
    <w:p w:rsidR="00000000" w:rsidDel="00000000" w:rsidP="00000000" w:rsidRDefault="00000000" w:rsidRPr="00000000" w14:paraId="00000009">
      <w:pPr>
        <w:numPr>
          <w:ilvl w:val="0"/>
          <w:numId w:val="2"/>
        </w:numPr>
        <w:spacing w:after="0" w:before="0" w:line="276" w:lineRule="auto"/>
        <w:ind w:left="720" w:hanging="36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W bardziej zmiennym otoczeniu</w:t>
      </w:r>
      <w:r w:rsidDel="00000000" w:rsidR="00000000" w:rsidRPr="00000000">
        <w:rPr>
          <w:rFonts w:ascii="Proxima Nova" w:cs="Proxima Nova" w:eastAsia="Proxima Nova" w:hAnsi="Proxima Nova"/>
          <w:b w:val="1"/>
          <w:bCs w:val="1"/>
          <w:sz w:val="20"/>
          <w:szCs w:val="20"/>
          <w:rtl w:val="0"/>
        </w:rPr>
        <w:t xml:space="preserve"> rośnie znaczenie bieżącego dostępu do danych</w:t>
      </w:r>
      <w:r w:rsidDel="00000000" w:rsidR="00000000" w:rsidRPr="00000000">
        <w:rPr>
          <w:rFonts w:ascii="Proxima Nova" w:cs="Proxima Nova" w:eastAsia="Proxima Nova" w:hAnsi="Proxima Nova"/>
          <w:sz w:val="20"/>
          <w:szCs w:val="20"/>
          <w:rtl w:val="0"/>
        </w:rPr>
        <w:t xml:space="preserve">. pro:radar ma uzupełniać raporty rynkowe o aktualny, bardziej szczegółowy obraz poszczególnych segmentów i wspierać decyzje kandydatów, rekruterów i pracodawców.</w:t>
      </w:r>
    </w:p>
    <w:p w:rsidR="00000000" w:rsidDel="00000000" w:rsidP="00000000" w:rsidRDefault="00000000" w:rsidRPr="00000000" w14:paraId="0000000A">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b w:val="1"/>
          <w:bCs w:val="1"/>
          <w:sz w:val="24"/>
          <w:szCs w:val="24"/>
          <w:rtl w:val="0"/>
        </w:rPr>
        <w:t xml:space="preserve">Każda specjalizacja porusza się w innym tempie</w:t>
      </w:r>
      <w:r w:rsidDel="00000000" w:rsidR="00000000" w:rsidRPr="00000000">
        <w:rPr>
          <w:rtl w:val="0"/>
        </w:rPr>
      </w:r>
    </w:p>
    <w:p w:rsidR="00000000" w:rsidDel="00000000" w:rsidP="00000000" w:rsidRDefault="00000000" w:rsidRPr="00000000" w14:paraId="0000000B">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Obraz całego sektora nie oddaje skali różnic między poszczególnymi specjalizacjami. </w:t>
      </w:r>
      <w:r w:rsidDel="00000000" w:rsidR="00000000" w:rsidRPr="00000000">
        <w:rPr>
          <w:rFonts w:ascii="Proxima Nova" w:cs="Proxima Nova" w:eastAsia="Proxima Nova" w:hAnsi="Proxima Nova"/>
          <w:b w:val="1"/>
          <w:bCs w:val="1"/>
          <w:sz w:val="20"/>
          <w:szCs w:val="20"/>
          <w:rtl w:val="0"/>
        </w:rPr>
        <w:t xml:space="preserve">W AI/ML, najszybciej rozwijającym się obszarze IT, liczba ofert wzrosła o 14,6%</w:t>
      </w:r>
      <w:r w:rsidDel="00000000" w:rsidR="00000000" w:rsidRPr="00000000">
        <w:rPr>
          <w:rFonts w:ascii="Proxima Nova" w:cs="Proxima Nova" w:eastAsia="Proxima Nova" w:hAnsi="Proxima Nova"/>
          <w:sz w:val="20"/>
          <w:szCs w:val="20"/>
          <w:rtl w:val="0"/>
        </w:rPr>
        <w:t xml:space="preserve">. Dodatnią dynamikę obserwujemy również w Business Analytics (+7,8%) oraz administracji IT (+1,6%). Z kolei backend, nadal zajmujący pierwszą pozycję w TOP5 specjalizacji, odnotował niewielki spadek liczby ofert (-4,7%).</w:t>
      </w:r>
    </w:p>
    <w:p w:rsidR="00000000" w:rsidDel="00000000" w:rsidP="00000000" w:rsidRDefault="00000000" w:rsidRPr="00000000" w14:paraId="0000000C">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Jednocześnie </w:t>
      </w:r>
      <w:r w:rsidDel="00000000" w:rsidR="00000000" w:rsidRPr="00000000">
        <w:rPr>
          <w:rFonts w:ascii="Proxima Nova" w:cs="Proxima Nova" w:eastAsia="Proxima Nova" w:hAnsi="Proxima Nova"/>
          <w:b w:val="1"/>
          <w:bCs w:val="1"/>
          <w:sz w:val="20"/>
          <w:szCs w:val="20"/>
          <w:rtl w:val="0"/>
        </w:rPr>
        <w:t xml:space="preserve">zmiany popytu nie przekładają się wprost na wynagrodzenia</w:t>
      </w:r>
      <w:r w:rsidDel="00000000" w:rsidR="00000000" w:rsidRPr="00000000">
        <w:rPr>
          <w:rFonts w:ascii="Proxima Nova" w:cs="Proxima Nova" w:eastAsia="Proxima Nova" w:hAnsi="Proxima Nova"/>
          <w:sz w:val="20"/>
          <w:szCs w:val="20"/>
          <w:rtl w:val="0"/>
        </w:rPr>
        <w:t xml:space="preserve">. Backend jest tego dobrym przykładem: ofert jest mniej niż w poprzednim okresie, ale mediana stawek B2B wzrosła o 2,5%, do 22 800 zł netto + VAT miesięcznie. W administracji IT liczba ogłoszeń zwiększyła się tylko nieznacznie, podczas gdy wynagrodzenia poszły w górę aż o 7,7%. Jeszcze inny scenariusz można zauważyć w AI/ML – </w:t>
      </w:r>
      <w:r w:rsidDel="00000000" w:rsidR="00000000" w:rsidRPr="00000000">
        <w:rPr>
          <w:rFonts w:ascii="Proxima Nova" w:cs="Proxima Nova" w:eastAsia="Proxima Nova" w:hAnsi="Proxima Nova"/>
          <w:b w:val="1"/>
          <w:bCs w:val="1"/>
          <w:sz w:val="20"/>
          <w:szCs w:val="20"/>
          <w:rtl w:val="0"/>
        </w:rPr>
        <w:t xml:space="preserve">przy wyraźnym wzroście liczby ogłoszeń mediana wynagrodzeń pozostała stabilna</w:t>
      </w:r>
      <w:r w:rsidDel="00000000" w:rsidR="00000000" w:rsidRPr="00000000">
        <w:rPr>
          <w:rFonts w:ascii="Proxima Nova" w:cs="Proxima Nova" w:eastAsia="Proxima Nova" w:hAnsi="Proxima Nova"/>
          <w:sz w:val="20"/>
          <w:szCs w:val="20"/>
          <w:rtl w:val="0"/>
        </w:rPr>
        <w:t xml:space="preserve"> na poziomie 24 800 zł netto + VAT miesięcznie.</w:t>
      </w:r>
    </w:p>
    <w:p w:rsidR="00000000" w:rsidDel="00000000" w:rsidP="00000000" w:rsidRDefault="00000000" w:rsidRPr="00000000" w14:paraId="0000000D">
      <w:pPr>
        <w:numPr>
          <w:ilvl w:val="0"/>
          <w:numId w:val="1"/>
        </w:numPr>
        <w:spacing w:after="0" w:before="240" w:line="276" w:lineRule="auto"/>
        <w:ind w:left="720" w:hanging="360"/>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Jak pokazuje przykład backendu, mniejsza liczba ofert nie musi oznaczać automatycznej presji na obniżanie stawek czy osłabienia pozycji specjalistów na rynku. Firmy rekrutują bardziej selektywnie i mocniej priorytetyzują role, które są istotne z punktu widzenia rozwoju produktów, utrzymania infrastruktury czy transformacji technologicznej. Poszczególne specjalizacje rozwijają się dziś w różnym tempie, dlatego coraz większego znaczenia nabiera to, jakich kompetencji poszukują rekruterzy w danym obszarze, na jakich warunkach firmy chcą je pozyskiwać i jak zmieniają się oczekiwania wobec kandydatów </w:t>
      </w:r>
      <w:r w:rsidDel="00000000" w:rsidR="00000000" w:rsidRPr="00000000">
        <w:rPr>
          <w:rFonts w:ascii="Proxima Nova" w:cs="Proxima Nova" w:eastAsia="Proxima Nova" w:hAnsi="Proxima Nova"/>
          <w:sz w:val="20"/>
          <w:szCs w:val="20"/>
          <w:rtl w:val="0"/>
        </w:rPr>
        <w:t xml:space="preserve">– komentuje </w:t>
      </w:r>
      <w:r w:rsidDel="00000000" w:rsidR="00000000" w:rsidRPr="00000000">
        <w:rPr>
          <w:rFonts w:ascii="Proxima Nova" w:cs="Proxima Nova" w:eastAsia="Proxima Nova" w:hAnsi="Proxima Nova"/>
          <w:b w:val="1"/>
          <w:bCs w:val="1"/>
          <w:sz w:val="20"/>
          <w:szCs w:val="20"/>
          <w:rtl w:val="0"/>
        </w:rPr>
        <w:t xml:space="preserve">Piotr Trzmiel, Dyrektor ds. Rozwoju Biznesu w theprotocol.it</w:t>
      </w:r>
      <w:r w:rsidDel="00000000" w:rsidR="00000000" w:rsidRPr="00000000">
        <w:rPr>
          <w:rFonts w:ascii="Proxima Nova" w:cs="Proxima Nova" w:eastAsia="Proxima Nova" w:hAnsi="Proxima Nova"/>
          <w:sz w:val="20"/>
          <w:szCs w:val="20"/>
          <w:rtl w:val="0"/>
        </w:rPr>
        <w:t xml:space="preserve">.</w:t>
      </w:r>
    </w:p>
    <w:p w:rsidR="00000000" w:rsidDel="00000000" w:rsidP="00000000" w:rsidRDefault="00000000" w:rsidRPr="00000000" w14:paraId="0000000E">
      <w:pPr>
        <w:spacing w:after="0" w:before="240" w:line="276"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bCs w:val="1"/>
          <w:sz w:val="24"/>
          <w:szCs w:val="24"/>
          <w:rtl w:val="0"/>
        </w:rPr>
        <w:t xml:space="preserve">Praca zdalna nie znika, ale jej dostępność mocno zależy od specjalizacji</w:t>
      </w:r>
      <w:r w:rsidDel="00000000" w:rsidR="00000000" w:rsidRPr="00000000">
        <w:rPr>
          <w:rtl w:val="0"/>
        </w:rPr>
      </w:r>
    </w:p>
    <w:p w:rsidR="00000000" w:rsidDel="00000000" w:rsidP="00000000" w:rsidRDefault="00000000" w:rsidRPr="00000000" w14:paraId="0000000F">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Mimo silnej narracji o ograniczaniu pracy zdalnej, nadal pozostaje ona istotną częścią rynku IT. W ostatnich 90 dniach </w:t>
      </w:r>
      <w:r w:rsidDel="00000000" w:rsidR="00000000" w:rsidRPr="00000000">
        <w:rPr>
          <w:rFonts w:ascii="Proxima Nova" w:cs="Proxima Nova" w:eastAsia="Proxima Nova" w:hAnsi="Proxima Nova"/>
          <w:b w:val="1"/>
          <w:bCs w:val="1"/>
          <w:sz w:val="20"/>
          <w:szCs w:val="20"/>
          <w:rtl w:val="0"/>
        </w:rPr>
        <w:t xml:space="preserve">udział ofert z pracą zdalną wyniósł 31,2% i był o 2,2% wyższy</w:t>
      </w:r>
      <w:r w:rsidDel="00000000" w:rsidR="00000000" w:rsidRPr="00000000">
        <w:rPr>
          <w:rFonts w:ascii="Proxima Nova" w:cs="Proxima Nova" w:eastAsia="Proxima Nova" w:hAnsi="Proxima Nova"/>
          <w:sz w:val="20"/>
          <w:szCs w:val="20"/>
          <w:rtl w:val="0"/>
        </w:rPr>
        <w:t xml:space="preserve"> niż w poprzednim okresie. Największy wzrost wśród analizowanych specjalizacji odnotowano w backendzie (+10,2%).</w:t>
      </w:r>
    </w:p>
    <w:p w:rsidR="00000000" w:rsidDel="00000000" w:rsidP="00000000" w:rsidRDefault="00000000" w:rsidRPr="00000000" w14:paraId="00000010">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Jednocześnie </w:t>
      </w:r>
      <w:r w:rsidDel="00000000" w:rsidR="00000000" w:rsidRPr="00000000">
        <w:rPr>
          <w:rFonts w:ascii="Proxima Nova" w:cs="Proxima Nova" w:eastAsia="Proxima Nova" w:hAnsi="Proxima Nova"/>
          <w:b w:val="1"/>
          <w:bCs w:val="1"/>
          <w:sz w:val="20"/>
          <w:szCs w:val="20"/>
          <w:rtl w:val="0"/>
        </w:rPr>
        <w:t xml:space="preserve">sam poziom dostępności pracy zdalnej mocno różni się między obszarami</w:t>
      </w:r>
      <w:r w:rsidDel="00000000" w:rsidR="00000000" w:rsidRPr="00000000">
        <w:rPr>
          <w:rFonts w:ascii="Proxima Nova" w:cs="Proxima Nova" w:eastAsia="Proxima Nova" w:hAnsi="Proxima Nova"/>
          <w:sz w:val="20"/>
          <w:szCs w:val="20"/>
          <w:rtl w:val="0"/>
        </w:rPr>
        <w:t xml:space="preserve">. W AI/ML obejmuje ona 41% ofert, w backendzie 38,7%, podczas gdy w Administracji IT – 16%. Co istotne, mimo wysokiego udziału ofert remote w specjalizacji AI/ML ich odsetek spadł w ostatnim okresie o 5,3%.</w:t>
      </w:r>
    </w:p>
    <w:p w:rsidR="00000000" w:rsidDel="00000000" w:rsidP="00000000" w:rsidRDefault="00000000" w:rsidRPr="00000000" w14:paraId="00000011">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Świadczy to o tym, że powrót do biur nie przebiega w IT zgodnie z jednym scenariuszem. Model pracy zależy od charakteru danej roli, sposobu organizacji zespołu i potrzeb pracodawcy. Bieżące dane </w:t>
      </w:r>
      <w:r w:rsidDel="00000000" w:rsidR="00000000" w:rsidRPr="00000000">
        <w:rPr>
          <w:rFonts w:ascii="Proxima Nova" w:cs="Proxima Nova" w:eastAsia="Proxima Nova" w:hAnsi="Proxima Nova"/>
          <w:b w:val="1"/>
          <w:bCs w:val="1"/>
          <w:sz w:val="20"/>
          <w:szCs w:val="20"/>
          <w:rtl w:val="0"/>
        </w:rPr>
        <w:t xml:space="preserve">potwierdzają kontynuację trendu widocznego już wcześniej</w:t>
      </w:r>
      <w:r w:rsidDel="00000000" w:rsidR="00000000" w:rsidRPr="00000000">
        <w:rPr>
          <w:rFonts w:ascii="Proxima Nova" w:cs="Proxima Nova" w:eastAsia="Proxima Nova" w:hAnsi="Proxima Nova"/>
          <w:sz w:val="20"/>
          <w:szCs w:val="20"/>
          <w:rtl w:val="0"/>
        </w:rPr>
        <w:t xml:space="preserve">: praca zdalna przestaje być traktowana jak dodatkowy, atrakcyjny benefit, a pozostaje jednym z podstawowych parametrów oferty i warunków współpracy.</w:t>
      </w:r>
    </w:p>
    <w:p w:rsidR="00000000" w:rsidDel="00000000" w:rsidP="00000000" w:rsidRDefault="00000000" w:rsidRPr="00000000" w14:paraId="00000012">
      <w:pPr>
        <w:spacing w:after="0" w:before="240" w:line="276"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bCs w:val="1"/>
          <w:sz w:val="24"/>
          <w:szCs w:val="24"/>
          <w:rtl w:val="0"/>
        </w:rPr>
        <w:t xml:space="preserve">AI nie wypiera technologicznego rdzenia rynku</w:t>
      </w:r>
      <w:r w:rsidDel="00000000" w:rsidR="00000000" w:rsidRPr="00000000">
        <w:rPr>
          <w:rtl w:val="0"/>
        </w:rPr>
      </w:r>
    </w:p>
    <w:p w:rsidR="00000000" w:rsidDel="00000000" w:rsidP="00000000" w:rsidRDefault="00000000" w:rsidRPr="00000000" w14:paraId="00000013">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Wzrost znaczenia AI nie oznacza, że rynek IT gwałtownie odchodzi od technologii, które od lat stanowią jego podstawę. Z danych za ostatnie 90 dni wynika, że </w:t>
      </w:r>
      <w:r w:rsidDel="00000000" w:rsidR="00000000" w:rsidRPr="00000000">
        <w:rPr>
          <w:rFonts w:ascii="Proxima Nova" w:cs="Proxima Nova" w:eastAsia="Proxima Nova" w:hAnsi="Proxima Nova"/>
          <w:b w:val="1"/>
          <w:bCs w:val="1"/>
          <w:sz w:val="20"/>
          <w:szCs w:val="20"/>
          <w:rtl w:val="0"/>
        </w:rPr>
        <w:t xml:space="preserve">najczęściej pojawiającą się technologią w ofertach na theprotocol.it pozostaje SQL</w:t>
      </w:r>
      <w:r w:rsidDel="00000000" w:rsidR="00000000" w:rsidRPr="00000000">
        <w:rPr>
          <w:rFonts w:ascii="Proxima Nova" w:cs="Proxima Nova" w:eastAsia="Proxima Nova" w:hAnsi="Proxima Nova"/>
          <w:sz w:val="20"/>
          <w:szCs w:val="20"/>
          <w:rtl w:val="0"/>
        </w:rPr>
        <w:t xml:space="preserve"> – obecny w 2563 ogłoszeniach. W poszczególnych specjalizacjach dominują natomiast technologie ściśle związane z ich podstawową funkcją: Java w backendzie, Linux w Administracji IT, SQL w Business Analytics i Python w AI/ML.</w:t>
      </w:r>
    </w:p>
    <w:p w:rsidR="00000000" w:rsidDel="00000000" w:rsidP="00000000" w:rsidRDefault="00000000" w:rsidRPr="00000000" w14:paraId="00000014">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Zmiana na rynku nie polega więc na prostym zastępowaniu jednych kompetencji drugimi. Szybko rosnące obszary, takie jak AI/ML, rozwijają się obok dojrzałych specjalizacji, które nadal odpowiadają za dużą część popytu rekrutacyjnego. W efekcie coraz ważniejsze staje się nie tylko to, które specjalizacje rosną, ale również </w:t>
      </w:r>
      <w:r w:rsidDel="00000000" w:rsidR="00000000" w:rsidRPr="00000000">
        <w:rPr>
          <w:rFonts w:ascii="Proxima Nova" w:cs="Proxima Nova" w:eastAsia="Proxima Nova" w:hAnsi="Proxima Nova"/>
          <w:b w:val="1"/>
          <w:bCs w:val="1"/>
          <w:sz w:val="20"/>
          <w:szCs w:val="20"/>
          <w:rtl w:val="0"/>
        </w:rPr>
        <w:t xml:space="preserve">jak zmienia się zapotrzebowanie na technologie w ramach istniejących ról</w:t>
      </w:r>
      <w:r w:rsidDel="00000000" w:rsidR="00000000" w:rsidRPr="00000000">
        <w:rPr>
          <w:rFonts w:ascii="Proxima Nova" w:cs="Proxima Nova" w:eastAsia="Proxima Nova" w:hAnsi="Proxima Nova"/>
          <w:sz w:val="20"/>
          <w:szCs w:val="20"/>
          <w:rtl w:val="0"/>
        </w:rPr>
        <w:t xml:space="preserve">.</w:t>
      </w:r>
    </w:p>
    <w:p w:rsidR="00000000" w:rsidDel="00000000" w:rsidP="00000000" w:rsidRDefault="00000000" w:rsidRPr="00000000" w14:paraId="00000015">
      <w:pPr>
        <w:spacing w:after="0" w:before="240" w:line="276" w:lineRule="auto"/>
        <w:rPr>
          <w:rFonts w:ascii="Proxima Nova" w:cs="Proxima Nova" w:eastAsia="Proxima Nova" w:hAnsi="Proxima Nova"/>
          <w:sz w:val="20"/>
          <w:szCs w:val="20"/>
        </w:rPr>
      </w:pPr>
      <w:r w:rsidDel="00000000" w:rsidR="00000000" w:rsidRPr="00000000">
        <w:rPr>
          <w:rFonts w:ascii="Proxima Nova" w:cs="Proxima Nova" w:eastAsia="Proxima Nova" w:hAnsi="Proxima Nova"/>
          <w:b w:val="1"/>
          <w:bCs w:val="1"/>
          <w:sz w:val="24"/>
          <w:szCs w:val="24"/>
          <w:rtl w:val="0"/>
        </w:rPr>
        <w:t xml:space="preserve">Bieżąca orientacja zamiast jednego obrazu rynku</w:t>
      </w:r>
      <w:r w:rsidDel="00000000" w:rsidR="00000000" w:rsidRPr="00000000">
        <w:rPr>
          <w:rtl w:val="0"/>
        </w:rPr>
      </w:r>
    </w:p>
    <w:p w:rsidR="00000000" w:rsidDel="00000000" w:rsidP="00000000" w:rsidRDefault="00000000" w:rsidRPr="00000000" w14:paraId="00000016">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Dane theprotocol.it z ostatnich miesięcy potwierdzają, że polski rynek IT coraz trudniej opisywać za pomocą jednego, uśrednionego obrazu. Poszczególne specjalizacje różnią się nie tylko skalą popytu, ale również dynamiką wynagrodzeń, dostępnością pracy zdalnej czy zapotrzebowaniem na konkretne technologie. Nie jest to zjawisko nowe, ale wyraźnie przyspieszyło, co wynika między innymi z większej niepewności gospodarczej i geopolitycznej. W takim otoczeniu </w:t>
      </w:r>
      <w:r w:rsidDel="00000000" w:rsidR="00000000" w:rsidRPr="00000000">
        <w:rPr>
          <w:rFonts w:ascii="Proxima Nova" w:cs="Proxima Nova" w:eastAsia="Proxima Nova" w:hAnsi="Proxima Nova"/>
          <w:b w:val="1"/>
          <w:bCs w:val="1"/>
          <w:sz w:val="20"/>
          <w:szCs w:val="20"/>
          <w:rtl w:val="0"/>
        </w:rPr>
        <w:t xml:space="preserve">wyzwaniem staje się nie brak danych, lecz ich szybkie starzenie się i zbyt wysoki poziom agregacji</w:t>
      </w:r>
      <w:r w:rsidDel="00000000" w:rsidR="00000000" w:rsidRPr="00000000">
        <w:rPr>
          <w:rFonts w:ascii="Proxima Nova" w:cs="Proxima Nova" w:eastAsia="Proxima Nova" w:hAnsi="Proxima Nova"/>
          <w:sz w:val="20"/>
          <w:szCs w:val="20"/>
          <w:rtl w:val="0"/>
        </w:rPr>
        <w:t xml:space="preserve">.</w:t>
      </w:r>
    </w:p>
    <w:p w:rsidR="00000000" w:rsidDel="00000000" w:rsidP="00000000" w:rsidRDefault="00000000" w:rsidRPr="00000000" w14:paraId="00000017">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Z badania Deloitte wynika, że aż 85% respondentów uznaje zdolność organizacji i pracowników do adaptowania się w wymaganym dzisiaj tempie za kluczową, podczas gdy zaledwie 7% uważa, że ich organizacja jest pod tym względem liderem. </w:t>
      </w:r>
      <w:r w:rsidDel="00000000" w:rsidR="00000000" w:rsidRPr="00000000">
        <w:rPr>
          <w:rFonts w:ascii="Proxima Nova" w:cs="Proxima Nova" w:eastAsia="Proxima Nova" w:hAnsi="Proxima Nova"/>
          <w:b w:val="1"/>
          <w:bCs w:val="1"/>
          <w:sz w:val="20"/>
          <w:szCs w:val="20"/>
          <w:rtl w:val="0"/>
        </w:rPr>
        <w:t xml:space="preserve">Luka między znaczeniem adaptacyjności a faktyczną gotowością</w:t>
      </w:r>
      <w:r w:rsidDel="00000000" w:rsidR="00000000" w:rsidRPr="00000000">
        <w:rPr>
          <w:rFonts w:ascii="Proxima Nova" w:cs="Proxima Nova" w:eastAsia="Proxima Nova" w:hAnsi="Proxima Nova"/>
          <w:sz w:val="20"/>
          <w:szCs w:val="20"/>
          <w:rtl w:val="0"/>
        </w:rPr>
        <w:t xml:space="preserve"> </w:t>
      </w:r>
      <w:r w:rsidDel="00000000" w:rsidR="00000000" w:rsidRPr="00000000">
        <w:rPr>
          <w:rFonts w:ascii="Proxima Nova" w:cs="Proxima Nova" w:eastAsia="Proxima Nova" w:hAnsi="Proxima Nova"/>
          <w:b w:val="1"/>
          <w:bCs w:val="1"/>
          <w:sz w:val="20"/>
          <w:szCs w:val="20"/>
          <w:rtl w:val="0"/>
        </w:rPr>
        <w:t xml:space="preserve">do działania</w:t>
      </w:r>
      <w:r w:rsidDel="00000000" w:rsidR="00000000" w:rsidRPr="00000000">
        <w:rPr>
          <w:rFonts w:ascii="Proxima Nova" w:cs="Proxima Nova" w:eastAsia="Proxima Nova" w:hAnsi="Proxima Nova"/>
          <w:sz w:val="20"/>
          <w:szCs w:val="20"/>
          <w:rtl w:val="0"/>
        </w:rPr>
        <w:t xml:space="preserve"> pokazuje, jak istotne stają się aktualne i łatwo dostępne punkty odniesienia.</w:t>
      </w:r>
    </w:p>
    <w:p w:rsidR="00000000" w:rsidDel="00000000" w:rsidP="00000000" w:rsidRDefault="00000000" w:rsidRPr="00000000" w14:paraId="00000018">
      <w:pPr>
        <w:numPr>
          <w:ilvl w:val="0"/>
          <w:numId w:val="1"/>
        </w:numPr>
        <w:spacing w:after="0" w:before="240" w:line="276" w:lineRule="auto"/>
        <w:ind w:left="720" w:hanging="360"/>
        <w:rPr>
          <w:rFonts w:ascii="Proxima Nova" w:cs="Proxima Nova" w:eastAsia="Proxima Nova" w:hAnsi="Proxima Nova"/>
          <w:i w:val="1"/>
          <w:iCs w:val="1"/>
          <w:sz w:val="20"/>
          <w:szCs w:val="20"/>
        </w:rPr>
      </w:pPr>
      <w:r w:rsidDel="00000000" w:rsidR="00000000" w:rsidRPr="00000000">
        <w:rPr>
          <w:rFonts w:ascii="Proxima Nova" w:cs="Proxima Nova" w:eastAsia="Proxima Nova" w:hAnsi="Proxima Nova"/>
          <w:i w:val="1"/>
          <w:iCs w:val="1"/>
          <w:sz w:val="20"/>
          <w:szCs w:val="20"/>
          <w:rtl w:val="0"/>
        </w:rPr>
        <w:t xml:space="preserve">Real-time adaptability oznacza umiejętność przekładania aktualnych sygnałów z rynku na konkretne decyzje. Raporty branżowe nadal pozostają ważnym źródłem szerszej perspektywy i pozwalają uchwycić kierunek zmian w dłuższej perspektywie. Bieżące dane uzupełniają ten obraz w sytuacji, gdy liczy się moment podjęcia decyzji </w:t>
      </w:r>
      <w:r w:rsidDel="00000000" w:rsidR="00000000" w:rsidRPr="00000000">
        <w:rPr>
          <w:rFonts w:ascii="Proxima Nova" w:cs="Proxima Nova" w:eastAsia="Proxima Nova" w:hAnsi="Proxima Nova"/>
          <w:sz w:val="20"/>
          <w:szCs w:val="20"/>
          <w:rtl w:val="0"/>
        </w:rPr>
        <w:t xml:space="preserve">– podkreśla </w:t>
      </w:r>
      <w:r w:rsidDel="00000000" w:rsidR="00000000" w:rsidRPr="00000000">
        <w:rPr>
          <w:rFonts w:ascii="Proxima Nova" w:cs="Proxima Nova" w:eastAsia="Proxima Nova" w:hAnsi="Proxima Nova"/>
          <w:b w:val="1"/>
          <w:bCs w:val="1"/>
          <w:sz w:val="20"/>
          <w:szCs w:val="20"/>
          <w:rtl w:val="0"/>
        </w:rPr>
        <w:t xml:space="preserve">Alicja Wierzbowska, Starsza Specjalistka ds. Rekrutacji i Marki Pracodawcy w theprotocol.it</w:t>
      </w:r>
      <w:r w:rsidDel="00000000" w:rsidR="00000000" w:rsidRPr="00000000">
        <w:rPr>
          <w:rFonts w:ascii="Proxima Nova" w:cs="Proxima Nova" w:eastAsia="Proxima Nova" w:hAnsi="Proxima Nova"/>
          <w:sz w:val="20"/>
          <w:szCs w:val="20"/>
          <w:rtl w:val="0"/>
        </w:rPr>
        <w:t xml:space="preserve"> w Grupie Pracuj. – </w:t>
      </w:r>
      <w:r w:rsidDel="00000000" w:rsidR="00000000" w:rsidRPr="00000000">
        <w:rPr>
          <w:rFonts w:ascii="Proxima Nova" w:cs="Proxima Nova" w:eastAsia="Proxima Nova" w:hAnsi="Proxima Nova"/>
          <w:i w:val="1"/>
          <w:iCs w:val="1"/>
          <w:sz w:val="20"/>
          <w:szCs w:val="20"/>
          <w:rtl w:val="0"/>
        </w:rPr>
        <w:t xml:space="preserve">Dla specjalisty może to oznaczać lepszą ocenę tego, które kompetencje zyskują na znaczeniu i jak kształtują się wynagrodzenia w danej specjalizacji. Z kolei dla pracodawcy wiąże się to z możliwością zweryfikowania budżetu, założeń rekrutacji czy oczekiwań wobec kandydatów w odniesieniu do aktualnej sytuacji rynkowej Na tej potrzebie opiera się pro:radar, narzędzie theprotocol.it porządkujące bieżące sygnały z rynku i ułatwiające podejmowanie decyzji na podstawie aktualnych danych z konkretnych jego segmentów.</w:t>
      </w:r>
    </w:p>
    <w:p w:rsidR="00000000" w:rsidDel="00000000" w:rsidP="00000000" w:rsidRDefault="00000000" w:rsidRPr="00000000" w14:paraId="00000019">
      <w:pPr>
        <w:spacing w:after="0" w:before="240" w:line="276" w:lineRule="auto"/>
        <w:ind w:left="0" w:firstLine="0"/>
        <w:rPr>
          <w:rFonts w:ascii="Proxima Nova" w:cs="Proxima Nova" w:eastAsia="Proxima Nova" w:hAnsi="Proxima Nova"/>
          <w:sz w:val="20"/>
          <w:szCs w:val="20"/>
        </w:rPr>
      </w:pPr>
      <w:r w:rsidDel="00000000" w:rsidR="00000000" w:rsidRPr="00000000">
        <w:rPr>
          <w:rFonts w:ascii="Proxima Nova" w:cs="Proxima Nova" w:eastAsia="Proxima Nova" w:hAnsi="Proxima Nova"/>
          <w:sz w:val="20"/>
          <w:szCs w:val="20"/>
          <w:rtl w:val="0"/>
        </w:rPr>
        <w:t xml:space="preserve">Obserwujemy więc zmianę punktu ciężkości: z okresowego sprawdzania kondycji rynku na stałe monitorowanie sygnałów, które mogą wpływać na decyzje zawodowe i biznesowe. Większą wartość ma więc nie sam dostęp do informacji, ale </w:t>
      </w:r>
      <w:r w:rsidDel="00000000" w:rsidR="00000000" w:rsidRPr="00000000">
        <w:rPr>
          <w:rFonts w:ascii="Proxima Nova" w:cs="Proxima Nova" w:eastAsia="Proxima Nova" w:hAnsi="Proxima Nova"/>
          <w:b w:val="1"/>
          <w:bCs w:val="1"/>
          <w:sz w:val="20"/>
          <w:szCs w:val="20"/>
          <w:rtl w:val="0"/>
        </w:rPr>
        <w:t xml:space="preserve">możliwość uchwycenia kierunku zmian na tyle wcześnie, by odpowiednio dostosować do nich swoje działania</w:t>
      </w:r>
      <w:r w:rsidDel="00000000" w:rsidR="00000000" w:rsidRPr="00000000">
        <w:rPr>
          <w:rFonts w:ascii="Proxima Nova" w:cs="Proxima Nova" w:eastAsia="Proxima Nova" w:hAnsi="Proxima Nova"/>
          <w:sz w:val="20"/>
          <w:szCs w:val="20"/>
          <w:rtl w:val="0"/>
        </w:rPr>
        <w:t xml:space="preserve">.</w:t>
      </w:r>
    </w:p>
    <w:p w:rsidR="00000000" w:rsidDel="00000000" w:rsidP="00000000" w:rsidRDefault="00000000" w:rsidRPr="00000000" w14:paraId="0000001A">
      <w:pPr>
        <w:spacing w:after="0" w:before="240" w:line="276" w:lineRule="auto"/>
        <w:ind w:left="0" w:firstLine="0"/>
        <w:rPr>
          <w:rFonts w:ascii="Proxima Nova" w:cs="Proxima Nova" w:eastAsia="Proxima Nova" w:hAnsi="Proxima Nova"/>
          <w:sz w:val="20"/>
          <w:szCs w:val="20"/>
        </w:rPr>
      </w:pPr>
      <w:r w:rsidDel="00000000" w:rsidR="00000000" w:rsidRPr="00000000">
        <w:rPr>
          <w:rtl w:val="0"/>
        </w:rPr>
      </w:r>
    </w:p>
    <w:p w:rsidR="00000000" w:rsidDel="00000000" w:rsidP="00000000" w:rsidRDefault="00000000" w:rsidRPr="00000000" w14:paraId="0000001B">
      <w:pPr>
        <w:tabs>
          <w:tab w:val="left" w:leader="none" w:pos="3685"/>
        </w:tabs>
        <w:rPr>
          <w:rFonts w:ascii="Arial" w:cs="Arial" w:eastAsia="Arial" w:hAnsi="Arial"/>
          <w:b w:val="1"/>
          <w:bCs w:val="1"/>
          <w:sz w:val="24"/>
          <w:szCs w:val="24"/>
        </w:rPr>
        <w:sectPr>
          <w:headerReference r:id="rId7" w:type="default"/>
          <w:footerReference r:id="rId8" w:type="default"/>
          <w:pgSz w:h="16838" w:w="11906" w:orient="portrait"/>
          <w:pgMar w:bottom="1417" w:top="1417" w:left="1417" w:right="1417" w:header="708" w:footer="708"/>
          <w:pgNumType w:start="1"/>
        </w:sectPr>
      </w:pPr>
      <w:r w:rsidDel="00000000" w:rsidR="00000000" w:rsidRPr="00000000">
        <w:rPr>
          <w:rFonts w:ascii="Fira Code" w:cs="Fira Code" w:eastAsia="Fira Code" w:hAnsi="Fira Code"/>
          <w:b w:val="1"/>
          <w:bCs w:val="1"/>
          <w:sz w:val="20"/>
          <w:szCs w:val="20"/>
          <w:rtl w:val="0"/>
        </w:rPr>
        <w:t xml:space="preserve">Kontakt dla mediów</w:t>
      </w:r>
      <w:r w:rsidDel="00000000" w:rsidR="00000000" w:rsidRPr="00000000">
        <w:rPr>
          <w:rtl w:val="0"/>
        </w:rPr>
      </w:r>
    </w:p>
    <w:p w:rsidR="00000000" w:rsidDel="00000000" w:rsidP="00000000" w:rsidRDefault="00000000" w:rsidRPr="00000000" w14:paraId="0000001C">
      <w:pPr>
        <w:spacing w:line="278.00000000000006" w:lineRule="auto"/>
        <w:rPr>
          <w:rFonts w:ascii="Fira Code" w:cs="Fira Code" w:eastAsia="Fira Code" w:hAnsi="Fira Code"/>
          <w:sz w:val="16"/>
          <w:szCs w:val="16"/>
        </w:rPr>
        <w:sectPr>
          <w:type w:val="continuous"/>
          <w:pgSz w:h="16838" w:w="11906" w:orient="portrait"/>
          <w:pgMar w:bottom="1417" w:top="1417" w:left="1417" w:right="1417" w:header="708" w:footer="708"/>
          <w:cols w:equalWidth="0" w:num="2">
            <w:col w:space="708" w:w="4181.999999999999"/>
            <w:col w:space="0" w:w="4181.999999999999"/>
          </w:cols>
        </w:sectPr>
      </w:pPr>
      <w:r w:rsidDel="00000000" w:rsidR="00000000" w:rsidRPr="00000000">
        <w:rPr>
          <w:rFonts w:ascii="Fira Code" w:cs="Fira Code" w:eastAsia="Fira Code" w:hAnsi="Fira Code"/>
          <w:sz w:val="20"/>
          <w:szCs w:val="20"/>
          <w:rtl w:val="0"/>
        </w:rPr>
        <w:t xml:space="preserve">Agata Stasik</w:t>
        <w:br w:type="textWrapping"/>
        <w:t xml:space="preserve">mail:</w:t>
      </w:r>
      <w:r w:rsidDel="00000000" w:rsidR="00000000" w:rsidRPr="00000000">
        <w:rPr>
          <w:rFonts w:ascii="Fira Code" w:cs="Fira Code" w:eastAsia="Fira Code" w:hAnsi="Fira Code"/>
          <w:color w:val="467886"/>
          <w:sz w:val="20"/>
          <w:szCs w:val="20"/>
          <w:rtl w:val="0"/>
        </w:rPr>
        <w:t xml:space="preserve"> </w:t>
      </w:r>
      <w:r w:rsidDel="00000000" w:rsidR="00000000" w:rsidRPr="00000000">
        <w:rPr>
          <w:rFonts w:ascii="Fira Code" w:cs="Fira Code" w:eastAsia="Fira Code" w:hAnsi="Fira Code"/>
          <w:sz w:val="20"/>
          <w:szCs w:val="20"/>
          <w:rtl w:val="0"/>
        </w:rPr>
        <w:t xml:space="preserve">a.stasik@conceptpr.pl </w:t>
        <w:br w:type="textWrapping"/>
        <w:t xml:space="preserve">tel. 798 624 102</w:t>
      </w:r>
      <w:r w:rsidDel="00000000" w:rsidR="00000000" w:rsidRPr="00000000">
        <w:rPr>
          <w:rtl w:val="0"/>
        </w:rPr>
      </w:r>
    </w:p>
    <w:p w:rsidR="00000000" w:rsidDel="00000000" w:rsidP="00000000" w:rsidRDefault="00000000" w:rsidRPr="00000000" w14:paraId="0000001D">
      <w:pPr>
        <w:tabs>
          <w:tab w:val="left" w:leader="none" w:pos="3685"/>
        </w:tabs>
        <w:rPr>
          <w:rFonts w:ascii="Fira Code" w:cs="Fira Code" w:eastAsia="Fira Code" w:hAnsi="Fira Code"/>
          <w:sz w:val="20"/>
          <w:szCs w:val="20"/>
        </w:rPr>
      </w:pPr>
      <w:r w:rsidDel="00000000" w:rsidR="00000000" w:rsidRPr="00000000">
        <w:rPr>
          <w:rtl w:val="0"/>
        </w:rPr>
      </w:r>
    </w:p>
    <w:p w:rsidR="00000000" w:rsidDel="00000000" w:rsidP="00000000" w:rsidRDefault="00000000" w:rsidRPr="00000000" w14:paraId="0000001E">
      <w:pPr>
        <w:tabs>
          <w:tab w:val="left" w:leader="none" w:pos="3685"/>
        </w:tabs>
        <w:rPr>
          <w:rFonts w:ascii="Fira Code" w:cs="Fira Code" w:eastAsia="Fira Code" w:hAnsi="Fira Code"/>
          <w:b w:val="1"/>
          <w:bCs w:val="1"/>
          <w:sz w:val="20"/>
          <w:szCs w:val="20"/>
        </w:rPr>
      </w:pPr>
      <w:r w:rsidDel="00000000" w:rsidR="00000000" w:rsidRPr="00000000">
        <w:rPr>
          <w:rFonts w:ascii="Fira Code" w:cs="Fira Code" w:eastAsia="Fira Code" w:hAnsi="Fira Code"/>
          <w:b w:val="1"/>
          <w:bCs w:val="1"/>
          <w:sz w:val="20"/>
          <w:szCs w:val="20"/>
          <w:rtl w:val="0"/>
        </w:rPr>
        <w:t xml:space="preserve">O theprotocol.it </w:t>
      </w:r>
    </w:p>
    <w:p w:rsidR="00000000" w:rsidDel="00000000" w:rsidP="00000000" w:rsidRDefault="00000000" w:rsidRPr="00000000" w14:paraId="0000001F">
      <w:pPr>
        <w:tabs>
          <w:tab w:val="left" w:leader="none" w:pos="3685"/>
        </w:tabs>
        <w:rPr>
          <w:rFonts w:ascii="Proxima Nova" w:cs="Proxima Nova" w:eastAsia="Proxima Nova" w:hAnsi="Proxima Nova"/>
          <w:sz w:val="20"/>
          <w:szCs w:val="20"/>
        </w:rPr>
      </w:pPr>
      <w:r w:rsidDel="00000000" w:rsidR="00000000" w:rsidRPr="00000000">
        <w:rPr>
          <w:rFonts w:ascii="Fira Code" w:cs="Fira Code" w:eastAsia="Fira Code" w:hAnsi="Fira Code"/>
          <w:sz w:val="20"/>
          <w:szCs w:val="20"/>
          <w:rtl w:val="0"/>
        </w:rPr>
        <w:t xml:space="preserve">theprotocol.it to specjalistyczny jobboard IT łączący ekspertów technologicznych z czołowymi pracodawcami w Polsce. Serwis powstał dla wymagającego rynku IT, zaprojektowany zgodnie z potrzebami wysokiej klasy specjalistów i firm rekrutujących. Wyróżnia się nowoczesnym designem z trybem „darkmode” oraz intuicyjnym interfejsem opartym na badaniach użytkowników. Kandydatom oferuje konkretne informacje o projektach i widełkach wynagrodzeń oraz precyzyjne filtry i rozwiązania AI przyspieszające znalezienie dopasowanych ofert. Pracodawcom zapewnia dostęp do wyspecjalizowanej społeczności IT, wsparcie employer brandingowe, dedykowanego opiekuna i zaawansowane narzędzia rekrutacyjne. theprotocol.it rozwija się w synergii z Grupą Pracuj, która od 25 lat współtworzy rynek pracy w Polsce.</w:t>
      </w:r>
      <w:r w:rsidDel="00000000" w:rsidR="00000000" w:rsidRPr="00000000">
        <w:rPr>
          <w:rtl w:val="0"/>
        </w:rPr>
      </w:r>
    </w:p>
    <w:sectPr>
      <w:type w:val="continuous"/>
      <w:pgSz w:h="16838" w:w="11906"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ira Code">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Fira Code" w:cs="Fira Code" w:eastAsia="Fira Code" w:hAnsi="Fira Code"/>
        <w:b w:val="0"/>
        <w:bCs w:val="0"/>
        <w:i w:val="0"/>
        <w:iCs w:val="0"/>
        <w:smallCaps w:val="0"/>
        <w:strike w:val="0"/>
        <w:color w:val="000000"/>
        <w:sz w:val="16"/>
        <w:szCs w:val="16"/>
        <w:u w:val="none"/>
        <w:shd w:fill="auto" w:val="clear"/>
        <w:vertAlign w:val="baseline"/>
      </w:rPr>
    </w:pPr>
    <w:r w:rsidDel="00000000" w:rsidR="00000000" w:rsidRPr="00000000">
      <w:rPr>
        <w:rFonts w:ascii="Fira Code" w:cs="Fira Code" w:eastAsia="Fira Code" w:hAnsi="Fira Code"/>
        <w:b w:val="0"/>
        <w:bCs w:val="0"/>
        <w:i w:val="0"/>
        <w:iCs w:val="0"/>
        <w:smallCaps w:val="0"/>
        <w:strike w:val="0"/>
        <w:color w:val="000000"/>
        <w:sz w:val="16"/>
        <w:szCs w:val="16"/>
        <w:u w:val="none"/>
        <w:shd w:fill="auto" w:val="clear"/>
        <w:vertAlign w:val="baseline"/>
        <w:rtl w:val="0"/>
      </w:rPr>
      <w:t xml:space="preserve">Grupa Pracuj S.A. | ul. Prosta 68, 00-838 Warszawa, Polska</w:t>
      <w:br w:type="textWrapping"/>
      <w:t xml:space="preserve">tel. </w:t>
    </w:r>
    <w:hyperlink r:id="rId1">
      <w:r w:rsidDel="00000000" w:rsidR="00000000" w:rsidRPr="00000000">
        <w:rPr>
          <w:rFonts w:ascii="Fira Code" w:cs="Fira Code" w:eastAsia="Fira Code" w:hAnsi="Fira Code"/>
          <w:b w:val="0"/>
          <w:bCs w:val="0"/>
          <w:i w:val="0"/>
          <w:iCs w:val="0"/>
          <w:smallCaps w:val="0"/>
          <w:strike w:val="0"/>
          <w:color w:val="000000"/>
          <w:sz w:val="16"/>
          <w:szCs w:val="16"/>
          <w:u w:val="none"/>
          <w:shd w:fill="auto" w:val="clear"/>
          <w:vertAlign w:val="baseline"/>
          <w:rtl w:val="0"/>
        </w:rPr>
        <w:t xml:space="preserve">(22) 37 37 300</w:t>
      </w:r>
    </w:hyperlink>
    <w:r w:rsidDel="00000000" w:rsidR="00000000" w:rsidRPr="00000000">
      <w:rPr>
        <w:rFonts w:ascii="Fira Code" w:cs="Fira Code" w:eastAsia="Fira Code" w:hAnsi="Fira Code"/>
        <w:b w:val="0"/>
        <w:bCs w:val="0"/>
        <w:i w:val="0"/>
        <w:iCs w:val="0"/>
        <w:smallCaps w:val="0"/>
        <w:strike w:val="0"/>
        <w:color w:val="000000"/>
        <w:sz w:val="16"/>
        <w:szCs w:val="16"/>
        <w:u w:val="none"/>
        <w:shd w:fill="auto" w:val="clear"/>
        <w:vertAlign w:val="baseline"/>
        <w:rtl w:val="0"/>
      </w:rPr>
      <w:br w:type="textWrapping"/>
    </w:r>
    <w:hyperlink r:id="rId2">
      <w:r w:rsidDel="00000000" w:rsidR="00000000" w:rsidRPr="00000000">
        <w:rPr>
          <w:rFonts w:ascii="Fira Code" w:cs="Fira Code" w:eastAsia="Fira Code" w:hAnsi="Fira Code"/>
          <w:b w:val="0"/>
          <w:bCs w:val="0"/>
          <w:i w:val="0"/>
          <w:iCs w:val="0"/>
          <w:smallCaps w:val="0"/>
          <w:strike w:val="0"/>
          <w:color w:val="0563c1"/>
          <w:sz w:val="16"/>
          <w:szCs w:val="16"/>
          <w:u w:val="single"/>
          <w:shd w:fill="auto" w:val="clear"/>
          <w:vertAlign w:val="baseline"/>
          <w:rtl w:val="0"/>
        </w:rPr>
        <w:t xml:space="preserve">marketing@theprotocol.it</w:t>
      </w:r>
    </w:hyperlink>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5607050</wp:posOffset>
          </wp:positionH>
          <wp:positionV relativeFrom="paragraph">
            <wp:posOffset>6985</wp:posOffset>
          </wp:positionV>
          <wp:extent cx="151765" cy="324485"/>
          <wp:effectExtent b="0" l="0" r="0" t="0"/>
          <wp:wrapNone/>
          <wp:docPr id="7"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151765" cy="32448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tabs>
        <w:tab w:val="center" w:leader="none" w:pos="4536"/>
        <w:tab w:val="right" w:leader="none" w:pos="9072"/>
      </w:tabs>
      <w:spacing w:after="0" w:line="240" w:lineRule="auto"/>
      <w:rPr>
        <w:color w:val="000000"/>
      </w:rPr>
    </w:pPr>
    <w:r w:rsidDel="00000000" w:rsidR="00000000" w:rsidRPr="00000000">
      <w:rPr/>
      <w:drawing>
        <wp:inline distB="114300" distT="114300" distL="114300" distR="114300">
          <wp:extent cx="1803067" cy="498158"/>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03067" cy="49815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FiraCode-regular.ttf"/><Relationship Id="rId6" Type="http://schemas.openxmlformats.org/officeDocument/2006/relationships/font" Target="fonts/FiraCode-bold.ttf"/></Relationships>
</file>

<file path=word/_rels/footer1.xml.rels><?xml version="1.0" encoding="UTF-8" standalone="yes"?><Relationships xmlns="http://schemas.openxmlformats.org/package/2006/relationships"><Relationship Id="rId1" Type="http://schemas.openxmlformats.org/officeDocument/2006/relationships/hyperlink" Target="tel:(22)3737300" TargetMode="External"/><Relationship Id="rId2" Type="http://schemas.openxmlformats.org/officeDocument/2006/relationships/hyperlink" Target="mailto:marketing@theprotocol.it" TargetMode="External"/><Relationship Id="rId3"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5g7Dd5YGHfuxOZVrOaCGVBF8NQ==">CgMxLjA4AHIhMVUtY0QwRTFuVXhkTHU5WjhLdTVJcTJrNFZaenRoSks5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2024-04-19T12:47:46Z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29e0b99e-e8ee-4990-bf44-a6c606b962a2</vt:lpwstr>
  </property>
  <property fmtid="{D5CDD505-2E9C-101B-9397-08002B2CF9AE}" pid="8" name="MSIP_Label_ea60d57e-af5b-4752-ac57-3e4f28ca11dc_ContentBits">
    <vt:lpwstr>0</vt:lpwstr>
  </property>
  <property fmtid="{D5CDD505-2E9C-101B-9397-08002B2CF9AE}" pid="9" name="ContentTypeId">
    <vt:lpwstr>0x010100C8CA6F5CADFDF540BBC1FDC37835B519</vt:lpwstr>
  </property>
</Properties>
</file>