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2C47" w14:textId="77777777" w:rsidR="004D1D02" w:rsidRPr="003463C5" w:rsidRDefault="004D1D02" w:rsidP="004D1D02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3463C5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1" behindDoc="0" locked="1" layoutInCell="1" allowOverlap="1" wp14:anchorId="2B1EE17F" wp14:editId="5ABD8CF4">
            <wp:simplePos x="0" y="0"/>
            <wp:positionH relativeFrom="page">
              <wp:posOffset>870585</wp:posOffset>
            </wp:positionH>
            <wp:positionV relativeFrom="page">
              <wp:posOffset>607060</wp:posOffset>
            </wp:positionV>
            <wp:extent cx="1871980" cy="348615"/>
            <wp:effectExtent l="0" t="0" r="0" b="0"/>
            <wp:wrapNone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18F5E895-5786-4508-A79F-E81BE3BA08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oitte 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3C5">
        <w:rPr>
          <w:rFonts w:ascii="Calibri Light" w:hAnsi="Calibri Light" w:cs="Calibri Light"/>
          <w:color w:val="auto"/>
        </w:rPr>
        <w:t>Deloitte Polska</w:t>
      </w:r>
      <w:r w:rsidRPr="003463C5">
        <w:rPr>
          <w:rFonts w:ascii="Calibri Light" w:hAnsi="Calibri Light" w:cs="Calibri Light"/>
          <w:color w:val="auto"/>
        </w:rPr>
        <w:br/>
        <w:t>Al. Jana Pawła II 22</w:t>
      </w:r>
      <w:r w:rsidRPr="003463C5">
        <w:rPr>
          <w:rFonts w:ascii="Calibri Light" w:hAnsi="Calibri Light" w:cs="Calibri Light"/>
          <w:color w:val="auto"/>
        </w:rPr>
        <w:br/>
        <w:t>00-133 Warszawa</w:t>
      </w:r>
      <w:r w:rsidRPr="003463C5">
        <w:rPr>
          <w:rFonts w:ascii="Calibri Light" w:hAnsi="Calibri Light" w:cs="Calibri Light"/>
          <w:color w:val="auto"/>
        </w:rPr>
        <w:br/>
        <w:t>Polska</w:t>
      </w:r>
    </w:p>
    <w:p w14:paraId="32F68985" w14:textId="77777777" w:rsidR="004D1D02" w:rsidRPr="003463C5" w:rsidRDefault="004D1D02" w:rsidP="004D1D02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003463C5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D55D99" wp14:editId="7874766B">
                <wp:simplePos x="0" y="0"/>
                <wp:positionH relativeFrom="column">
                  <wp:posOffset>2095</wp:posOffset>
                </wp:positionH>
                <wp:positionV relativeFrom="page">
                  <wp:posOffset>2155370</wp:posOffset>
                </wp:positionV>
                <wp:extent cx="3949700" cy="480951"/>
                <wp:effectExtent l="0" t="0" r="12700" b="14605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135C94-6842-4B6F-AFEC-F1716131178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8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EB0D9" w14:textId="3C530607" w:rsidR="004D1D02" w:rsidRPr="00450249" w:rsidRDefault="004D1D02" w:rsidP="004D1D02">
                            <w:pPr>
                              <w:pStyle w:val="Fax"/>
                              <w:spacing w:line="600" w:lineRule="exact"/>
                            </w:pPr>
                            <w:r w:rsidRPr="003463C5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>Informacja prasowa</w:t>
                            </w:r>
                            <w:r w:rsidR="00270CD0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55D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69.7pt;width:311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" filled="f" stroked="f">
                <v:textbox inset="0,0,0,0">
                  <w:txbxContent>
                    <w:p w14:paraId="259EB0D9" w14:textId="3C530607" w:rsidR="004D1D02" w:rsidRPr="00450249" w:rsidRDefault="004D1D02" w:rsidP="004D1D02">
                      <w:pPr>
                        <w:pStyle w:val="Fax"/>
                        <w:spacing w:line="600" w:lineRule="exact"/>
                      </w:pPr>
                      <w:r w:rsidRPr="003463C5">
                        <w:rPr>
                          <w:rFonts w:ascii="Open Sans" w:hAnsi="Open Sans" w:cs="Open Sans"/>
                          <w:color w:val="000000" w:themeColor="text1"/>
                        </w:rPr>
                        <w:t>Informacja prasowa</w:t>
                      </w:r>
                      <w:r w:rsidR="00270CD0">
                        <w:rPr>
                          <w:rFonts w:ascii="Open Sans" w:hAnsi="Open Sans" w:cs="Open Sans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463C5">
        <w:rPr>
          <w:rFonts w:ascii="Calibri Light" w:hAnsi="Calibri Light" w:cs="Calibri Light"/>
          <w:sz w:val="15"/>
          <w:lang w:val="en-US"/>
        </w:rPr>
        <w:t>Tel.: +48 22 511 08 11/12</w:t>
      </w:r>
      <w:r w:rsidRPr="003463C5">
        <w:rPr>
          <w:rFonts w:ascii="Calibri Light" w:hAnsi="Calibri Light" w:cs="Calibri Light"/>
          <w:sz w:val="15"/>
          <w:lang w:val="en-US"/>
        </w:rPr>
        <w:br/>
      </w:r>
      <w:r w:rsidRPr="003463C5">
        <w:rPr>
          <w:rFonts w:ascii="Calibri Light" w:hAnsi="Calibri Light" w:cs="Calibri Light"/>
          <w:spacing w:val="-2"/>
          <w:sz w:val="15"/>
          <w:lang w:val="en-US"/>
        </w:rPr>
        <w:t>Fax:</w:t>
      </w:r>
      <w:r w:rsidRPr="003463C5">
        <w:rPr>
          <w:rFonts w:ascii="Calibri Light" w:hAnsi="Calibri Light" w:cs="Calibri Light"/>
          <w:sz w:val="15"/>
          <w:lang w:val="en-US"/>
        </w:rPr>
        <w:t xml:space="preserve"> +48 22 511 08 13</w:t>
      </w:r>
      <w:r w:rsidRPr="003463C5">
        <w:rPr>
          <w:rFonts w:ascii="Calibri Light" w:hAnsi="Calibri Light" w:cs="Calibri Light"/>
          <w:spacing w:val="-2"/>
          <w:sz w:val="15"/>
          <w:lang w:val="en-US"/>
        </w:rPr>
        <w:br/>
      </w:r>
      <w:hyperlink r:id="rId7" w:history="1">
        <w:r w:rsidRPr="003463C5">
          <w:rPr>
            <w:rStyle w:val="Hipercze"/>
            <w:rFonts w:ascii="Calibri Light" w:hAnsi="Calibri Light" w:cs="Calibri Light"/>
            <w:color w:val="auto"/>
            <w:sz w:val="15"/>
            <w:lang w:val="en-US"/>
          </w:rPr>
          <w:t>www.deloitte.com/pl</w:t>
        </w:r>
      </w:hyperlink>
      <w:r w:rsidRPr="003463C5">
        <w:rPr>
          <w:rFonts w:ascii="Calibri Light" w:hAnsi="Calibri Light" w:cs="Calibri Light"/>
          <w:sz w:val="15"/>
          <w:lang w:val="en-US"/>
        </w:rPr>
        <w:t xml:space="preserve"> </w:t>
      </w:r>
    </w:p>
    <w:p w14:paraId="3706721B" w14:textId="77777777" w:rsidR="004D1D02" w:rsidRPr="003463C5" w:rsidRDefault="004D1D02" w:rsidP="004D1D02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0D5457E5" w14:textId="77777777" w:rsidR="004D1D02" w:rsidRPr="003463C5" w:rsidRDefault="004D1D02" w:rsidP="004D1D02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4D1D02" w:rsidRPr="003463C5" w14:paraId="26CC14EF" w14:textId="77777777" w:rsidTr="001C24B7">
        <w:tc>
          <w:tcPr>
            <w:tcW w:w="4077" w:type="dxa"/>
          </w:tcPr>
          <w:p w14:paraId="77BC96BF" w14:textId="77777777" w:rsidR="004D1D02" w:rsidRPr="003463C5" w:rsidRDefault="004D1D02" w:rsidP="001C24B7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3463C5">
              <w:rPr>
                <w:rFonts w:ascii="Calibri Light" w:hAnsi="Calibri Light" w:cs="Calibri Light"/>
                <w:sz w:val="18"/>
                <w:szCs w:val="18"/>
              </w:rPr>
              <w:t>Kontakt: Biuro Prasowe Deloitte</w:t>
            </w:r>
          </w:p>
          <w:p w14:paraId="18F0242F" w14:textId="77777777" w:rsidR="004D1D02" w:rsidRPr="003463C5" w:rsidRDefault="004D1D02" w:rsidP="001C24B7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3463C5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Tel.: +48 </w:t>
            </w:r>
            <w:r w:rsidRPr="00F0356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728 484 476</w:t>
            </w:r>
          </w:p>
          <w:p w14:paraId="4FA8F039" w14:textId="77777777" w:rsidR="004D1D02" w:rsidRPr="003463C5" w:rsidRDefault="004D1D02" w:rsidP="001C24B7">
            <w:pPr>
              <w:pStyle w:val="Maintext"/>
              <w:spacing w:line="240" w:lineRule="auto"/>
              <w:rPr>
                <w:rFonts w:ascii="Calibri Light" w:hAnsi="Calibri Light" w:cs="Calibri Light"/>
              </w:rPr>
            </w:pPr>
            <w:r w:rsidRPr="003463C5">
              <w:rPr>
                <w:rFonts w:ascii="Calibri Light" w:hAnsi="Calibri Light" w:cs="Calibri Light"/>
                <w:sz w:val="18"/>
                <w:szCs w:val="18"/>
              </w:rPr>
              <w:t xml:space="preserve">E-mail: </w:t>
            </w:r>
            <w:hyperlink r:id="rId8" w:history="1">
              <w:r w:rsidRPr="003463C5">
                <w:rPr>
                  <w:rFonts w:ascii="Calibri Light" w:hAnsi="Calibri Light" w:cs="Calibri Light"/>
                  <w:sz w:val="18"/>
                  <w:szCs w:val="18"/>
                </w:rPr>
                <w:t>media@deloittece.com</w:t>
              </w:r>
            </w:hyperlink>
          </w:p>
          <w:p w14:paraId="1F1489AF" w14:textId="77777777" w:rsidR="004D1D02" w:rsidRPr="003463C5" w:rsidRDefault="004D1D02" w:rsidP="001C24B7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71F2C348" w14:textId="77777777" w:rsidR="004D1D02" w:rsidRPr="003463C5" w:rsidRDefault="004D1D02" w:rsidP="001C24B7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  <w:tc>
          <w:tcPr>
            <w:tcW w:w="5151" w:type="dxa"/>
          </w:tcPr>
          <w:p w14:paraId="093A90A7" w14:textId="77777777" w:rsidR="004D1D02" w:rsidRPr="003463C5" w:rsidRDefault="004D1D02" w:rsidP="001C24B7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</w:tr>
    </w:tbl>
    <w:p w14:paraId="7DB85FB0" w14:textId="77777777" w:rsidR="00270CD0" w:rsidRDefault="00270CD0" w:rsidP="004D1D02">
      <w:pPr>
        <w:spacing w:after="120"/>
        <w:rPr>
          <w:rFonts w:ascii="Calibri Light" w:hAnsi="Calibri Light" w:cs="Calibri Light"/>
          <w:b/>
          <w:bCs/>
          <w:sz w:val="28"/>
          <w:szCs w:val="32"/>
        </w:rPr>
      </w:pPr>
    </w:p>
    <w:p w14:paraId="0D95BAF0" w14:textId="5A337A5F" w:rsidR="00E22E25" w:rsidRDefault="006A01F7" w:rsidP="00DB0712">
      <w:pPr>
        <w:spacing w:after="120"/>
        <w:jc w:val="center"/>
        <w:rPr>
          <w:rFonts w:ascii="Calibri Light" w:hAnsi="Calibri Light" w:cs="Calibri Light"/>
          <w:b/>
          <w:bCs/>
          <w:sz w:val="28"/>
          <w:szCs w:val="32"/>
        </w:rPr>
      </w:pPr>
      <w:r>
        <w:rPr>
          <w:rFonts w:ascii="Calibri Light" w:hAnsi="Calibri Light" w:cs="Calibri Light"/>
          <w:b/>
          <w:bCs/>
          <w:sz w:val="28"/>
          <w:szCs w:val="32"/>
        </w:rPr>
        <w:t xml:space="preserve">Uchodźcy z Ukrainy </w:t>
      </w:r>
      <w:r w:rsidR="00F86819" w:rsidRPr="00F86819">
        <w:rPr>
          <w:rFonts w:ascii="Calibri Light" w:hAnsi="Calibri Light" w:cs="Calibri Light"/>
          <w:b/>
          <w:bCs/>
          <w:sz w:val="28"/>
          <w:szCs w:val="32"/>
        </w:rPr>
        <w:t>przyczynili się do wytworzenia</w:t>
      </w:r>
      <w:r>
        <w:rPr>
          <w:rFonts w:ascii="Calibri Light" w:hAnsi="Calibri Light" w:cs="Calibri Light"/>
          <w:b/>
          <w:bCs/>
          <w:sz w:val="28"/>
          <w:szCs w:val="32"/>
        </w:rPr>
        <w:t xml:space="preserve"> 2</w:t>
      </w:r>
      <w:r w:rsidR="007A7767">
        <w:rPr>
          <w:rFonts w:ascii="Calibri Light" w:hAnsi="Calibri Light" w:cs="Calibri Light"/>
          <w:b/>
          <w:bCs/>
          <w:sz w:val="28"/>
          <w:szCs w:val="32"/>
        </w:rPr>
        <w:t>,</w:t>
      </w:r>
      <w:r>
        <w:rPr>
          <w:rFonts w:ascii="Calibri Light" w:hAnsi="Calibri Light" w:cs="Calibri Light"/>
          <w:b/>
          <w:bCs/>
          <w:sz w:val="28"/>
          <w:szCs w:val="32"/>
        </w:rPr>
        <w:t>4</w:t>
      </w:r>
      <w:r w:rsidR="007A7767">
        <w:rPr>
          <w:rFonts w:ascii="Calibri Light" w:hAnsi="Calibri Light" w:cs="Calibri Light"/>
          <w:b/>
          <w:bCs/>
          <w:sz w:val="28"/>
          <w:szCs w:val="32"/>
        </w:rPr>
        <w:t xml:space="preserve"> proc.</w:t>
      </w:r>
      <w:r>
        <w:rPr>
          <w:rFonts w:ascii="Calibri Light" w:hAnsi="Calibri Light" w:cs="Calibri Light"/>
          <w:b/>
          <w:bCs/>
          <w:sz w:val="28"/>
          <w:szCs w:val="32"/>
        </w:rPr>
        <w:t xml:space="preserve"> </w:t>
      </w:r>
      <w:r w:rsidR="0087448C">
        <w:rPr>
          <w:rFonts w:ascii="Calibri Light" w:hAnsi="Calibri Light" w:cs="Calibri Light"/>
          <w:b/>
          <w:bCs/>
          <w:sz w:val="28"/>
          <w:szCs w:val="32"/>
        </w:rPr>
        <w:t xml:space="preserve">polskiego </w:t>
      </w:r>
      <w:r>
        <w:rPr>
          <w:rFonts w:ascii="Calibri Light" w:hAnsi="Calibri Light" w:cs="Calibri Light"/>
          <w:b/>
          <w:bCs/>
          <w:sz w:val="28"/>
          <w:szCs w:val="32"/>
        </w:rPr>
        <w:t>PKB</w:t>
      </w:r>
      <w:r w:rsidR="00E22E25">
        <w:rPr>
          <w:rFonts w:ascii="Calibri Light" w:hAnsi="Calibri Light" w:cs="Calibri Light"/>
          <w:b/>
          <w:bCs/>
          <w:sz w:val="28"/>
          <w:szCs w:val="32"/>
        </w:rPr>
        <w:t xml:space="preserve"> w 2025 roku</w:t>
      </w:r>
    </w:p>
    <w:p w14:paraId="3E2F7C61" w14:textId="0A65A0D9" w:rsidR="004D1D02" w:rsidRPr="00DB0712" w:rsidRDefault="004D1D02" w:rsidP="004D1D02">
      <w:pPr>
        <w:spacing w:after="120"/>
        <w:rPr>
          <w:rFonts w:ascii="Calibri Light" w:hAnsi="Calibri Light" w:cs="Calibri Light"/>
          <w:b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Warszawa, 1 października 2026 r. – </w:t>
      </w:r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Ponad cztery lata po rozpoczęciu </w:t>
      </w:r>
      <w:proofErr w:type="spellStart"/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>pełnoskalowej</w:t>
      </w:r>
      <w:proofErr w:type="spellEnd"/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</w:t>
      </w:r>
      <w:r w:rsidR="003A30EB"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>inwazji</w:t>
      </w:r>
      <w:r w:rsidR="003558BC"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Rosji na Ukrainę</w:t>
      </w:r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, zatrudnienie uchodźców z Ukrainy </w:t>
      </w:r>
      <w:r w:rsidR="003558BC"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w Polsce </w:t>
      </w:r>
      <w:r w:rsidRPr="00DB0712">
        <w:rPr>
          <w:rFonts w:ascii="Calibri Light" w:hAnsi="Calibri Light" w:cs="Calibri Light"/>
          <w:b/>
          <w:sz w:val="22"/>
          <w:szCs w:val="22"/>
        </w:rPr>
        <w:t xml:space="preserve">systematycznie się zwiększa, a aktywność zawodowa tej grupy ma pozytywny wpływ na gospodarkę. </w:t>
      </w:r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W 2025 roku obecność uchodźców z Ukrainy przełożyła się na wytworzenie 2,4 proc. PKB, czyli około 94 mld zł - wynika z trzeciej edycji raportu </w:t>
      </w:r>
      <w:hyperlink r:id="rId9" w:history="1">
        <w:r w:rsidRPr="007A7767">
          <w:rPr>
            <w:rStyle w:val="Hipercze"/>
            <w:rFonts w:ascii="Calibri Light" w:hAnsi="Calibri Light" w:cs="Calibri Light"/>
            <w:b/>
            <w:sz w:val="22"/>
            <w:szCs w:val="22"/>
          </w:rPr>
          <w:t>„Analiza wpływu uchodźców z Ukrainy na gospodarkę Polski”,</w:t>
        </w:r>
      </w:hyperlink>
      <w:r w:rsidRPr="00DB0712">
        <w:rPr>
          <w:rFonts w:ascii="Calibri Light" w:hAnsi="Calibri Light" w:cs="Calibri Light"/>
          <w:b/>
          <w:color w:val="000000" w:themeColor="text1"/>
          <w:sz w:val="22"/>
          <w:szCs w:val="22"/>
        </w:rPr>
        <w:t xml:space="preserve"> zrealizowanego przez Deloitte na zlecenie Agencji ONZ ds. Uchodźców (UNHCR).</w:t>
      </w:r>
    </w:p>
    <w:p w14:paraId="2D98A7C2" w14:textId="6E91AC0C" w:rsidR="002F7581" w:rsidRPr="00AF6CF2" w:rsidRDefault="4A4EB3E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Wyniki raportu Deloitte i UNHCR </w:t>
      </w:r>
      <w:r w:rsidR="614C13EB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pokazują, że </w:t>
      </w:r>
      <w:r w:rsidR="00A5586B">
        <w:rPr>
          <w:rFonts w:ascii="Calibri Light" w:hAnsi="Calibri Light" w:cs="Calibri Light"/>
          <w:color w:val="000000" w:themeColor="text1"/>
          <w:sz w:val="22"/>
          <w:szCs w:val="22"/>
        </w:rPr>
        <w:t>wskaźnik</w:t>
      </w:r>
      <w:r w:rsidR="614C13EB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zatrudnienia </w:t>
      </w:r>
      <w:r w:rsidR="117C7A0B" w:rsidRPr="4163CEEA">
        <w:rPr>
          <w:rFonts w:ascii="Calibri Light" w:hAnsi="Calibri Light" w:cs="Calibri Light"/>
          <w:color w:val="000000" w:themeColor="text1"/>
          <w:sz w:val="22"/>
          <w:szCs w:val="22"/>
        </w:rPr>
        <w:t>uch</w:t>
      </w:r>
      <w:r w:rsidR="00F25AA8" w:rsidRPr="4163CEEA">
        <w:rPr>
          <w:rFonts w:ascii="Calibri Light" w:hAnsi="Calibri Light" w:cs="Calibri Light"/>
          <w:color w:val="000000" w:themeColor="text1"/>
          <w:sz w:val="22"/>
          <w:szCs w:val="22"/>
        </w:rPr>
        <w:t>od</w:t>
      </w:r>
      <w:r w:rsidR="281581A0" w:rsidRPr="4163CEEA">
        <w:rPr>
          <w:rFonts w:ascii="Calibri Light" w:hAnsi="Calibri Light" w:cs="Calibri Light"/>
          <w:color w:val="000000" w:themeColor="text1"/>
          <w:sz w:val="22"/>
          <w:szCs w:val="22"/>
        </w:rPr>
        <w:t>źc</w:t>
      </w:r>
      <w:r w:rsidR="540D1E2F" w:rsidRPr="4163CEEA">
        <w:rPr>
          <w:rFonts w:ascii="Calibri Light" w:hAnsi="Calibri Light" w:cs="Calibri Light"/>
          <w:color w:val="000000" w:themeColor="text1"/>
          <w:sz w:val="22"/>
          <w:szCs w:val="22"/>
        </w:rPr>
        <w:t>ów z U</w:t>
      </w:r>
      <w:r w:rsidR="48CB72D0" w:rsidRPr="4163CEEA">
        <w:rPr>
          <w:rFonts w:ascii="Calibri Light" w:hAnsi="Calibri Light" w:cs="Calibri Light"/>
          <w:color w:val="000000" w:themeColor="text1"/>
          <w:sz w:val="22"/>
          <w:szCs w:val="22"/>
        </w:rPr>
        <w:t>krainy</w:t>
      </w:r>
      <w:r w:rsidR="614C13EB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Polsce 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>wzr</w:t>
      </w:r>
      <w:r w:rsidR="00A1373C">
        <w:rPr>
          <w:rFonts w:ascii="Calibri Light" w:hAnsi="Calibri Light" w:cs="Calibri Light"/>
          <w:color w:val="000000" w:themeColor="text1"/>
          <w:sz w:val="22"/>
          <w:szCs w:val="22"/>
        </w:rPr>
        <w:t>ósł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o 7 pp. w porównaniu do ubiegłego roku i wyni</w:t>
      </w:r>
      <w:r w:rsidR="00A1373C">
        <w:rPr>
          <w:rFonts w:ascii="Calibri Light" w:hAnsi="Calibri Light" w:cs="Calibri Light"/>
          <w:color w:val="000000" w:themeColor="text1"/>
          <w:sz w:val="22"/>
          <w:szCs w:val="22"/>
        </w:rPr>
        <w:t>ó</w:t>
      </w:r>
      <w:r w:rsidRPr="4163CEEA">
        <w:rPr>
          <w:rFonts w:ascii="Calibri Light" w:hAnsi="Calibri Light" w:cs="Calibri Light"/>
          <w:color w:val="000000" w:themeColor="text1"/>
          <w:sz w:val="22"/>
          <w:szCs w:val="22"/>
        </w:rPr>
        <w:t>sł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76 proc., co jest porównywalne z zatrudnieniem wśród obywateli Polski. Jednocześnie rynek </w:t>
      </w:r>
      <w:r w:rsidR="61E90E98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przyjął 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nowych pracowników bez </w:t>
      </w:r>
      <w:r w:rsidR="0DC5ECE6" w:rsidRPr="4163CEEA">
        <w:rPr>
          <w:rFonts w:ascii="Calibri Light" w:hAnsi="Calibri Light" w:cs="Calibri Light"/>
          <w:color w:val="000000" w:themeColor="text1"/>
          <w:sz w:val="22"/>
          <w:szCs w:val="22"/>
        </w:rPr>
        <w:t>oznak negatywnego wpływu na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sytuacj</w:t>
      </w:r>
      <w:r w:rsidR="0DC5ECE6" w:rsidRPr="4163CEEA">
        <w:rPr>
          <w:rFonts w:ascii="Calibri Light" w:hAnsi="Calibri Light" w:cs="Calibri Light"/>
          <w:color w:val="000000" w:themeColor="text1"/>
          <w:sz w:val="22"/>
          <w:szCs w:val="22"/>
        </w:rPr>
        <w:t>ę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Polaków. Według raportu </w:t>
      </w:r>
      <w:r w:rsidR="43996341" w:rsidRPr="4163CEEA">
        <w:rPr>
          <w:rFonts w:ascii="Calibri Light" w:hAnsi="Calibri Light" w:cs="Calibri Light"/>
          <w:color w:val="000000" w:themeColor="text1"/>
          <w:sz w:val="22"/>
          <w:szCs w:val="22"/>
        </w:rPr>
        <w:t>praca, samozatrudnienie i inne formy aktywności są podstawowym źródłem zarobku badanych gospodarstw uchodźczych (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>87 proc.</w:t>
      </w:r>
      <w:r w:rsidR="43996341" w:rsidRPr="4163CEEA">
        <w:rPr>
          <w:rFonts w:ascii="Calibri Light" w:hAnsi="Calibri Light" w:cs="Calibri Light"/>
          <w:color w:val="000000" w:themeColor="text1"/>
          <w:sz w:val="22"/>
          <w:szCs w:val="22"/>
        </w:rPr>
        <w:t>)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a mediana ich wynagrodzeń netto wzrosła w latach 2023-2025 o 45 procent. W 2025 r. polskie świadczenia społeczne odpowiadały za jedynie 10 proc. </w:t>
      </w:r>
      <w:r w:rsidR="61E90E98" w:rsidRPr="4163CEEA">
        <w:rPr>
          <w:rFonts w:ascii="Calibri Light" w:hAnsi="Calibri Light" w:cs="Calibri Light"/>
          <w:color w:val="000000" w:themeColor="text1"/>
          <w:sz w:val="22"/>
          <w:szCs w:val="22"/>
        </w:rPr>
        <w:t>i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>ch dochodów, a świadczenia z Ukrainy</w:t>
      </w:r>
      <w:r w:rsidR="00B8384D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B8384D" w:rsidRPr="00B8384D">
        <w:rPr>
          <w:rFonts w:ascii="Calibri Light" w:hAnsi="Calibri Light" w:cs="Calibri Light"/>
          <w:color w:val="000000" w:themeColor="text1"/>
          <w:sz w:val="22"/>
          <w:szCs w:val="22"/>
        </w:rPr>
        <w:t>–</w:t>
      </w:r>
      <w:r w:rsidR="63C1D555" w:rsidRPr="00B8384D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63C1D555" w:rsidRPr="4163CEEA">
        <w:rPr>
          <w:rFonts w:ascii="Calibri Light" w:hAnsi="Calibri Light" w:cs="Calibri Light"/>
          <w:color w:val="000000" w:themeColor="text1"/>
          <w:sz w:val="22"/>
          <w:szCs w:val="22"/>
        </w:rPr>
        <w:t>za 2 proc.</w:t>
      </w:r>
    </w:p>
    <w:p w14:paraId="3820558F" w14:textId="77777777" w:rsidR="004D1D02" w:rsidRDefault="004D1D02" w:rsidP="004D1D02">
      <w:pPr>
        <w:spacing w:after="120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Zauważalny wpływ na gospodarkę</w:t>
      </w:r>
    </w:p>
    <w:p w14:paraId="4B7F2830" w14:textId="49B25746" w:rsidR="004D1D02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Większa liczba pracujących przekłada się na większą podaż pracy, wyższą konsumpcję oraz dodatkowe wpływy z podatków i składek. W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 efekcie, w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edług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szacunków firmy Deloitte,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w 2025 r. </w:t>
      </w:r>
      <w:r w:rsidR="00621152">
        <w:rPr>
          <w:rFonts w:ascii="Calibri Light" w:hAnsi="Calibri Light" w:cs="Calibri Light"/>
          <w:color w:val="000000" w:themeColor="text1"/>
          <w:sz w:val="22"/>
          <w:szCs w:val="22"/>
        </w:rPr>
        <w:t>wp</w:t>
      </w:r>
      <w:r w:rsidR="00A1373C">
        <w:rPr>
          <w:rFonts w:ascii="Calibri Light" w:hAnsi="Calibri Light" w:cs="Calibri Light"/>
          <w:color w:val="000000" w:themeColor="text1"/>
          <w:sz w:val="22"/>
          <w:szCs w:val="22"/>
        </w:rPr>
        <w:t>ł</w:t>
      </w:r>
      <w:r w:rsidR="00AF7613">
        <w:rPr>
          <w:rFonts w:ascii="Calibri Light" w:hAnsi="Calibri Light" w:cs="Calibri Light"/>
          <w:color w:val="000000" w:themeColor="text1"/>
          <w:sz w:val="22"/>
          <w:szCs w:val="22"/>
        </w:rPr>
        <w:t>y</w:t>
      </w:r>
      <w:r w:rsidR="00D872C2">
        <w:rPr>
          <w:rFonts w:ascii="Calibri Light" w:hAnsi="Calibri Light" w:cs="Calibri Light"/>
          <w:color w:val="000000" w:themeColor="text1"/>
          <w:sz w:val="22"/>
          <w:szCs w:val="22"/>
        </w:rPr>
        <w:t>w</w:t>
      </w:r>
      <w:r w:rsidR="00621152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2D26EE">
        <w:rPr>
          <w:rFonts w:ascii="Calibri Light" w:hAnsi="Calibri Light" w:cs="Calibri Light"/>
          <w:color w:val="000000" w:themeColor="text1"/>
          <w:sz w:val="22"/>
          <w:szCs w:val="22"/>
        </w:rPr>
        <w:t>gos</w:t>
      </w:r>
      <w:r w:rsidR="00D019DC">
        <w:rPr>
          <w:rFonts w:ascii="Calibri Light" w:hAnsi="Calibri Light" w:cs="Calibri Light"/>
          <w:color w:val="000000" w:themeColor="text1"/>
          <w:sz w:val="22"/>
          <w:szCs w:val="22"/>
        </w:rPr>
        <w:t>podar</w:t>
      </w:r>
      <w:r w:rsidR="00883CA9">
        <w:rPr>
          <w:rFonts w:ascii="Calibri Light" w:hAnsi="Calibri Light" w:cs="Calibri Light"/>
          <w:color w:val="000000" w:themeColor="text1"/>
          <w:sz w:val="22"/>
          <w:szCs w:val="22"/>
        </w:rPr>
        <w:t>czy</w:t>
      </w:r>
      <w:r w:rsidR="00A1373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uchodźców z Ukrainy </w:t>
      </w:r>
      <w:r w:rsidR="000C2B14">
        <w:rPr>
          <w:rFonts w:ascii="Calibri Light" w:hAnsi="Calibri Light" w:cs="Calibri Light"/>
          <w:color w:val="000000" w:themeColor="text1"/>
          <w:sz w:val="22"/>
          <w:szCs w:val="22"/>
        </w:rPr>
        <w:t>si</w:t>
      </w:r>
      <w:r w:rsidR="00D26223">
        <w:rPr>
          <w:rFonts w:ascii="Calibri Light" w:hAnsi="Calibri Light" w:cs="Calibri Light"/>
          <w:color w:val="000000" w:themeColor="text1"/>
          <w:sz w:val="22"/>
          <w:szCs w:val="22"/>
        </w:rPr>
        <w:t>ęgnął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2,4 proc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  <w:r w:rsidR="000D4F04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="004A22B3">
        <w:rPr>
          <w:rFonts w:ascii="Calibri Light" w:hAnsi="Calibri Light" w:cs="Calibri Light"/>
          <w:color w:val="000000" w:themeColor="text1"/>
          <w:sz w:val="22"/>
          <w:szCs w:val="22"/>
        </w:rPr>
        <w:t>PKB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Pr="004D1D02">
        <w:rPr>
          <w:rFonts w:ascii="Calibri Light" w:hAnsi="Calibri Light" w:cs="Calibri Light"/>
          <w:color w:val="000000" w:themeColor="text1"/>
          <w:sz w:val="22"/>
          <w:szCs w:val="22"/>
        </w:rPr>
        <w:t>co odpowiada około 94 mld zł.</w:t>
      </w:r>
    </w:p>
    <w:p w14:paraId="6835A016" w14:textId="55C167FC" w:rsidR="004D1D02" w:rsidRPr="001F330A" w:rsidRDefault="7A2EE1FE" w:rsidP="004D1D02">
      <w:pPr>
        <w:spacing w:after="120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D696AFA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Włączenie ekonomiczne uchodźców </w:t>
      </w:r>
      <w:r w:rsidR="00B27E70" w:rsidRPr="00B27E70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może przynosić korzyści zarówno uchodźcom, jak i społecznościom przyjmującym.</w:t>
      </w:r>
      <w:r w:rsidR="00B27E70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Uchodźcy przestają wtedy polegać na pomocy humanitarnej, a stają się konsumentami, płatnikami podatków i wzmacniają swoją samodzielność. </w:t>
      </w:r>
      <w:r w:rsidR="3F290ED6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Możliwość utrzymania się z własnej pracy jest podstawą niezależności osób, które zostały zmuszone do opuszczenia Ukrainy. 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Stworzenie im </w:t>
      </w:r>
      <w:r w:rsidR="00CF5761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sprzyjających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warunków rozwoju zawodowego, uznawanie kwalifikacji, dostęp do ścieżek kariery zgodnych z wykształceniem i kompetencjami sprawia, że mogą lepiej wykorzystać swoją wiedzę i umiejętności</w:t>
      </w:r>
      <w:r w:rsidR="22546EDD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, 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swój potencjał</w:t>
      </w:r>
      <w:r w:rsidR="592BDF0B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="7A202BCB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oraz 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wywierać coraz większy pozytywny </w:t>
      </w:r>
      <w:r w:rsidR="00CF5761"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wpływ</w:t>
      </w:r>
      <w:r w:rsidRPr="0D696AF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na gospodarkę – </w:t>
      </w:r>
      <w:r w:rsidRPr="0D696AFA">
        <w:rPr>
          <w:rFonts w:ascii="Calibri Light" w:hAnsi="Calibri Light" w:cs="Calibri Light"/>
          <w:color w:val="000000" w:themeColor="text1"/>
          <w:sz w:val="22"/>
          <w:szCs w:val="22"/>
        </w:rPr>
        <w:t xml:space="preserve">mówi </w:t>
      </w:r>
      <w:proofErr w:type="spellStart"/>
      <w:r w:rsidRPr="007A776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Jun</w:t>
      </w:r>
      <w:proofErr w:type="spellEnd"/>
      <w:r w:rsidRPr="007A776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7A776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Shirato</w:t>
      </w:r>
      <w:proofErr w:type="spellEnd"/>
      <w:r w:rsidRPr="0D696AFA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p.o. Przedstawiciela </w:t>
      </w:r>
      <w:r w:rsidR="00B27E70">
        <w:rPr>
          <w:rFonts w:ascii="Calibri Light" w:hAnsi="Calibri Light" w:cs="Calibri Light"/>
          <w:color w:val="000000" w:themeColor="text1"/>
          <w:sz w:val="22"/>
          <w:szCs w:val="22"/>
        </w:rPr>
        <w:t xml:space="preserve">Biura </w:t>
      </w:r>
      <w:r w:rsidRPr="0D696AFA">
        <w:rPr>
          <w:rFonts w:ascii="Calibri Light" w:hAnsi="Calibri Light" w:cs="Calibri Light"/>
          <w:color w:val="000000" w:themeColor="text1"/>
          <w:sz w:val="22"/>
          <w:szCs w:val="22"/>
        </w:rPr>
        <w:t>Wysokiego Komisarza Narodów Zjednoczonych d.s. Uchodźców w Polsce.</w:t>
      </w:r>
    </w:p>
    <w:p w14:paraId="6C4B6659" w14:textId="506A8F91" w:rsidR="004D1D02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Uchodźcy są obecni na rynku pracy nie tylko jako pracownicy, ale także jako przedsiębiorcy. Około 13 proc. osób w wieku produkcyjnym deklaruje samozatrudnienie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, a co piąty z nich zatrudnia pracowników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lastRenderedPageBreak/>
        <w:t>Od 2022 r. obywatele Ukrainy złożyli niemal 135 tys. wniosków o rejestrację jednoosobowej działalności gospodarczej. W latach 2022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-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2025 najwięcej z nich dotyczyło budownictwa</w:t>
      </w:r>
      <w:r w:rsidR="006043B8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informacji i komunikacji oraz pozostałej działalności usługowej.</w:t>
      </w:r>
    </w:p>
    <w:p w14:paraId="25C726A9" w14:textId="6152B56C" w:rsidR="004D1D02" w:rsidRDefault="007A7767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–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Polski rynek</w:t>
      </w:r>
      <w:r w:rsidR="006352D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dobrze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="00290D05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dostosował się do zwiększonej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podaż</w:t>
      </w:r>
      <w:r w:rsidR="00290D05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y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pracy ze strony uchodźców z Ukrainy</w:t>
      </w:r>
      <w:r w:rsidR="002F75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.</w:t>
      </w:r>
      <w:r w:rsidR="004D1D02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F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irmy dostosowują się poprzez większą specjalizację i zmiany w</w:t>
      </w:r>
      <w:r w:rsidR="004D1D02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swojej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organizacji. Nowi pracownicy często uzupełniają istniejące zasoby firm, zamiast bezpośrednio konkurować z</w:t>
      </w:r>
      <w:r w:rsidR="004D1D02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rodzimymi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pracownikami. Taki mechanizm sprzyja wzrostowi produktywności i zwiększa możliwości rozwoju przedsiębiorstw. Dalszy potencjał leży w lepszym wykorzystaniu kwalifikacji i doświadczenia zawodowego uchodźców</w:t>
      </w:r>
      <w:r w:rsidR="00042AA9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07A7767">
        <w:rPr>
          <w:rFonts w:ascii="Calibri Light" w:hAnsi="Calibri Light" w:cs="Calibri Light"/>
          <w:color w:val="000000" w:themeColor="text1"/>
          <w:sz w:val="22"/>
          <w:szCs w:val="22"/>
        </w:rPr>
        <w:t>–</w:t>
      </w:r>
      <w:r w:rsidR="004D1D02" w:rsidRPr="001F330A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="004D1D02" w:rsidRPr="00716698">
        <w:rPr>
          <w:rFonts w:ascii="Calibri Light" w:hAnsi="Calibri Light" w:cs="Calibri Light"/>
          <w:color w:val="000000" w:themeColor="text1"/>
          <w:sz w:val="22"/>
          <w:szCs w:val="22"/>
        </w:rPr>
        <w:t xml:space="preserve">mówi </w:t>
      </w:r>
      <w:r w:rsidR="004D1D02" w:rsidRPr="007A7767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dr Aleksander Łaszek</w:t>
      </w:r>
      <w:r w:rsidR="004D1D02" w:rsidRPr="00716698">
        <w:rPr>
          <w:rFonts w:ascii="Calibri Light" w:hAnsi="Calibri Light" w:cs="Calibri Light"/>
          <w:color w:val="000000" w:themeColor="text1"/>
          <w:sz w:val="22"/>
          <w:szCs w:val="22"/>
        </w:rPr>
        <w:t>, starszy</w:t>
      </w:r>
      <w:r w:rsidR="004D1D02"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menadżer, lider zespołu analiz ekonomicznych</w:t>
      </w:r>
      <w:r w:rsidR="0082636E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</w:t>
      </w:r>
      <w:r w:rsidR="004D1D02" w:rsidRPr="001F330A">
        <w:rPr>
          <w:rFonts w:ascii="Calibri Light" w:hAnsi="Calibri Light" w:cs="Calibri Light"/>
          <w:color w:val="000000" w:themeColor="text1"/>
          <w:sz w:val="22"/>
          <w:szCs w:val="22"/>
        </w:rPr>
        <w:t>Deloitte.</w:t>
      </w:r>
    </w:p>
    <w:p w14:paraId="6422F8C2" w14:textId="6C4E9555" w:rsidR="004D1D02" w:rsidRPr="001F330A" w:rsidRDefault="00042AA9" w:rsidP="004D1D02">
      <w:pPr>
        <w:spacing w:after="120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Potencjał kwalifikacji pozostaje niewykorzystany</w:t>
      </w:r>
    </w:p>
    <w:p w14:paraId="2CAE22BD" w14:textId="77777777" w:rsidR="004D1D02" w:rsidRPr="001F330A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Jednym z głównych wyzwań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jest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niedopasowanie kwalifikacji do wykonywanych zawodów. Wyższe wykształcenie ma 62 proc. uchodźców w wieku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produkcyjnym, a w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zawodach menedżerskich, specjalistycznych i technicznych pracuje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tylko 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29 proc. zatrudnionych. </w:t>
      </w:r>
    </w:p>
    <w:p w14:paraId="2F777498" w14:textId="6E9AA47B" w:rsidR="004D1D02" w:rsidRPr="001F330A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Wśród obywateli Ukrainy z PESEL UKR 38 proc. wykonuje zawody najprostsze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Pr="009E3DD6">
        <w:rPr>
          <w:rFonts w:ascii="Calibri Light" w:hAnsi="Calibri Light" w:cs="Calibri Light"/>
          <w:color w:val="000000" w:themeColor="text1"/>
          <w:sz w:val="22"/>
          <w:szCs w:val="22"/>
        </w:rPr>
        <w:t>podczas gdy wśród obywateli Polski odsetek ten wynosi 9 proc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. Barierą jest m.in. dostęp do zawodów regulowanych. Według niepełnych danych ZUS pracuje w nich około 4 proc. osób z PESEL UKR, wobec 12 proc. obywateli Polski. </w:t>
      </w:r>
    </w:p>
    <w:p w14:paraId="7D994666" w14:textId="77777777" w:rsidR="0082636E" w:rsidRDefault="004D1D02" w:rsidP="004D1D02">
      <w:pPr>
        <w:spacing w:after="120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034A90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Uchodźcy w systemie opieki zdrowotnej</w:t>
      </w:r>
    </w:p>
    <w:p w14:paraId="4D9D4549" w14:textId="5A453839" w:rsidR="004D1D02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034A90">
        <w:rPr>
          <w:rFonts w:ascii="Calibri Light" w:hAnsi="Calibri Light" w:cs="Calibri Light"/>
          <w:color w:val="000000" w:themeColor="text1"/>
          <w:sz w:val="22"/>
          <w:szCs w:val="22"/>
        </w:rPr>
        <w:t>Wraz ze wzrostem aktywności zawodowej zmienia się również sposób korzystania z instytucji publicznych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  <w:r w:rsidRPr="00034A90">
        <w:rPr>
          <w:rFonts w:ascii="Calibri Light" w:hAnsi="Calibri Light" w:cs="Calibri Light"/>
          <w:color w:val="000000" w:themeColor="text1"/>
          <w:sz w:val="22"/>
          <w:szCs w:val="22"/>
        </w:rPr>
        <w:t xml:space="preserve"> 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Dobrym przykładem jest ochrona zdrowia. Rosnące zatrudnienie oznacza, że większa część uchodźców korzysta z systemu jako osoby ubezpieczone i </w:t>
      </w:r>
      <w:r w:rsidR="006C158D">
        <w:rPr>
          <w:rFonts w:ascii="Calibri Light" w:hAnsi="Calibri Light" w:cs="Calibri Light"/>
          <w:color w:val="000000" w:themeColor="text1"/>
          <w:sz w:val="22"/>
          <w:szCs w:val="22"/>
        </w:rPr>
        <w:t>przyczynia się do finansowania</w:t>
      </w: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 go poprzez składki. </w:t>
      </w:r>
      <w:r w:rsidRPr="000D045A">
        <w:rPr>
          <w:rFonts w:ascii="Calibri Light" w:hAnsi="Calibri Light" w:cs="Calibri Light"/>
          <w:color w:val="000000" w:themeColor="text1"/>
          <w:sz w:val="22"/>
          <w:szCs w:val="22"/>
        </w:rPr>
        <w:t>W 2025 r. składki na NFZ odprowadzane przez uchodźców przewyższały koszty świadczeń zdrowotnych finansowanych na ich rzecz</w:t>
      </w:r>
      <w:r w:rsidR="00E32E5C">
        <w:rPr>
          <w:rFonts w:ascii="Calibri Light" w:hAnsi="Calibri Light" w:cs="Calibri Light"/>
          <w:color w:val="000000" w:themeColor="text1"/>
          <w:sz w:val="22"/>
          <w:szCs w:val="22"/>
        </w:rPr>
        <w:t xml:space="preserve"> o 50 mln zł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, </w:t>
      </w:r>
      <w:r w:rsidRPr="000D045A">
        <w:rPr>
          <w:rFonts w:ascii="Calibri Light" w:hAnsi="Calibri Light" w:cs="Calibri Light"/>
          <w:color w:val="000000" w:themeColor="text1"/>
          <w:sz w:val="22"/>
          <w:szCs w:val="22"/>
        </w:rPr>
        <w:t xml:space="preserve">a rosnąca liczba lekarzy i innych pracowników ochrony zdrowia </w:t>
      </w:r>
      <w:r w:rsidR="00531105">
        <w:rPr>
          <w:rFonts w:ascii="Calibri Light" w:hAnsi="Calibri Light" w:cs="Calibri Light"/>
          <w:color w:val="000000" w:themeColor="text1"/>
          <w:sz w:val="22"/>
          <w:szCs w:val="22"/>
        </w:rPr>
        <w:t xml:space="preserve">z </w:t>
      </w:r>
      <w:r w:rsidRPr="000D045A">
        <w:rPr>
          <w:rFonts w:ascii="Calibri Light" w:hAnsi="Calibri Light" w:cs="Calibri Light"/>
          <w:color w:val="000000" w:themeColor="text1"/>
          <w:sz w:val="22"/>
          <w:szCs w:val="22"/>
        </w:rPr>
        <w:t>Ukrainy przyczyniała się do łagodzenia niedoborów kadrowych w tym sektorze.</w:t>
      </w:r>
    </w:p>
    <w:p w14:paraId="2577D13F" w14:textId="10F67590" w:rsidR="004D1D02" w:rsidRDefault="004D1D02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 xml:space="preserve">Pełny raport do pobrania znajduje się </w:t>
      </w:r>
      <w:hyperlink r:id="rId10" w:history="1">
        <w:r w:rsidRPr="00433366">
          <w:rPr>
            <w:rStyle w:val="Hipercze"/>
            <w:rFonts w:ascii="Calibri Light" w:hAnsi="Calibri Light" w:cs="Calibri Light"/>
            <w:sz w:val="22"/>
            <w:szCs w:val="22"/>
          </w:rPr>
          <w:t>tutaj</w:t>
        </w:r>
      </w:hyperlink>
      <w:r w:rsidRPr="001F330A"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</w:p>
    <w:p w14:paraId="5615A3AD" w14:textId="77777777" w:rsidR="00111A43" w:rsidRPr="001F330A" w:rsidRDefault="00111A43" w:rsidP="004D1D02">
      <w:pPr>
        <w:spacing w:after="120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00A31B8F" w14:textId="77777777" w:rsidR="004D1D02" w:rsidRDefault="004D1D02" w:rsidP="004D1D02">
      <w:pPr>
        <w:adjustRightInd w:val="0"/>
        <w:snapToGrid w:val="0"/>
        <w:spacing w:after="120" w:line="240" w:lineRule="auto"/>
      </w:pPr>
      <w:r w:rsidRPr="003463C5">
        <w:rPr>
          <w:rFonts w:ascii="Calibri Light" w:hAnsi="Calibri Light" w:cs="Calibri Light"/>
          <w:sz w:val="18"/>
          <w:szCs w:val="18"/>
        </w:rPr>
        <w:t>Subskrypcja:</w:t>
      </w:r>
      <w:r w:rsidRPr="003463C5">
        <w:rPr>
          <w:rFonts w:ascii="Calibri Light" w:hAnsi="Calibri Light" w:cs="Calibri Light"/>
          <w:sz w:val="18"/>
          <w:szCs w:val="18"/>
        </w:rPr>
        <w:br/>
        <w:t>Otrzymuj powiadomienia o kolejnych informacjach prasowych Deloitte na stronie:</w:t>
      </w:r>
      <w:r w:rsidRPr="003463C5">
        <w:rPr>
          <w:rFonts w:ascii="Calibri Light" w:hAnsi="Calibri Light" w:cs="Calibri Light"/>
          <w:sz w:val="18"/>
          <w:szCs w:val="18"/>
        </w:rPr>
        <w:br/>
      </w:r>
      <w:hyperlink r:id="rId11" w:history="1">
        <w:r w:rsidRPr="00632403">
          <w:rPr>
            <w:rStyle w:val="Hipercze"/>
            <w:rFonts w:ascii="Calibri Light" w:hAnsi="Calibri Light" w:cs="Calibri Light"/>
            <w:sz w:val="18"/>
            <w:szCs w:val="18"/>
          </w:rPr>
          <w:t>www.deloitte.com/pl/subskrypcje</w:t>
        </w:r>
      </w:hyperlink>
    </w:p>
    <w:p w14:paraId="0C64DCDF" w14:textId="77777777" w:rsidR="004D1D02" w:rsidRDefault="004D1D02" w:rsidP="004D1D02">
      <w:pPr>
        <w:adjustRightInd w:val="0"/>
        <w:snapToGrid w:val="0"/>
        <w:spacing w:after="120" w:line="240" w:lineRule="auto"/>
      </w:pPr>
    </w:p>
    <w:p w14:paraId="147A1907" w14:textId="77777777" w:rsidR="004D1D02" w:rsidRPr="003463C5" w:rsidRDefault="004D1D02" w:rsidP="004D1D02">
      <w:pPr>
        <w:adjustRightInd w:val="0"/>
        <w:snapToGrid w:val="0"/>
        <w:spacing w:after="120" w:line="240" w:lineRule="auto"/>
        <w:rPr>
          <w:rFonts w:ascii="Calibri Light" w:hAnsi="Calibri Light" w:cs="Calibri Light"/>
        </w:rPr>
      </w:pPr>
    </w:p>
    <w:p w14:paraId="071D7DC3" w14:textId="77777777" w:rsidR="00135F30" w:rsidRPr="004D1D02" w:rsidRDefault="00135F30" w:rsidP="004D1D02"/>
    <w:sectPr w:rsidR="00135F30" w:rsidRPr="004D1D02" w:rsidSect="004D1D02">
      <w:headerReference w:type="default" r:id="rId12"/>
      <w:footerReference w:type="first" r:id="rId13"/>
      <w:pgSz w:w="11901" w:h="16840" w:code="9"/>
      <w:pgMar w:top="2101" w:right="1134" w:bottom="454" w:left="1418" w:header="851" w:footer="44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4330" w14:textId="77777777" w:rsidR="001A6E57" w:rsidRDefault="001A6E57" w:rsidP="00456DA7">
      <w:pPr>
        <w:spacing w:line="240" w:lineRule="auto"/>
      </w:pPr>
      <w:r>
        <w:separator/>
      </w:r>
    </w:p>
  </w:endnote>
  <w:endnote w:type="continuationSeparator" w:id="0">
    <w:p w14:paraId="3F078BD8" w14:textId="77777777" w:rsidR="001A6E57" w:rsidRDefault="001A6E57" w:rsidP="00456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45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3LTStd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1" w:csb1="00000000"/>
  </w:font>
  <w:font w:name="FrutigerNextPro-Light">
    <w:altName w:val="Times New Roman"/>
    <w:panose1 w:val="00000000000000000000"/>
    <w:charset w:val="4D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8EE5" w14:textId="77777777" w:rsidR="004D1D02" w:rsidRDefault="004D1D02" w:rsidP="001C24B7">
    <w:pPr>
      <w:pStyle w:val="Amember"/>
      <w:ind w:right="-7"/>
      <w:rPr>
        <w:rFonts w:ascii="Arial" w:hAnsi="Arial" w:cs="Arial"/>
        <w:sz w:val="13"/>
        <w:szCs w:val="13"/>
      </w:rPr>
    </w:pPr>
  </w:p>
  <w:p w14:paraId="343DDBC8" w14:textId="77777777" w:rsidR="004D1D02" w:rsidRDefault="004D1D02" w:rsidP="001C24B7">
    <w:pPr>
      <w:pStyle w:val="Amember"/>
      <w:ind w:right="-7"/>
      <w:rPr>
        <w:rFonts w:ascii="Arial" w:hAnsi="Arial" w:cs="Arial"/>
        <w:sz w:val="13"/>
        <w:szCs w:val="13"/>
      </w:rPr>
    </w:pPr>
    <w:r w:rsidRPr="003729E7">
      <w:rPr>
        <w:rFonts w:ascii="Arial" w:hAnsi="Arial" w:cs="Arial"/>
        <w:sz w:val="13"/>
        <w:szCs w:val="13"/>
      </w:rPr>
      <w:t>Nazwa Deloitte odnosi si</w:t>
    </w:r>
    <w:r w:rsidRPr="003729E7">
      <w:rPr>
        <w:rFonts w:ascii="Arial" w:hAnsi="Arial" w:cs="Arial" w:hint="eastAsia"/>
        <w:sz w:val="13"/>
        <w:szCs w:val="13"/>
      </w:rPr>
      <w:t>ę</w:t>
    </w:r>
    <w:r w:rsidRPr="003729E7">
      <w:rPr>
        <w:rFonts w:ascii="Arial" w:hAnsi="Arial" w:cs="Arial"/>
        <w:sz w:val="13"/>
        <w:szCs w:val="13"/>
      </w:rPr>
      <w:t xml:space="preserve"> do jednej lub kilku jednostek Deloitte </w:t>
    </w:r>
    <w:proofErr w:type="spellStart"/>
    <w:r w:rsidRPr="003729E7">
      <w:rPr>
        <w:rFonts w:ascii="Arial" w:hAnsi="Arial" w:cs="Arial"/>
        <w:sz w:val="13"/>
        <w:szCs w:val="13"/>
      </w:rPr>
      <w:t>Touche</w:t>
    </w:r>
    <w:proofErr w:type="spellEnd"/>
    <w:r w:rsidRPr="003729E7">
      <w:rPr>
        <w:rFonts w:ascii="Arial" w:hAnsi="Arial" w:cs="Arial"/>
        <w:sz w:val="13"/>
        <w:szCs w:val="13"/>
      </w:rPr>
      <w:t xml:space="preserve"> </w:t>
    </w:r>
    <w:proofErr w:type="spellStart"/>
    <w:r w:rsidRPr="003729E7">
      <w:rPr>
        <w:rFonts w:ascii="Arial" w:hAnsi="Arial" w:cs="Arial"/>
        <w:sz w:val="13"/>
        <w:szCs w:val="13"/>
      </w:rPr>
      <w:t>Tohmatsu</w:t>
    </w:r>
    <w:proofErr w:type="spellEnd"/>
    <w:r w:rsidRPr="003729E7">
      <w:rPr>
        <w:rFonts w:ascii="Arial" w:hAnsi="Arial" w:cs="Arial"/>
        <w:sz w:val="13"/>
        <w:szCs w:val="13"/>
      </w:rPr>
      <w:t xml:space="preserve"> Limited, prywatnego podmiotu prawa brytyjskiego z ograniczon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odpowiedzialno</w:t>
    </w:r>
    <w:r w:rsidRPr="003729E7">
      <w:rPr>
        <w:rFonts w:ascii="Arial" w:hAnsi="Arial" w:cs="Arial" w:hint="eastAsia"/>
        <w:sz w:val="13"/>
        <w:szCs w:val="13"/>
      </w:rPr>
      <w:t>ś</w:t>
    </w:r>
    <w:r w:rsidRPr="003729E7">
      <w:rPr>
        <w:rFonts w:ascii="Arial" w:hAnsi="Arial" w:cs="Arial"/>
        <w:sz w:val="13"/>
        <w:szCs w:val="13"/>
      </w:rPr>
      <w:t>ci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i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onkowskich, które stanowi</w:t>
    </w:r>
    <w:r w:rsidRPr="003729E7">
      <w:rPr>
        <w:rFonts w:ascii="Arial" w:hAnsi="Arial" w:cs="Arial" w:hint="eastAsia"/>
        <w:sz w:val="13"/>
        <w:szCs w:val="13"/>
      </w:rPr>
      <w:t>ą</w:t>
    </w:r>
    <w:r w:rsidRPr="003729E7">
      <w:rPr>
        <w:rFonts w:ascii="Arial" w:hAnsi="Arial" w:cs="Arial"/>
        <w:sz w:val="13"/>
        <w:szCs w:val="13"/>
      </w:rPr>
      <w:t xml:space="preserve"> oddzielne i niezale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ne podmioty prawne. Dok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 xml:space="preserve">adny opis struktury prawnej Deloitte </w:t>
    </w:r>
    <w:proofErr w:type="spellStart"/>
    <w:r w:rsidRPr="003729E7">
      <w:rPr>
        <w:rFonts w:ascii="Arial" w:hAnsi="Arial" w:cs="Arial"/>
        <w:sz w:val="13"/>
        <w:szCs w:val="13"/>
      </w:rPr>
      <w:t>Touche</w:t>
    </w:r>
    <w:proofErr w:type="spellEnd"/>
    <w:r w:rsidRPr="003729E7">
      <w:rPr>
        <w:rFonts w:ascii="Arial" w:hAnsi="Arial" w:cs="Arial"/>
        <w:sz w:val="13"/>
        <w:szCs w:val="13"/>
      </w:rPr>
      <w:t xml:space="preserve"> </w:t>
    </w:r>
    <w:proofErr w:type="spellStart"/>
    <w:r w:rsidRPr="003729E7">
      <w:rPr>
        <w:rFonts w:ascii="Arial" w:hAnsi="Arial" w:cs="Arial"/>
        <w:sz w:val="13"/>
        <w:szCs w:val="13"/>
      </w:rPr>
      <w:t>Tohmatsu</w:t>
    </w:r>
    <w:proofErr w:type="spellEnd"/>
    <w:r w:rsidRPr="003729E7">
      <w:rPr>
        <w:rFonts w:ascii="Arial" w:hAnsi="Arial" w:cs="Arial"/>
        <w:sz w:val="13"/>
        <w:szCs w:val="13"/>
      </w:rPr>
      <w:t xml:space="preserve"> Limited oraz jego firm cz</w:t>
    </w:r>
    <w:r w:rsidRPr="003729E7">
      <w:rPr>
        <w:rFonts w:ascii="Arial" w:hAnsi="Arial" w:cs="Arial" w:hint="eastAsia"/>
        <w:sz w:val="13"/>
        <w:szCs w:val="13"/>
      </w:rPr>
      <w:t>ł</w:t>
    </w:r>
    <w:r w:rsidRPr="003729E7">
      <w:rPr>
        <w:rFonts w:ascii="Arial" w:hAnsi="Arial" w:cs="Arial"/>
        <w:sz w:val="13"/>
        <w:szCs w:val="13"/>
      </w:rPr>
      <w:t>onkowskich mo</w:t>
    </w:r>
    <w:r w:rsidRPr="003729E7">
      <w:rPr>
        <w:rFonts w:ascii="Arial" w:hAnsi="Arial" w:cs="Arial" w:hint="eastAsia"/>
        <w:sz w:val="13"/>
        <w:szCs w:val="13"/>
      </w:rPr>
      <w:t>ż</w:t>
    </w:r>
    <w:r w:rsidRPr="003729E7">
      <w:rPr>
        <w:rFonts w:ascii="Arial" w:hAnsi="Arial" w:cs="Arial"/>
        <w:sz w:val="13"/>
        <w:szCs w:val="13"/>
      </w:rPr>
      <w:t>na znale</w:t>
    </w:r>
    <w:r w:rsidRPr="003729E7">
      <w:rPr>
        <w:rFonts w:ascii="Arial" w:hAnsi="Arial" w:cs="Arial" w:hint="eastAsia"/>
        <w:sz w:val="13"/>
        <w:szCs w:val="13"/>
      </w:rPr>
      <w:t>źć</w:t>
    </w:r>
    <w:r w:rsidRPr="003729E7">
      <w:rPr>
        <w:rFonts w:ascii="Arial" w:hAnsi="Arial" w:cs="Arial"/>
        <w:sz w:val="13"/>
        <w:szCs w:val="13"/>
      </w:rPr>
      <w:t xml:space="preserve"> na stronie </w:t>
    </w:r>
    <w:hyperlink r:id="rId1" w:history="1">
      <w:r w:rsidRPr="00964151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  <w:r>
      <w:rPr>
        <w:rFonts w:ascii="Arial" w:hAnsi="Arial" w:cs="Arial"/>
        <w:sz w:val="13"/>
        <w:szCs w:val="13"/>
      </w:rPr>
      <w:t>.</w:t>
    </w:r>
  </w:p>
  <w:p w14:paraId="44255369" w14:textId="77777777" w:rsidR="004D1D02" w:rsidRDefault="004D1D02" w:rsidP="001C24B7">
    <w:pPr>
      <w:pStyle w:val="Amember"/>
      <w:ind w:right="-7"/>
      <w:rPr>
        <w:rFonts w:ascii="Arial" w:hAnsi="Arial" w:cs="Arial"/>
        <w:sz w:val="13"/>
        <w:szCs w:val="13"/>
      </w:rPr>
    </w:pPr>
  </w:p>
  <w:p w14:paraId="66FDAF1F" w14:textId="77777777" w:rsidR="004D1D02" w:rsidRDefault="004D1D02" w:rsidP="001C24B7">
    <w:pPr>
      <w:pStyle w:val="Amember"/>
      <w:ind w:right="-7"/>
      <w:rPr>
        <w:rFonts w:ascii="Arial" w:hAnsi="Arial" w:cs="Arial"/>
        <w:sz w:val="13"/>
        <w:szCs w:val="13"/>
      </w:rPr>
    </w:pPr>
    <w:r w:rsidRPr="006A2169">
      <w:rPr>
        <w:rFonts w:ascii="Arial" w:hAnsi="Arial" w:cs="Arial"/>
        <w:sz w:val="13"/>
        <w:szCs w:val="13"/>
      </w:rPr>
      <w:t xml:space="preserve">Deloitte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wiadczy us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ugi audytorskie, konsultingowe, doradztwa podatkowego, prawnego i finansowego klientom z sektora publicznego oraz prywatnego,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cym w ró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nych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ach. Dzi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ki globalnej sieci firm cz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onkowskich obejmuj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cej 150 krajów oferujemy najwy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szej klasy umiej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>tno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ci, do</w:t>
    </w:r>
    <w:r w:rsidRPr="006A2169">
      <w:rPr>
        <w:rFonts w:ascii="Arial" w:hAnsi="Arial" w:cs="Arial" w:hint="eastAsia"/>
        <w:sz w:val="13"/>
        <w:szCs w:val="13"/>
      </w:rPr>
      <w:t>ś</w:t>
    </w:r>
    <w:r>
      <w:rPr>
        <w:rFonts w:ascii="Arial" w:hAnsi="Arial" w:cs="Arial"/>
        <w:sz w:val="13"/>
        <w:szCs w:val="13"/>
      </w:rPr>
      <w:t>wiadczenie i </w:t>
    </w:r>
    <w:r w:rsidRPr="006A2169">
      <w:rPr>
        <w:rFonts w:ascii="Arial" w:hAnsi="Arial" w:cs="Arial"/>
        <w:sz w:val="13"/>
        <w:szCs w:val="13"/>
      </w:rPr>
      <w:t>wiedz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w po</w:t>
    </w:r>
    <w:r w:rsidRPr="006A2169">
      <w:rPr>
        <w:rFonts w:ascii="Arial" w:hAnsi="Arial" w:cs="Arial" w:hint="eastAsia"/>
        <w:sz w:val="13"/>
        <w:szCs w:val="13"/>
      </w:rPr>
      <w:t>łą</w:t>
    </w:r>
    <w:r w:rsidRPr="006A2169">
      <w:rPr>
        <w:rFonts w:ascii="Arial" w:hAnsi="Arial" w:cs="Arial"/>
        <w:sz w:val="13"/>
        <w:szCs w:val="13"/>
      </w:rPr>
      <w:t>czeniu ze znajomo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ci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lokalnego rynku. Pomagamy klientom odnie</w:t>
    </w:r>
    <w:r w:rsidRPr="006A2169">
      <w:rPr>
        <w:rFonts w:ascii="Arial" w:hAnsi="Arial" w:cs="Arial" w:hint="eastAsia"/>
        <w:sz w:val="13"/>
        <w:szCs w:val="13"/>
      </w:rPr>
      <w:t>ść</w:t>
    </w:r>
    <w:r w:rsidRPr="006A2169">
      <w:rPr>
        <w:rFonts w:ascii="Arial" w:hAnsi="Arial" w:cs="Arial"/>
        <w:sz w:val="13"/>
        <w:szCs w:val="13"/>
      </w:rPr>
      <w:t xml:space="preserve"> sukces niezale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nie od miejsca i bran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y, w jakiej dzia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>aj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. Ponad 244 000 pracowników Deloitte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>wiecie realizuje misj</w:t>
    </w:r>
    <w:r w:rsidRPr="006A2169">
      <w:rPr>
        <w:rFonts w:ascii="Arial" w:hAnsi="Arial" w:cs="Arial" w:hint="eastAsia"/>
        <w:sz w:val="13"/>
        <w:szCs w:val="13"/>
      </w:rPr>
      <w:t>ę</w:t>
    </w:r>
    <w:r w:rsidRPr="006A2169">
      <w:rPr>
        <w:rFonts w:ascii="Arial" w:hAnsi="Arial" w:cs="Arial"/>
        <w:sz w:val="13"/>
        <w:szCs w:val="13"/>
      </w:rPr>
      <w:t xml:space="preserve"> firmy: wywiera</w:t>
    </w:r>
    <w:r w:rsidRPr="006A2169">
      <w:rPr>
        <w:rFonts w:ascii="Arial" w:hAnsi="Arial" w:cs="Arial" w:hint="eastAsia"/>
        <w:sz w:val="13"/>
        <w:szCs w:val="13"/>
      </w:rPr>
      <w:t>ć</w:t>
    </w:r>
    <w:r w:rsidRPr="006A2169">
      <w:rPr>
        <w:rFonts w:ascii="Arial" w:hAnsi="Arial" w:cs="Arial"/>
        <w:sz w:val="13"/>
        <w:szCs w:val="13"/>
      </w:rPr>
      <w:t xml:space="preserve"> pozytywny wp</w:t>
    </w:r>
    <w:r w:rsidRPr="006A2169">
      <w:rPr>
        <w:rFonts w:ascii="Arial" w:hAnsi="Arial" w:cs="Arial" w:hint="eastAsia"/>
        <w:sz w:val="13"/>
        <w:szCs w:val="13"/>
      </w:rPr>
      <w:t>ł</w:t>
    </w:r>
    <w:r w:rsidRPr="006A2169">
      <w:rPr>
        <w:rFonts w:ascii="Arial" w:hAnsi="Arial" w:cs="Arial"/>
        <w:sz w:val="13"/>
        <w:szCs w:val="13"/>
      </w:rPr>
      <w:t xml:space="preserve">yw na </w:t>
    </w:r>
    <w:r w:rsidRPr="006A2169">
      <w:rPr>
        <w:rFonts w:ascii="Arial" w:hAnsi="Arial" w:cs="Arial" w:hint="eastAsia"/>
        <w:sz w:val="13"/>
        <w:szCs w:val="13"/>
      </w:rPr>
      <w:t>ś</w:t>
    </w:r>
    <w:r w:rsidRPr="006A2169">
      <w:rPr>
        <w:rFonts w:ascii="Arial" w:hAnsi="Arial" w:cs="Arial"/>
        <w:sz w:val="13"/>
        <w:szCs w:val="13"/>
      </w:rPr>
      <w:t xml:space="preserve">rodowisko i otoczenie, w którym </w:t>
    </w:r>
    <w:r w:rsidRPr="006A2169">
      <w:rPr>
        <w:rFonts w:ascii="Arial" w:hAnsi="Arial" w:cs="Arial" w:hint="eastAsia"/>
        <w:sz w:val="13"/>
        <w:szCs w:val="13"/>
      </w:rPr>
      <w:t>ż</w:t>
    </w:r>
    <w:r w:rsidRPr="006A2169">
      <w:rPr>
        <w:rFonts w:ascii="Arial" w:hAnsi="Arial" w:cs="Arial"/>
        <w:sz w:val="13"/>
        <w:szCs w:val="13"/>
      </w:rPr>
      <w:t>yj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 xml:space="preserve"> i pracuj</w:t>
    </w:r>
    <w:r w:rsidRPr="006A2169">
      <w:rPr>
        <w:rFonts w:ascii="Arial" w:hAnsi="Arial" w:cs="Arial" w:hint="eastAsia"/>
        <w:sz w:val="13"/>
        <w:szCs w:val="13"/>
      </w:rPr>
      <w:t>ą</w:t>
    </w:r>
    <w:r w:rsidRPr="006A2169">
      <w:rPr>
        <w:rFonts w:ascii="Arial" w:hAnsi="Arial" w:cs="Arial"/>
        <w:sz w:val="13"/>
        <w:szCs w:val="13"/>
      </w:rPr>
      <w:t>.</w:t>
    </w:r>
  </w:p>
  <w:p w14:paraId="2D341925" w14:textId="77777777" w:rsidR="004D1D02" w:rsidRPr="00FF74F8" w:rsidRDefault="004D1D02" w:rsidP="001C24B7">
    <w:pPr>
      <w:pStyle w:val="Amember"/>
      <w:ind w:right="-7"/>
      <w:rPr>
        <w:rFonts w:ascii="Arial" w:hAnsi="Arial" w:cs="Arial"/>
        <w:sz w:val="13"/>
        <w:szCs w:val="13"/>
      </w:rPr>
    </w:pPr>
    <w:r w:rsidRPr="00006577">
      <w:rPr>
        <w:rFonts w:ascii="Arial" w:hAnsi="Arial" w:cs="Arial"/>
        <w:sz w:val="13"/>
        <w:szCs w:val="13"/>
      </w:rPr>
      <w:t xml:space="preserve"> </w:t>
    </w:r>
  </w:p>
  <w:p w14:paraId="42B574F6" w14:textId="77777777" w:rsidR="004D1D02" w:rsidRPr="002E5C50" w:rsidRDefault="004D1D02" w:rsidP="001C24B7">
    <w:pPr>
      <w:pStyle w:val="Stopka"/>
      <w:ind w:right="3679"/>
      <w:rPr>
        <w:rFonts w:ascii="Arial" w:hAnsi="Arial"/>
      </w:rPr>
    </w:pPr>
  </w:p>
  <w:p w14:paraId="4654D703" w14:textId="77777777" w:rsidR="004D1D02" w:rsidRPr="00976E31" w:rsidRDefault="004D1D02" w:rsidP="001C24B7">
    <w:pPr>
      <w:pStyle w:val="Amember"/>
      <w:ind w:right="3679"/>
      <w:rPr>
        <w:rFonts w:ascii="Arial" w:hAnsi="Arial"/>
        <w:lang w:val="en-GB"/>
      </w:rPr>
    </w:pPr>
    <w:r w:rsidRPr="00FA286C">
      <w:rPr>
        <w:rFonts w:ascii="Arial" w:hAnsi="Arial" w:cs="Arial"/>
        <w:szCs w:val="14"/>
        <w:lang w:val="en-US"/>
      </w:rPr>
      <w:t>Member of D</w:t>
    </w:r>
    <w:r>
      <w:rPr>
        <w:rFonts w:ascii="Arial" w:hAnsi="Arial" w:cs="Arial"/>
        <w:szCs w:val="14"/>
        <w:lang w:val="en-US"/>
      </w:rPr>
      <w:t>eloitte Touche Tohmatsu Limited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3A34" w14:textId="77777777" w:rsidR="001A6E57" w:rsidRDefault="001A6E57" w:rsidP="00456DA7">
      <w:pPr>
        <w:spacing w:line="240" w:lineRule="auto"/>
      </w:pPr>
      <w:r>
        <w:separator/>
      </w:r>
    </w:p>
  </w:footnote>
  <w:footnote w:type="continuationSeparator" w:id="0">
    <w:p w14:paraId="1EEF0B56" w14:textId="77777777" w:rsidR="001A6E57" w:rsidRDefault="001A6E57" w:rsidP="00456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2156" w14:textId="77777777" w:rsidR="004D1D02" w:rsidRDefault="004D1D02" w:rsidP="001C24B7">
    <w:pPr>
      <w:pStyle w:val="Legalentity"/>
      <w:spacing w:after="140" w:line="240" w:lineRule="auto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23ED80C" wp14:editId="3FF300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1" name="Picture 3" descr="DEL_PRI_GREY_MS">
            <a:extLst xmlns:a="http://schemas.openxmlformats.org/drawingml/2006/main">
              <a:ext uri="{FF2B5EF4-FFF2-40B4-BE49-F238E27FC236}">
                <a16:creationId xmlns:a16="http://schemas.microsoft.com/office/drawing/2014/main" id="{D8C1897E-68EB-4AFD-A105-13BBEB42C4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02"/>
    <w:rsid w:val="000167EC"/>
    <w:rsid w:val="00016874"/>
    <w:rsid w:val="00042AA9"/>
    <w:rsid w:val="00044CCA"/>
    <w:rsid w:val="00072A78"/>
    <w:rsid w:val="000A0C73"/>
    <w:rsid w:val="000C0323"/>
    <w:rsid w:val="000C2B14"/>
    <w:rsid w:val="000C3CF1"/>
    <w:rsid w:val="000D4F04"/>
    <w:rsid w:val="000F3D75"/>
    <w:rsid w:val="001067B3"/>
    <w:rsid w:val="00111A43"/>
    <w:rsid w:val="00135F00"/>
    <w:rsid w:val="00135F30"/>
    <w:rsid w:val="00145ED1"/>
    <w:rsid w:val="001754D1"/>
    <w:rsid w:val="001853EA"/>
    <w:rsid w:val="001A6E57"/>
    <w:rsid w:val="001C24B7"/>
    <w:rsid w:val="001E13F4"/>
    <w:rsid w:val="00222C07"/>
    <w:rsid w:val="00242B5E"/>
    <w:rsid w:val="00263204"/>
    <w:rsid w:val="00270CD0"/>
    <w:rsid w:val="00290D05"/>
    <w:rsid w:val="002D26EE"/>
    <w:rsid w:val="002E41C1"/>
    <w:rsid w:val="002F7581"/>
    <w:rsid w:val="003204B9"/>
    <w:rsid w:val="00340ABB"/>
    <w:rsid w:val="003558BC"/>
    <w:rsid w:val="0038451D"/>
    <w:rsid w:val="003A0BDB"/>
    <w:rsid w:val="003A30EB"/>
    <w:rsid w:val="003B103A"/>
    <w:rsid w:val="003B2535"/>
    <w:rsid w:val="003C22E3"/>
    <w:rsid w:val="003E520B"/>
    <w:rsid w:val="004279F1"/>
    <w:rsid w:val="00433366"/>
    <w:rsid w:val="004431F4"/>
    <w:rsid w:val="00445F28"/>
    <w:rsid w:val="00456DA7"/>
    <w:rsid w:val="00484496"/>
    <w:rsid w:val="0049045E"/>
    <w:rsid w:val="00497DC4"/>
    <w:rsid w:val="004A22B3"/>
    <w:rsid w:val="004D1D02"/>
    <w:rsid w:val="00503AAD"/>
    <w:rsid w:val="00531105"/>
    <w:rsid w:val="00543E72"/>
    <w:rsid w:val="0054627F"/>
    <w:rsid w:val="00553B29"/>
    <w:rsid w:val="005B0940"/>
    <w:rsid w:val="005B57A4"/>
    <w:rsid w:val="00601CD6"/>
    <w:rsid w:val="006043B8"/>
    <w:rsid w:val="00605D25"/>
    <w:rsid w:val="006204C3"/>
    <w:rsid w:val="00621152"/>
    <w:rsid w:val="006352DA"/>
    <w:rsid w:val="0065421C"/>
    <w:rsid w:val="00664C8D"/>
    <w:rsid w:val="0068303E"/>
    <w:rsid w:val="006A01F7"/>
    <w:rsid w:val="006A7E74"/>
    <w:rsid w:val="006C158D"/>
    <w:rsid w:val="006D5BF0"/>
    <w:rsid w:val="0071170B"/>
    <w:rsid w:val="00716698"/>
    <w:rsid w:val="007679A3"/>
    <w:rsid w:val="00792E24"/>
    <w:rsid w:val="007A4A62"/>
    <w:rsid w:val="007A7767"/>
    <w:rsid w:val="0082636E"/>
    <w:rsid w:val="0087448C"/>
    <w:rsid w:val="00883CA9"/>
    <w:rsid w:val="008D58EF"/>
    <w:rsid w:val="00987D80"/>
    <w:rsid w:val="009B2EC5"/>
    <w:rsid w:val="009B5E67"/>
    <w:rsid w:val="00A1373C"/>
    <w:rsid w:val="00A35D2E"/>
    <w:rsid w:val="00A544C2"/>
    <w:rsid w:val="00A5586B"/>
    <w:rsid w:val="00A91550"/>
    <w:rsid w:val="00A945F2"/>
    <w:rsid w:val="00AC055E"/>
    <w:rsid w:val="00AE7050"/>
    <w:rsid w:val="00AF6CF2"/>
    <w:rsid w:val="00AF7613"/>
    <w:rsid w:val="00B12E6E"/>
    <w:rsid w:val="00B27E70"/>
    <w:rsid w:val="00B8384D"/>
    <w:rsid w:val="00BA6A46"/>
    <w:rsid w:val="00C00322"/>
    <w:rsid w:val="00C12D68"/>
    <w:rsid w:val="00C167C8"/>
    <w:rsid w:val="00C72460"/>
    <w:rsid w:val="00C8264B"/>
    <w:rsid w:val="00CB0046"/>
    <w:rsid w:val="00CF5761"/>
    <w:rsid w:val="00CF7344"/>
    <w:rsid w:val="00D019DC"/>
    <w:rsid w:val="00D1671D"/>
    <w:rsid w:val="00D2235F"/>
    <w:rsid w:val="00D26223"/>
    <w:rsid w:val="00D827F8"/>
    <w:rsid w:val="00D872C2"/>
    <w:rsid w:val="00DB0712"/>
    <w:rsid w:val="00DC6272"/>
    <w:rsid w:val="00DE6CB8"/>
    <w:rsid w:val="00DF0475"/>
    <w:rsid w:val="00E04519"/>
    <w:rsid w:val="00E22E25"/>
    <w:rsid w:val="00E32E5C"/>
    <w:rsid w:val="00E444E2"/>
    <w:rsid w:val="00E64CF5"/>
    <w:rsid w:val="00E82B2D"/>
    <w:rsid w:val="00EF0B39"/>
    <w:rsid w:val="00F25AA8"/>
    <w:rsid w:val="00F3607C"/>
    <w:rsid w:val="00F54BCB"/>
    <w:rsid w:val="00F65581"/>
    <w:rsid w:val="00F66873"/>
    <w:rsid w:val="00F86819"/>
    <w:rsid w:val="00FA7EBB"/>
    <w:rsid w:val="00FD2B98"/>
    <w:rsid w:val="038A2F8E"/>
    <w:rsid w:val="064E471D"/>
    <w:rsid w:val="0D696AFA"/>
    <w:rsid w:val="0DC5ECE6"/>
    <w:rsid w:val="117C7A0B"/>
    <w:rsid w:val="1DAFE630"/>
    <w:rsid w:val="22546EDD"/>
    <w:rsid w:val="281581A0"/>
    <w:rsid w:val="33895CD3"/>
    <w:rsid w:val="34D8B6B0"/>
    <w:rsid w:val="386AB650"/>
    <w:rsid w:val="3F290ED6"/>
    <w:rsid w:val="4163CEEA"/>
    <w:rsid w:val="43996341"/>
    <w:rsid w:val="45ADEAED"/>
    <w:rsid w:val="470EC5DD"/>
    <w:rsid w:val="48CB72D0"/>
    <w:rsid w:val="4A4EB3E2"/>
    <w:rsid w:val="540D1E2F"/>
    <w:rsid w:val="592BDF0B"/>
    <w:rsid w:val="5AAD405D"/>
    <w:rsid w:val="614C13EB"/>
    <w:rsid w:val="61E90E98"/>
    <w:rsid w:val="63C1D555"/>
    <w:rsid w:val="64D0A199"/>
    <w:rsid w:val="6766AC78"/>
    <w:rsid w:val="7A202BCB"/>
    <w:rsid w:val="7A2EE1FE"/>
    <w:rsid w:val="7A7CB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930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D02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after="0" w:line="280" w:lineRule="exact"/>
    </w:pPr>
    <w:rPr>
      <w:rFonts w:ascii="Helvetica 45 Light" w:eastAsia="Times" w:hAnsi="Helvetica 45 Light" w:cs="Times New Roman"/>
      <w:kern w:val="0"/>
      <w:sz w:val="20"/>
      <w:szCs w:val="20"/>
      <w:lang w:val="pl-PL"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1D02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1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1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1D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1D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1D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1D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1D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1D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1D02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D1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1D02"/>
    <w:pPr>
      <w:numPr>
        <w:ilvl w:val="1"/>
      </w:num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D1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1D02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D1D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1D02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D1D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1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1D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1D0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4D1D02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character" w:customStyle="1" w:styleId="StopkaZnak">
    <w:name w:val="Stopka Znak"/>
    <w:basedOn w:val="Domylnaczcionkaakapitu"/>
    <w:link w:val="Stopka"/>
    <w:semiHidden/>
    <w:rsid w:val="004D1D02"/>
    <w:rPr>
      <w:rFonts w:ascii="Helvetica 45 Light" w:eastAsia="Times" w:hAnsi="Helvetica 45 Light" w:cs="Times New Roman"/>
      <w:kern w:val="0"/>
      <w:sz w:val="12"/>
      <w:szCs w:val="20"/>
      <w:lang w:val="pl-PL" w:eastAsia="en-GB"/>
      <w14:ligatures w14:val="none"/>
    </w:rPr>
  </w:style>
  <w:style w:type="paragraph" w:styleId="Nagwek">
    <w:name w:val="header"/>
    <w:basedOn w:val="Normalny"/>
    <w:link w:val="NagwekZnak"/>
    <w:rsid w:val="004D1D02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4D1D02"/>
    <w:rPr>
      <w:rFonts w:ascii="Helvetica 45 Light" w:eastAsia="Times" w:hAnsi="Helvetica 45 Light" w:cs="Times New Roman"/>
      <w:kern w:val="0"/>
      <w:sz w:val="20"/>
      <w:szCs w:val="20"/>
      <w:lang w:val="pl-PL" w:eastAsia="en-GB"/>
      <w14:ligatures w14:val="none"/>
    </w:rPr>
  </w:style>
  <w:style w:type="paragraph" w:customStyle="1" w:styleId="Legalentity">
    <w:name w:val="Legal entity"/>
    <w:basedOn w:val="Normalny"/>
    <w:rsid w:val="004D1D02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rsid w:val="004D1D02"/>
    <w:rPr>
      <w:color w:val="0000FF"/>
      <w:u w:val="single"/>
    </w:rPr>
  </w:style>
  <w:style w:type="paragraph" w:customStyle="1" w:styleId="Fax">
    <w:name w:val="Fax"/>
    <w:basedOn w:val="Normalny"/>
    <w:rsid w:val="004D1D02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Maintext">
    <w:name w:val="Main text"/>
    <w:basedOn w:val="Normalny"/>
    <w:rsid w:val="004D1D02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Amember">
    <w:name w:val="A member"/>
    <w:basedOn w:val="Normalny"/>
    <w:rsid w:val="004D1D02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character" w:styleId="Odwoaniedokomentarza">
    <w:name w:val="annotation reference"/>
    <w:uiPriority w:val="99"/>
    <w:semiHidden/>
    <w:unhideWhenUsed/>
    <w:rsid w:val="004D1D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1D0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1D02"/>
    <w:rPr>
      <w:rFonts w:ascii="Helvetica 45 Light" w:eastAsia="Times" w:hAnsi="Helvetica 45 Light" w:cs="Times New Roman"/>
      <w:kern w:val="0"/>
      <w:sz w:val="20"/>
      <w:szCs w:val="20"/>
      <w:lang w:val="pl-PL" w:eastAsia="en-GB"/>
      <w14:ligatures w14:val="none"/>
    </w:rPr>
  </w:style>
  <w:style w:type="paragraph" w:styleId="Poprawka">
    <w:name w:val="Revision"/>
    <w:hidden/>
    <w:uiPriority w:val="99"/>
    <w:semiHidden/>
    <w:rsid w:val="00E22E25"/>
    <w:pPr>
      <w:spacing w:after="0" w:line="240" w:lineRule="auto"/>
    </w:pPr>
    <w:rPr>
      <w:rFonts w:ascii="Helvetica 45 Light" w:eastAsia="Times" w:hAnsi="Helvetica 45 Light" w:cs="Times New Roman"/>
      <w:kern w:val="0"/>
      <w:sz w:val="20"/>
      <w:szCs w:val="20"/>
      <w:lang w:val="pl-PL" w:eastAsia="en-GB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8BC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8BC"/>
    <w:rPr>
      <w:rFonts w:ascii="Helvetica 45 Light" w:eastAsia="Times" w:hAnsi="Helvetica 45 Light" w:cs="Times New Roman"/>
      <w:b/>
      <w:bCs/>
      <w:kern w:val="0"/>
      <w:sz w:val="20"/>
      <w:szCs w:val="20"/>
      <w:lang w:val="pl-PL"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336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3336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deloittece.com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deloitte.com/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www.deloitte.com/pl/subskrypcj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data.unhcr.org/en/documents/details/12410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ata.unhcr.org/en/documents/details/124105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2026-10-01T07:57:00Z</dcterms:created>
  <dcterms:modified xsi:type="dcterms:W3CDTF">2026-10-01T07:57:00Z</dcterms:modified>
</cp:coreProperties>
</file>