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E49F62" w14:textId="77777777" w:rsidR="003E01D9" w:rsidRPr="00C574E3" w:rsidRDefault="003E01D9" w:rsidP="003E01D9">
      <w:pPr>
        <w:rPr>
          <w:rFonts w:ascii="Aptos" w:eastAsia="Calibri" w:hAnsi="Aptos" w:cs="Calibri"/>
          <w:color w:val="000000" w:themeColor="text1"/>
          <w:sz w:val="22"/>
        </w:rPr>
      </w:pPr>
      <w:r w:rsidRPr="00C574E3">
        <w:rPr>
          <w:rFonts w:ascii="Aptos" w:eastAsia="Calibri" w:hAnsi="Aptos" w:cs="Calibri"/>
          <w:color w:val="000000" w:themeColor="text1"/>
          <w:sz w:val="22"/>
        </w:rPr>
        <w:t>KOMUNIKAT PRASOWY</w:t>
      </w:r>
    </w:p>
    <w:p w14:paraId="35BFA8F0" w14:textId="77777777" w:rsidR="00C574E3" w:rsidRPr="00C574E3" w:rsidRDefault="00C574E3" w:rsidP="007B61C0">
      <w:pPr>
        <w:jc w:val="right"/>
        <w:rPr>
          <w:rFonts w:ascii="Aptos" w:eastAsia="Calibri" w:hAnsi="Aptos" w:cs="Calibri"/>
          <w:color w:val="000000" w:themeColor="text1"/>
          <w:sz w:val="22"/>
        </w:rPr>
      </w:pPr>
    </w:p>
    <w:p w14:paraId="3287AF1F" w14:textId="77777777" w:rsidR="003D26D2" w:rsidRDefault="003D26D2" w:rsidP="00C574E3">
      <w:pPr>
        <w:jc w:val="center"/>
        <w:rPr>
          <w:rFonts w:ascii="Aptos" w:hAnsi="Aptos"/>
          <w:b/>
          <w:bCs/>
        </w:rPr>
      </w:pPr>
      <w:r w:rsidRPr="00C574E3">
        <w:rPr>
          <w:rFonts w:ascii="Aptos" w:hAnsi="Aptos"/>
          <w:b/>
          <w:bCs/>
        </w:rPr>
        <w:t>Fitch podnosi rating Alior Banku do poziomu inwestycyjnego „BBB-”</w:t>
      </w:r>
    </w:p>
    <w:p w14:paraId="13D2C74B" w14:textId="6625E0FA" w:rsidR="003D26D2" w:rsidRPr="00C574E3" w:rsidRDefault="003D26D2" w:rsidP="00C574E3">
      <w:pPr>
        <w:jc w:val="both"/>
        <w:rPr>
          <w:rFonts w:ascii="Aptos" w:hAnsi="Aptos"/>
          <w:b/>
          <w:bCs/>
        </w:rPr>
      </w:pPr>
      <w:r w:rsidRPr="00C574E3">
        <w:rPr>
          <w:rFonts w:ascii="Aptos" w:hAnsi="Aptos"/>
          <w:b/>
          <w:bCs/>
        </w:rPr>
        <w:t xml:space="preserve">Agencja Fitch Ratings </w:t>
      </w:r>
      <w:r w:rsidR="00BC0663">
        <w:rPr>
          <w:rFonts w:ascii="Aptos" w:hAnsi="Aptos"/>
          <w:b/>
          <w:bCs/>
        </w:rPr>
        <w:t xml:space="preserve">doceniła </w:t>
      </w:r>
      <w:r w:rsidR="00BC0663" w:rsidRPr="00BC0663">
        <w:rPr>
          <w:rFonts w:ascii="Aptos" w:hAnsi="Aptos"/>
          <w:b/>
          <w:bCs/>
        </w:rPr>
        <w:t xml:space="preserve">postępy Alior Banku w równoważeniu i stabilizowaniu struktury działalności i </w:t>
      </w:r>
      <w:r w:rsidRPr="00C574E3">
        <w:rPr>
          <w:rFonts w:ascii="Aptos" w:hAnsi="Aptos"/>
          <w:b/>
          <w:bCs/>
        </w:rPr>
        <w:t xml:space="preserve">podwyższyła długoterminowy rating </w:t>
      </w:r>
      <w:r w:rsidR="00374A20">
        <w:rPr>
          <w:rFonts w:ascii="Aptos" w:hAnsi="Aptos"/>
          <w:b/>
          <w:bCs/>
        </w:rPr>
        <w:t xml:space="preserve">banku </w:t>
      </w:r>
      <w:r w:rsidRPr="00C574E3">
        <w:rPr>
          <w:rFonts w:ascii="Aptos" w:hAnsi="Aptos"/>
          <w:b/>
          <w:bCs/>
        </w:rPr>
        <w:t xml:space="preserve">do poziomu </w:t>
      </w:r>
      <w:r w:rsidR="00374A20">
        <w:rPr>
          <w:rFonts w:ascii="Aptos" w:hAnsi="Aptos"/>
          <w:b/>
          <w:bCs/>
        </w:rPr>
        <w:t xml:space="preserve">inwestycyjnego </w:t>
      </w:r>
      <w:r w:rsidRPr="00C574E3">
        <w:rPr>
          <w:rFonts w:ascii="Aptos" w:hAnsi="Aptos"/>
          <w:b/>
          <w:bCs/>
        </w:rPr>
        <w:t>„BBB-” oraz krótkoterminową ocenę ratingową do poziomu „F3”. Dodatkowo Fitch podniósł długoterminowy rating krajowy banku do „A(pol)”, Viability Rating (VR) do „bbb-</w:t>
      </w:r>
      <w:r w:rsidR="00171A8C" w:rsidRPr="00C574E3">
        <w:rPr>
          <w:rFonts w:ascii="Aptos" w:hAnsi="Aptos"/>
          <w:b/>
          <w:bCs/>
        </w:rPr>
        <w:t>”</w:t>
      </w:r>
      <w:r w:rsidRPr="00C574E3">
        <w:rPr>
          <w:rFonts w:ascii="Aptos" w:hAnsi="Aptos"/>
          <w:b/>
          <w:bCs/>
        </w:rPr>
        <w:t xml:space="preserve"> i długoterminowy rating depozytów do </w:t>
      </w:r>
      <w:r w:rsidR="006B5C8F" w:rsidRPr="00C574E3">
        <w:rPr>
          <w:rFonts w:ascii="Aptos" w:hAnsi="Aptos"/>
          <w:b/>
          <w:bCs/>
        </w:rPr>
        <w:t>„</w:t>
      </w:r>
      <w:r w:rsidRPr="00C574E3">
        <w:rPr>
          <w:rFonts w:ascii="Aptos" w:hAnsi="Aptos"/>
          <w:b/>
          <w:bCs/>
        </w:rPr>
        <w:t xml:space="preserve">BBB”. Perspektywy długoterminowej oceny ratingowej </w:t>
      </w:r>
      <w:r w:rsidR="006B5C8F" w:rsidRPr="00C574E3">
        <w:rPr>
          <w:rFonts w:ascii="Aptos" w:hAnsi="Aptos"/>
          <w:b/>
          <w:bCs/>
        </w:rPr>
        <w:t>b</w:t>
      </w:r>
      <w:r w:rsidRPr="00C574E3">
        <w:rPr>
          <w:rFonts w:ascii="Aptos" w:hAnsi="Aptos"/>
          <w:b/>
          <w:bCs/>
        </w:rPr>
        <w:t xml:space="preserve">anku i </w:t>
      </w:r>
      <w:r w:rsidR="00C574E3" w:rsidRPr="00C574E3">
        <w:rPr>
          <w:rFonts w:ascii="Aptos" w:hAnsi="Aptos"/>
          <w:b/>
          <w:bCs/>
        </w:rPr>
        <w:t xml:space="preserve">jego </w:t>
      </w:r>
      <w:r w:rsidRPr="00C574E3">
        <w:rPr>
          <w:rFonts w:ascii="Aptos" w:hAnsi="Aptos"/>
          <w:b/>
          <w:bCs/>
        </w:rPr>
        <w:t xml:space="preserve">długoterminowego ratingu krajowego są stabilne. </w:t>
      </w:r>
    </w:p>
    <w:p w14:paraId="73E736C5" w14:textId="6AA9CE20" w:rsidR="003D26D2" w:rsidRPr="00C574E3" w:rsidRDefault="003D26D2" w:rsidP="00C574E3">
      <w:pPr>
        <w:jc w:val="both"/>
        <w:rPr>
          <w:rFonts w:ascii="Aptos" w:hAnsi="Aptos"/>
        </w:rPr>
      </w:pPr>
      <w:r w:rsidRPr="00C574E3">
        <w:rPr>
          <w:rFonts w:ascii="Aptos" w:hAnsi="Aptos"/>
        </w:rPr>
        <w:t>Podwyższenie ratingów odzwierciedla</w:t>
      </w:r>
      <w:r w:rsidR="00020545">
        <w:rPr>
          <w:rFonts w:ascii="Aptos" w:hAnsi="Aptos"/>
        </w:rPr>
        <w:t xml:space="preserve"> </w:t>
      </w:r>
      <w:r w:rsidR="00020545" w:rsidRPr="00020545">
        <w:rPr>
          <w:rFonts w:ascii="Aptos" w:hAnsi="Aptos"/>
        </w:rPr>
        <w:t>skuteczne działania Alior Banku w budowaniu bardziej stabilnego i zrównoważonego modelu biznesowego</w:t>
      </w:r>
      <w:r w:rsidRPr="00C574E3">
        <w:rPr>
          <w:rFonts w:ascii="Aptos" w:hAnsi="Aptos"/>
        </w:rPr>
        <w:t xml:space="preserve">. W ocenie agencji Fitch przełożyło się to na poprawę profilu biznesowego i jakości aktywów. Wskaźnik kredytów z utratą wartości oraz koszty </w:t>
      </w:r>
      <w:r w:rsidR="00171A8C">
        <w:rPr>
          <w:rFonts w:ascii="Aptos" w:hAnsi="Aptos"/>
        </w:rPr>
        <w:t>ryzyka</w:t>
      </w:r>
      <w:r w:rsidR="00171A8C" w:rsidRPr="00C574E3">
        <w:rPr>
          <w:rFonts w:ascii="Aptos" w:hAnsi="Aptos"/>
        </w:rPr>
        <w:t xml:space="preserve"> </w:t>
      </w:r>
      <w:r w:rsidRPr="00C574E3">
        <w:rPr>
          <w:rFonts w:ascii="Aptos" w:hAnsi="Aptos"/>
        </w:rPr>
        <w:t xml:space="preserve">zbliżyły się do średniej krajowego sektora, a wskaźniki rentowności wypadają korzystnie na tle </w:t>
      </w:r>
      <w:r w:rsidR="00366860">
        <w:rPr>
          <w:rFonts w:ascii="Aptos" w:hAnsi="Aptos"/>
        </w:rPr>
        <w:t>konkurencji</w:t>
      </w:r>
      <w:r w:rsidRPr="00C574E3">
        <w:rPr>
          <w:rFonts w:ascii="Aptos" w:hAnsi="Aptos"/>
        </w:rPr>
        <w:t xml:space="preserve">. Zdaniem agencji powinno to pozwolić bankowi utrzymać </w:t>
      </w:r>
      <w:r w:rsidR="00366860">
        <w:rPr>
          <w:rFonts w:ascii="Aptos" w:hAnsi="Aptos"/>
        </w:rPr>
        <w:t>silną pozycję kapitałową</w:t>
      </w:r>
      <w:r w:rsidR="00C574E3">
        <w:rPr>
          <w:rFonts w:ascii="Aptos" w:hAnsi="Aptos"/>
        </w:rPr>
        <w:t xml:space="preserve">, również w perspektywie </w:t>
      </w:r>
      <w:r w:rsidRPr="00C574E3">
        <w:rPr>
          <w:rFonts w:ascii="Aptos" w:hAnsi="Aptos"/>
        </w:rPr>
        <w:t>planowanego rozwoju i wypłat dywidendy.</w:t>
      </w:r>
    </w:p>
    <w:p w14:paraId="4346F668" w14:textId="1F00F57E" w:rsidR="003D26D2" w:rsidRPr="00C574E3" w:rsidRDefault="003D26D2" w:rsidP="00C574E3">
      <w:pPr>
        <w:jc w:val="both"/>
        <w:rPr>
          <w:rFonts w:ascii="Aptos" w:hAnsi="Aptos"/>
        </w:rPr>
      </w:pPr>
      <w:bookmarkStart w:id="0" w:name="_Hlk222831832"/>
      <w:r w:rsidRPr="00C574E3">
        <w:rPr>
          <w:rFonts w:ascii="Aptos" w:hAnsi="Aptos"/>
          <w:i/>
          <w:iCs/>
        </w:rPr>
        <w:t xml:space="preserve">– Uzyskanie przez Alior Bank ratingu inwestycyjnego Fitch to ważny kamień milowy i potwierdzenie trwałej poprawy naszej kondycji finansowej oraz profilu ryzyka. To efekt konsekwentnej realizacji strategii, wzmacniania jakości portfela i stabilności modelu biznesowego, a przede wszystkim zaangażowania całego zespołu. Ocena „BBB-” zwiększa naszą wiarygodność w oczach inwestorów i partnerów oraz daje solidne podstawy do dalszego, odpowiedzialnego rozwoju – </w:t>
      </w:r>
      <w:r w:rsidRPr="00C574E3">
        <w:rPr>
          <w:rFonts w:ascii="Aptos" w:hAnsi="Aptos"/>
          <w:b/>
          <w:bCs/>
        </w:rPr>
        <w:t>Piotr Żabski</w:t>
      </w:r>
      <w:r w:rsidRPr="00C574E3">
        <w:rPr>
          <w:rFonts w:ascii="Aptos" w:hAnsi="Aptos"/>
        </w:rPr>
        <w:t xml:space="preserve">, prezes zarządu Alior Banku. </w:t>
      </w:r>
      <w:bookmarkEnd w:id="0"/>
    </w:p>
    <w:p w14:paraId="1467B951" w14:textId="41765599" w:rsidR="003D26D2" w:rsidRPr="00C574E3" w:rsidRDefault="001946DB" w:rsidP="00C574E3">
      <w:pPr>
        <w:jc w:val="both"/>
        <w:rPr>
          <w:rFonts w:ascii="Aptos" w:hAnsi="Aptos"/>
        </w:rPr>
      </w:pPr>
      <w:r w:rsidRPr="001946DB">
        <w:rPr>
          <w:rFonts w:ascii="Aptos" w:hAnsi="Aptos"/>
        </w:rPr>
        <w:t xml:space="preserve">Zdaniem Fitch, działania podejmowane przez Alior Bank w zakresie optymalizacji struktury portfela kredytowego, zwiększania udziału kredytów zabezpieczonych oraz </w:t>
      </w:r>
      <w:r>
        <w:rPr>
          <w:rFonts w:ascii="Aptos" w:hAnsi="Aptos"/>
        </w:rPr>
        <w:t>zaostrzenia</w:t>
      </w:r>
      <w:r w:rsidRPr="001946DB">
        <w:rPr>
          <w:rFonts w:ascii="Aptos" w:hAnsi="Aptos"/>
        </w:rPr>
        <w:t xml:space="preserve"> standardów oceny ryzyka kredytowego przyczyniły się do poprawy jakości portfela kredytowego oraz dalszego wzmocnienia profilu ryzyka </w:t>
      </w:r>
      <w:r>
        <w:rPr>
          <w:rFonts w:ascii="Aptos" w:hAnsi="Aptos"/>
        </w:rPr>
        <w:t>b</w:t>
      </w:r>
      <w:r w:rsidRPr="001946DB">
        <w:rPr>
          <w:rFonts w:ascii="Aptos" w:hAnsi="Aptos"/>
        </w:rPr>
        <w:t>anku.</w:t>
      </w:r>
      <w:r>
        <w:rPr>
          <w:rFonts w:ascii="Aptos" w:hAnsi="Aptos"/>
        </w:rPr>
        <w:t xml:space="preserve"> </w:t>
      </w:r>
      <w:r w:rsidR="003D26D2" w:rsidRPr="00C574E3">
        <w:rPr>
          <w:rFonts w:ascii="Aptos" w:hAnsi="Aptos"/>
        </w:rPr>
        <w:t>Jednocześnie agencja zwraca uwagę na odpowiednie bufory kapitałowe, poprawę zdolności do trwałego generowania kapitału oraz stabilny profil finansowania i płynności.</w:t>
      </w:r>
    </w:p>
    <w:p w14:paraId="421C9834" w14:textId="731FA63E" w:rsidR="00C574E3" w:rsidRPr="00C574E3" w:rsidRDefault="00C574E3" w:rsidP="00C574E3">
      <w:pPr>
        <w:jc w:val="both"/>
        <w:rPr>
          <w:rFonts w:ascii="Aptos" w:hAnsi="Aptos"/>
        </w:rPr>
      </w:pPr>
      <w:r w:rsidRPr="00C574E3">
        <w:rPr>
          <w:rFonts w:ascii="Aptos" w:hAnsi="Aptos"/>
        </w:rPr>
        <w:t xml:space="preserve">Definicje ratingów Fitch dostępne są na stronie </w:t>
      </w:r>
      <w:r w:rsidR="004D1E68">
        <w:rPr>
          <w:rFonts w:ascii="Aptos" w:hAnsi="Aptos"/>
        </w:rPr>
        <w:t>a</w:t>
      </w:r>
      <w:r w:rsidRPr="00C574E3">
        <w:rPr>
          <w:rFonts w:ascii="Aptos" w:hAnsi="Aptos"/>
        </w:rPr>
        <w:t xml:space="preserve">gencji pod adresem </w:t>
      </w:r>
      <w:hyperlink r:id="rId10" w:history="1">
        <w:r w:rsidRPr="003C3E6B">
          <w:rPr>
            <w:rStyle w:val="Hipercze"/>
            <w:rFonts w:ascii="Aptos" w:hAnsi="Aptos"/>
          </w:rPr>
          <w:t>www.fitchratings.com</w:t>
        </w:r>
      </w:hyperlink>
      <w:r w:rsidRPr="00C574E3">
        <w:rPr>
          <w:rFonts w:ascii="Aptos" w:hAnsi="Aptos"/>
        </w:rPr>
        <w:t>, gdzie publikowane są także ratingi, kryteria oraz metodyki.</w:t>
      </w:r>
    </w:p>
    <w:p w14:paraId="4F8C72B9" w14:textId="5E07D1A4" w:rsidR="00351625" w:rsidRPr="00C574E3" w:rsidRDefault="00351625" w:rsidP="00C574E3">
      <w:pPr>
        <w:jc w:val="both"/>
        <w:rPr>
          <w:rFonts w:ascii="Aptos" w:hAnsi="Aptos"/>
        </w:rPr>
      </w:pPr>
    </w:p>
    <w:sectPr w:rsidR="00351625" w:rsidRPr="00C574E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B8A53" w14:textId="77777777" w:rsidR="00FC2466" w:rsidRDefault="00FC2466" w:rsidP="003E01D9">
      <w:pPr>
        <w:spacing w:after="0" w:line="240" w:lineRule="auto"/>
      </w:pPr>
      <w:r>
        <w:separator/>
      </w:r>
    </w:p>
  </w:endnote>
  <w:endnote w:type="continuationSeparator" w:id="0">
    <w:p w14:paraId="444FF8D0" w14:textId="77777777" w:rsidR="00FC2466" w:rsidRDefault="00FC2466" w:rsidP="003E01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6F8DD" w14:textId="77777777" w:rsidR="003D26D2" w:rsidRDefault="003D26D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588A0" w14:textId="77777777" w:rsidR="003E01D9" w:rsidRPr="00694781" w:rsidRDefault="003E01D9" w:rsidP="003E01D9">
    <w:pPr>
      <w:rPr>
        <w:color w:val="7F7F7F" w:themeColor="text1" w:themeTint="80"/>
        <w:sz w:val="16"/>
        <w:szCs w:val="16"/>
      </w:rPr>
    </w:pPr>
    <w:r w:rsidRPr="00694781">
      <w:rPr>
        <w:color w:val="7F7F7F" w:themeColor="text1" w:themeTint="80"/>
        <w:sz w:val="16"/>
        <w:szCs w:val="16"/>
      </w:rPr>
      <w:t xml:space="preserve">Ten dokument został przygotowany przez Alior Bank SA z siedzibą w Warszawie, przy ul. </w:t>
    </w:r>
    <w:r>
      <w:rPr>
        <w:color w:val="7F7F7F" w:themeColor="text1" w:themeTint="80"/>
        <w:sz w:val="16"/>
        <w:szCs w:val="16"/>
      </w:rPr>
      <w:t>Chmielnej 69</w:t>
    </w:r>
    <w:r w:rsidRPr="00694781">
      <w:rPr>
        <w:color w:val="7F7F7F" w:themeColor="text1" w:themeTint="80"/>
        <w:sz w:val="16"/>
        <w:szCs w:val="16"/>
      </w:rPr>
      <w:t xml:space="preserve">, </w:t>
    </w:r>
    <w:r>
      <w:rPr>
        <w:color w:val="7F7F7F" w:themeColor="text1" w:themeTint="80"/>
        <w:sz w:val="16"/>
        <w:szCs w:val="16"/>
      </w:rPr>
      <w:t>00-801</w:t>
    </w:r>
    <w:r w:rsidRPr="00694781">
      <w:rPr>
        <w:color w:val="7F7F7F" w:themeColor="text1" w:themeTint="80"/>
        <w:sz w:val="16"/>
        <w:szCs w:val="16"/>
      </w:rPr>
      <w:t xml:space="preserve"> Warszawa.</w:t>
    </w:r>
    <w:r w:rsidRPr="00694781">
      <w:rPr>
        <w:color w:val="7F7F7F" w:themeColor="text1" w:themeTint="80"/>
        <w:sz w:val="16"/>
        <w:szCs w:val="16"/>
      </w:rPr>
      <w:br/>
      <w:t>NIP: 1070010731, REGON: 141387142, KRS: 0000305178, kapitał zakładowy: 1 305 539 910 zł (wpłacony w całości)</w:t>
    </w:r>
    <w:r>
      <w:rPr>
        <w:color w:val="7F7F7F" w:themeColor="text1" w:themeTint="80"/>
        <w:sz w:val="16"/>
        <w:szCs w:val="16"/>
      </w:rPr>
      <w:t>.</w:t>
    </w:r>
  </w:p>
  <w:p w14:paraId="42D75DD5" w14:textId="77777777" w:rsidR="003E01D9" w:rsidRPr="00694781" w:rsidRDefault="003E01D9" w:rsidP="003E01D9">
    <w:pPr>
      <w:rPr>
        <w:color w:val="7F7F7F" w:themeColor="text1" w:themeTint="80"/>
        <w:sz w:val="16"/>
        <w:szCs w:val="16"/>
      </w:rPr>
    </w:pPr>
  </w:p>
  <w:p w14:paraId="5B3789F2" w14:textId="77777777" w:rsidR="003E01D9" w:rsidRPr="00694781" w:rsidRDefault="003E01D9" w:rsidP="003E01D9">
    <w:pPr>
      <w:pStyle w:val="Stopka"/>
      <w:rPr>
        <w:color w:val="7F7F7F" w:themeColor="text1" w:themeTint="80"/>
      </w:rPr>
    </w:pPr>
    <w:r w:rsidRPr="00694781">
      <w:rPr>
        <w:color w:val="7F7F7F" w:themeColor="text1" w:themeTint="80"/>
        <w:sz w:val="16"/>
        <w:szCs w:val="16"/>
      </w:rPr>
      <w:t>Więcej informacji na stronie www.aliorbank.pl</w:t>
    </w:r>
    <w:r>
      <w:rPr>
        <w:color w:val="7F7F7F" w:themeColor="text1" w:themeTint="80"/>
        <w:sz w:val="16"/>
        <w:szCs w:val="16"/>
      </w:rPr>
      <w:t>.</w:t>
    </w:r>
  </w:p>
  <w:p w14:paraId="5C143862" w14:textId="77777777" w:rsidR="003E01D9" w:rsidRDefault="003E01D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48C3B" w14:textId="77777777" w:rsidR="003D26D2" w:rsidRDefault="003D26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2EFF5" w14:textId="77777777" w:rsidR="00FC2466" w:rsidRDefault="00FC2466" w:rsidP="003E01D9">
      <w:pPr>
        <w:spacing w:after="0" w:line="240" w:lineRule="auto"/>
      </w:pPr>
      <w:r>
        <w:separator/>
      </w:r>
    </w:p>
  </w:footnote>
  <w:footnote w:type="continuationSeparator" w:id="0">
    <w:p w14:paraId="2599BE6C" w14:textId="77777777" w:rsidR="00FC2466" w:rsidRDefault="00FC2466" w:rsidP="003E01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75FB6" w14:textId="77777777" w:rsidR="003D26D2" w:rsidRDefault="003D26D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23891" w14:textId="5C48153D" w:rsidR="003E01D9" w:rsidRDefault="003E01D9">
    <w:pPr>
      <w:pStyle w:val="Nagwek"/>
    </w:pPr>
    <w:r w:rsidRPr="00C15179">
      <w:rPr>
        <w:rFonts w:cs="Arial"/>
        <w:noProof/>
      </w:rPr>
      <w:drawing>
        <wp:inline distT="0" distB="0" distL="0" distR="0" wp14:anchorId="5463AA3D" wp14:editId="0E86C147">
          <wp:extent cx="813460" cy="402493"/>
          <wp:effectExtent l="0" t="0" r="5715" b="0"/>
          <wp:docPr id="1853660911" name="Obraz 4" descr="Logo Alior Bank">
            <a:extLst xmlns:a="http://schemas.openxmlformats.org/drawingml/2006/main">
              <a:ext uri="{FF2B5EF4-FFF2-40B4-BE49-F238E27FC236}">
                <a16:creationId xmlns:a16="http://schemas.microsoft.com/office/drawing/2014/main" id="{75CFBAC0-9485-471F-B9E5-2623EBB2FE0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Logo Alior Ban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3132" cy="4072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56D4C" w14:textId="77777777" w:rsidR="003D26D2" w:rsidRDefault="003D26D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448B8"/>
    <w:multiLevelType w:val="multilevel"/>
    <w:tmpl w:val="1338B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1840CD"/>
    <w:multiLevelType w:val="hybridMultilevel"/>
    <w:tmpl w:val="75FE25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9734052">
    <w:abstractNumId w:val="0"/>
  </w:num>
  <w:num w:numId="2" w16cid:durableId="8823323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1D9"/>
    <w:rsid w:val="00001E47"/>
    <w:rsid w:val="00002BE7"/>
    <w:rsid w:val="00005BCC"/>
    <w:rsid w:val="00007C27"/>
    <w:rsid w:val="0001303A"/>
    <w:rsid w:val="00020545"/>
    <w:rsid w:val="000260AC"/>
    <w:rsid w:val="00052707"/>
    <w:rsid w:val="00057BEB"/>
    <w:rsid w:val="00062EF9"/>
    <w:rsid w:val="00064EE6"/>
    <w:rsid w:val="00065152"/>
    <w:rsid w:val="00065569"/>
    <w:rsid w:val="000666FB"/>
    <w:rsid w:val="0007010B"/>
    <w:rsid w:val="00070820"/>
    <w:rsid w:val="000721BE"/>
    <w:rsid w:val="000838F5"/>
    <w:rsid w:val="000936AF"/>
    <w:rsid w:val="000A5543"/>
    <w:rsid w:val="000A7E43"/>
    <w:rsid w:val="000C128B"/>
    <w:rsid w:val="000D0F50"/>
    <w:rsid w:val="000D198F"/>
    <w:rsid w:val="000F08DE"/>
    <w:rsid w:val="000F394F"/>
    <w:rsid w:val="000F4CCC"/>
    <w:rsid w:val="00110833"/>
    <w:rsid w:val="0011318B"/>
    <w:rsid w:val="00122F10"/>
    <w:rsid w:val="0012417C"/>
    <w:rsid w:val="001351F3"/>
    <w:rsid w:val="00141C5B"/>
    <w:rsid w:val="00152D33"/>
    <w:rsid w:val="00156BD3"/>
    <w:rsid w:val="00162BBB"/>
    <w:rsid w:val="00171A8C"/>
    <w:rsid w:val="00173691"/>
    <w:rsid w:val="00176E0F"/>
    <w:rsid w:val="00181D31"/>
    <w:rsid w:val="001825E2"/>
    <w:rsid w:val="0018349B"/>
    <w:rsid w:val="00183504"/>
    <w:rsid w:val="00185173"/>
    <w:rsid w:val="001946DB"/>
    <w:rsid w:val="001A0EF6"/>
    <w:rsid w:val="001B4C4C"/>
    <w:rsid w:val="001C5044"/>
    <w:rsid w:val="001C58DE"/>
    <w:rsid w:val="001C6091"/>
    <w:rsid w:val="001D6938"/>
    <w:rsid w:val="001D742F"/>
    <w:rsid w:val="001E26A5"/>
    <w:rsid w:val="001E691C"/>
    <w:rsid w:val="001E7862"/>
    <w:rsid w:val="001F02C6"/>
    <w:rsid w:val="001F4558"/>
    <w:rsid w:val="001F5097"/>
    <w:rsid w:val="001F773B"/>
    <w:rsid w:val="00204E9E"/>
    <w:rsid w:val="00206BF9"/>
    <w:rsid w:val="00217BAF"/>
    <w:rsid w:val="00220F7C"/>
    <w:rsid w:val="00224525"/>
    <w:rsid w:val="00230A70"/>
    <w:rsid w:val="00231FEA"/>
    <w:rsid w:val="002421FB"/>
    <w:rsid w:val="00244E8D"/>
    <w:rsid w:val="002504E6"/>
    <w:rsid w:val="002578F2"/>
    <w:rsid w:val="00266137"/>
    <w:rsid w:val="002701B4"/>
    <w:rsid w:val="00271607"/>
    <w:rsid w:val="002755EF"/>
    <w:rsid w:val="002767AF"/>
    <w:rsid w:val="00281894"/>
    <w:rsid w:val="00287ABE"/>
    <w:rsid w:val="0029382D"/>
    <w:rsid w:val="002A0236"/>
    <w:rsid w:val="002A0EB8"/>
    <w:rsid w:val="002A67CF"/>
    <w:rsid w:val="002B3A7F"/>
    <w:rsid w:val="002B7D70"/>
    <w:rsid w:val="002C3A77"/>
    <w:rsid w:val="002C5737"/>
    <w:rsid w:val="002C5841"/>
    <w:rsid w:val="002D42BE"/>
    <w:rsid w:val="002D587A"/>
    <w:rsid w:val="002D739D"/>
    <w:rsid w:val="002E0196"/>
    <w:rsid w:val="002E3569"/>
    <w:rsid w:val="002F6BF9"/>
    <w:rsid w:val="00300B7C"/>
    <w:rsid w:val="00304F65"/>
    <w:rsid w:val="00305888"/>
    <w:rsid w:val="0031054F"/>
    <w:rsid w:val="00310B78"/>
    <w:rsid w:val="00313344"/>
    <w:rsid w:val="0031435D"/>
    <w:rsid w:val="00315C21"/>
    <w:rsid w:val="0032095F"/>
    <w:rsid w:val="0032125E"/>
    <w:rsid w:val="0032356E"/>
    <w:rsid w:val="00333AFD"/>
    <w:rsid w:val="0034754C"/>
    <w:rsid w:val="00351625"/>
    <w:rsid w:val="00351D4A"/>
    <w:rsid w:val="003544C4"/>
    <w:rsid w:val="00354C04"/>
    <w:rsid w:val="0035590F"/>
    <w:rsid w:val="00357186"/>
    <w:rsid w:val="00357BCB"/>
    <w:rsid w:val="00366860"/>
    <w:rsid w:val="00370966"/>
    <w:rsid w:val="00372A46"/>
    <w:rsid w:val="00372AB0"/>
    <w:rsid w:val="00374A20"/>
    <w:rsid w:val="00383F55"/>
    <w:rsid w:val="003A1E21"/>
    <w:rsid w:val="003B11C7"/>
    <w:rsid w:val="003B4A1C"/>
    <w:rsid w:val="003B58B5"/>
    <w:rsid w:val="003C10D0"/>
    <w:rsid w:val="003C24E4"/>
    <w:rsid w:val="003D26D2"/>
    <w:rsid w:val="003D5CA7"/>
    <w:rsid w:val="003D7045"/>
    <w:rsid w:val="003E01D9"/>
    <w:rsid w:val="003E363B"/>
    <w:rsid w:val="003E662D"/>
    <w:rsid w:val="003F089B"/>
    <w:rsid w:val="003F35FC"/>
    <w:rsid w:val="003F4770"/>
    <w:rsid w:val="00405D10"/>
    <w:rsid w:val="00426C56"/>
    <w:rsid w:val="00435391"/>
    <w:rsid w:val="004464C2"/>
    <w:rsid w:val="00454886"/>
    <w:rsid w:val="00456E24"/>
    <w:rsid w:val="0046075E"/>
    <w:rsid w:val="0046173C"/>
    <w:rsid w:val="00467B0F"/>
    <w:rsid w:val="00475978"/>
    <w:rsid w:val="0048545C"/>
    <w:rsid w:val="00485A5D"/>
    <w:rsid w:val="0049479E"/>
    <w:rsid w:val="00495AFB"/>
    <w:rsid w:val="004A4F32"/>
    <w:rsid w:val="004A70E6"/>
    <w:rsid w:val="004B73D4"/>
    <w:rsid w:val="004C242E"/>
    <w:rsid w:val="004C3BA8"/>
    <w:rsid w:val="004C3F46"/>
    <w:rsid w:val="004C5C02"/>
    <w:rsid w:val="004C657A"/>
    <w:rsid w:val="004D1E68"/>
    <w:rsid w:val="004E238B"/>
    <w:rsid w:val="004E4D68"/>
    <w:rsid w:val="004F1A12"/>
    <w:rsid w:val="00501FC4"/>
    <w:rsid w:val="00513024"/>
    <w:rsid w:val="005150AD"/>
    <w:rsid w:val="00532FD9"/>
    <w:rsid w:val="00551854"/>
    <w:rsid w:val="00551ABC"/>
    <w:rsid w:val="00553F76"/>
    <w:rsid w:val="0056342D"/>
    <w:rsid w:val="00565A6D"/>
    <w:rsid w:val="005744B5"/>
    <w:rsid w:val="00575FC3"/>
    <w:rsid w:val="005802BA"/>
    <w:rsid w:val="00581A49"/>
    <w:rsid w:val="005825E9"/>
    <w:rsid w:val="0058263A"/>
    <w:rsid w:val="00583413"/>
    <w:rsid w:val="00584300"/>
    <w:rsid w:val="0058697F"/>
    <w:rsid w:val="005930F4"/>
    <w:rsid w:val="00596209"/>
    <w:rsid w:val="005A5373"/>
    <w:rsid w:val="005A7B43"/>
    <w:rsid w:val="005C0535"/>
    <w:rsid w:val="005C6BBF"/>
    <w:rsid w:val="005C6C99"/>
    <w:rsid w:val="005C6ED9"/>
    <w:rsid w:val="005D1CCF"/>
    <w:rsid w:val="005E5A8F"/>
    <w:rsid w:val="005F05E8"/>
    <w:rsid w:val="00603309"/>
    <w:rsid w:val="00603513"/>
    <w:rsid w:val="00605ACD"/>
    <w:rsid w:val="00612437"/>
    <w:rsid w:val="0062047C"/>
    <w:rsid w:val="00620667"/>
    <w:rsid w:val="00620E5C"/>
    <w:rsid w:val="00642D4B"/>
    <w:rsid w:val="00643DC5"/>
    <w:rsid w:val="00644D67"/>
    <w:rsid w:val="00660587"/>
    <w:rsid w:val="00661592"/>
    <w:rsid w:val="006651BA"/>
    <w:rsid w:val="00672C9C"/>
    <w:rsid w:val="0067631D"/>
    <w:rsid w:val="00681801"/>
    <w:rsid w:val="00681C46"/>
    <w:rsid w:val="00697090"/>
    <w:rsid w:val="006A3919"/>
    <w:rsid w:val="006B5C8F"/>
    <w:rsid w:val="006E25B3"/>
    <w:rsid w:val="006E689E"/>
    <w:rsid w:val="006F2099"/>
    <w:rsid w:val="006F5F8C"/>
    <w:rsid w:val="006F6A99"/>
    <w:rsid w:val="0070394C"/>
    <w:rsid w:val="007073B1"/>
    <w:rsid w:val="0071018C"/>
    <w:rsid w:val="007138F0"/>
    <w:rsid w:val="0072029C"/>
    <w:rsid w:val="00733ECE"/>
    <w:rsid w:val="00754D8F"/>
    <w:rsid w:val="00755219"/>
    <w:rsid w:val="00765D05"/>
    <w:rsid w:val="00770C60"/>
    <w:rsid w:val="0077289B"/>
    <w:rsid w:val="00775992"/>
    <w:rsid w:val="00781932"/>
    <w:rsid w:val="00783362"/>
    <w:rsid w:val="0079036C"/>
    <w:rsid w:val="007B61C0"/>
    <w:rsid w:val="007C10E2"/>
    <w:rsid w:val="007C29EA"/>
    <w:rsid w:val="007C79B2"/>
    <w:rsid w:val="007D2788"/>
    <w:rsid w:val="007D2E7B"/>
    <w:rsid w:val="007E0675"/>
    <w:rsid w:val="007E0D94"/>
    <w:rsid w:val="007E0E6B"/>
    <w:rsid w:val="007E4180"/>
    <w:rsid w:val="007E4CFB"/>
    <w:rsid w:val="007E599C"/>
    <w:rsid w:val="007F50F1"/>
    <w:rsid w:val="007F524F"/>
    <w:rsid w:val="00800DE8"/>
    <w:rsid w:val="00803EBF"/>
    <w:rsid w:val="00804365"/>
    <w:rsid w:val="00814325"/>
    <w:rsid w:val="00826C78"/>
    <w:rsid w:val="00830601"/>
    <w:rsid w:val="00835906"/>
    <w:rsid w:val="00835AC0"/>
    <w:rsid w:val="00840AF5"/>
    <w:rsid w:val="0084246E"/>
    <w:rsid w:val="00843FAD"/>
    <w:rsid w:val="00861987"/>
    <w:rsid w:val="0087133D"/>
    <w:rsid w:val="00874F93"/>
    <w:rsid w:val="0088572F"/>
    <w:rsid w:val="00885D6E"/>
    <w:rsid w:val="0088792C"/>
    <w:rsid w:val="008A1550"/>
    <w:rsid w:val="008B0098"/>
    <w:rsid w:val="008B47BE"/>
    <w:rsid w:val="008C221F"/>
    <w:rsid w:val="008C39AF"/>
    <w:rsid w:val="008D40A6"/>
    <w:rsid w:val="008D50FD"/>
    <w:rsid w:val="008E3700"/>
    <w:rsid w:val="008E68A8"/>
    <w:rsid w:val="008F2123"/>
    <w:rsid w:val="00900E05"/>
    <w:rsid w:val="00903BD8"/>
    <w:rsid w:val="00916916"/>
    <w:rsid w:val="009174E8"/>
    <w:rsid w:val="00924A90"/>
    <w:rsid w:val="009269DD"/>
    <w:rsid w:val="00931C51"/>
    <w:rsid w:val="00934251"/>
    <w:rsid w:val="009343A2"/>
    <w:rsid w:val="009343E3"/>
    <w:rsid w:val="00935574"/>
    <w:rsid w:val="00941059"/>
    <w:rsid w:val="00941337"/>
    <w:rsid w:val="009420BA"/>
    <w:rsid w:val="0094409D"/>
    <w:rsid w:val="009569D2"/>
    <w:rsid w:val="00961222"/>
    <w:rsid w:val="00962D00"/>
    <w:rsid w:val="00964D46"/>
    <w:rsid w:val="00971232"/>
    <w:rsid w:val="00971D0A"/>
    <w:rsid w:val="00991DC9"/>
    <w:rsid w:val="00991F11"/>
    <w:rsid w:val="009A03AA"/>
    <w:rsid w:val="009A0BBF"/>
    <w:rsid w:val="009C1272"/>
    <w:rsid w:val="009C527F"/>
    <w:rsid w:val="009D10E4"/>
    <w:rsid w:val="009E475D"/>
    <w:rsid w:val="009E4950"/>
    <w:rsid w:val="009E5749"/>
    <w:rsid w:val="009F3C19"/>
    <w:rsid w:val="009F640C"/>
    <w:rsid w:val="009F64C1"/>
    <w:rsid w:val="00A10ECF"/>
    <w:rsid w:val="00A126F4"/>
    <w:rsid w:val="00A1316E"/>
    <w:rsid w:val="00A175FC"/>
    <w:rsid w:val="00A2757F"/>
    <w:rsid w:val="00A36B13"/>
    <w:rsid w:val="00A50D98"/>
    <w:rsid w:val="00A54AB7"/>
    <w:rsid w:val="00A63434"/>
    <w:rsid w:val="00A66891"/>
    <w:rsid w:val="00A66C10"/>
    <w:rsid w:val="00A67ED1"/>
    <w:rsid w:val="00A7566A"/>
    <w:rsid w:val="00A8399C"/>
    <w:rsid w:val="00A83C5A"/>
    <w:rsid w:val="00A86B5F"/>
    <w:rsid w:val="00A93EC6"/>
    <w:rsid w:val="00A95F8C"/>
    <w:rsid w:val="00AA1946"/>
    <w:rsid w:val="00AA1C81"/>
    <w:rsid w:val="00AA3D73"/>
    <w:rsid w:val="00AA5017"/>
    <w:rsid w:val="00AB15B4"/>
    <w:rsid w:val="00AB7075"/>
    <w:rsid w:val="00AD43C7"/>
    <w:rsid w:val="00AD70F7"/>
    <w:rsid w:val="00AE159D"/>
    <w:rsid w:val="00AF2B83"/>
    <w:rsid w:val="00AF4459"/>
    <w:rsid w:val="00AF556C"/>
    <w:rsid w:val="00B034BA"/>
    <w:rsid w:val="00B060D1"/>
    <w:rsid w:val="00B2013C"/>
    <w:rsid w:val="00B203AB"/>
    <w:rsid w:val="00B258AC"/>
    <w:rsid w:val="00B30B10"/>
    <w:rsid w:val="00B31AAE"/>
    <w:rsid w:val="00B33D56"/>
    <w:rsid w:val="00B36A5A"/>
    <w:rsid w:val="00B40B2E"/>
    <w:rsid w:val="00B47A82"/>
    <w:rsid w:val="00B52DF5"/>
    <w:rsid w:val="00B6036C"/>
    <w:rsid w:val="00B62ECA"/>
    <w:rsid w:val="00B717BC"/>
    <w:rsid w:val="00B745FA"/>
    <w:rsid w:val="00B9046D"/>
    <w:rsid w:val="00B906C4"/>
    <w:rsid w:val="00BA36E4"/>
    <w:rsid w:val="00BA7AD7"/>
    <w:rsid w:val="00BC0403"/>
    <w:rsid w:val="00BC0663"/>
    <w:rsid w:val="00BC2424"/>
    <w:rsid w:val="00BC5B92"/>
    <w:rsid w:val="00BC61EB"/>
    <w:rsid w:val="00BC6BBC"/>
    <w:rsid w:val="00BD380D"/>
    <w:rsid w:val="00BD41B0"/>
    <w:rsid w:val="00BD70EE"/>
    <w:rsid w:val="00BE40FA"/>
    <w:rsid w:val="00BE4D03"/>
    <w:rsid w:val="00BE54AC"/>
    <w:rsid w:val="00C00181"/>
    <w:rsid w:val="00C12D32"/>
    <w:rsid w:val="00C16AAB"/>
    <w:rsid w:val="00C33C70"/>
    <w:rsid w:val="00C43A08"/>
    <w:rsid w:val="00C51B7C"/>
    <w:rsid w:val="00C54ABE"/>
    <w:rsid w:val="00C567A4"/>
    <w:rsid w:val="00C574E3"/>
    <w:rsid w:val="00C611A9"/>
    <w:rsid w:val="00C6354F"/>
    <w:rsid w:val="00C74D1F"/>
    <w:rsid w:val="00C75A65"/>
    <w:rsid w:val="00C76D4B"/>
    <w:rsid w:val="00C81470"/>
    <w:rsid w:val="00C8221B"/>
    <w:rsid w:val="00C842B3"/>
    <w:rsid w:val="00C84E90"/>
    <w:rsid w:val="00C87184"/>
    <w:rsid w:val="00C9099D"/>
    <w:rsid w:val="00CA3531"/>
    <w:rsid w:val="00CA52AC"/>
    <w:rsid w:val="00CA7438"/>
    <w:rsid w:val="00CA7825"/>
    <w:rsid w:val="00CC0557"/>
    <w:rsid w:val="00CC401A"/>
    <w:rsid w:val="00CD3148"/>
    <w:rsid w:val="00CD5B8A"/>
    <w:rsid w:val="00CE7470"/>
    <w:rsid w:val="00CF5C36"/>
    <w:rsid w:val="00CF6110"/>
    <w:rsid w:val="00CF66C8"/>
    <w:rsid w:val="00CF72C7"/>
    <w:rsid w:val="00CF7977"/>
    <w:rsid w:val="00D11AA3"/>
    <w:rsid w:val="00D20A94"/>
    <w:rsid w:val="00D213C0"/>
    <w:rsid w:val="00D228B0"/>
    <w:rsid w:val="00D2614D"/>
    <w:rsid w:val="00D27AEA"/>
    <w:rsid w:val="00D32DC2"/>
    <w:rsid w:val="00D337B6"/>
    <w:rsid w:val="00D33D23"/>
    <w:rsid w:val="00D34302"/>
    <w:rsid w:val="00D34B6E"/>
    <w:rsid w:val="00D44AB6"/>
    <w:rsid w:val="00D45229"/>
    <w:rsid w:val="00D452D0"/>
    <w:rsid w:val="00D52DD3"/>
    <w:rsid w:val="00D54754"/>
    <w:rsid w:val="00D5706D"/>
    <w:rsid w:val="00D57936"/>
    <w:rsid w:val="00D61AC1"/>
    <w:rsid w:val="00D6335D"/>
    <w:rsid w:val="00D662D3"/>
    <w:rsid w:val="00D84655"/>
    <w:rsid w:val="00D92975"/>
    <w:rsid w:val="00D94529"/>
    <w:rsid w:val="00DA2208"/>
    <w:rsid w:val="00DA4703"/>
    <w:rsid w:val="00DB3769"/>
    <w:rsid w:val="00DC0048"/>
    <w:rsid w:val="00DC1AD0"/>
    <w:rsid w:val="00DD40E4"/>
    <w:rsid w:val="00DD686D"/>
    <w:rsid w:val="00DE2DD0"/>
    <w:rsid w:val="00DE5AEF"/>
    <w:rsid w:val="00DF5D89"/>
    <w:rsid w:val="00E1100C"/>
    <w:rsid w:val="00E1381A"/>
    <w:rsid w:val="00E13AC1"/>
    <w:rsid w:val="00E14FC6"/>
    <w:rsid w:val="00E17126"/>
    <w:rsid w:val="00E20B5B"/>
    <w:rsid w:val="00E22CBD"/>
    <w:rsid w:val="00E251D1"/>
    <w:rsid w:val="00E318A3"/>
    <w:rsid w:val="00E36D84"/>
    <w:rsid w:val="00E36E0B"/>
    <w:rsid w:val="00E40983"/>
    <w:rsid w:val="00E461E5"/>
    <w:rsid w:val="00E64AA7"/>
    <w:rsid w:val="00E71CEB"/>
    <w:rsid w:val="00E727FD"/>
    <w:rsid w:val="00E81B80"/>
    <w:rsid w:val="00E826AC"/>
    <w:rsid w:val="00E826C7"/>
    <w:rsid w:val="00E91074"/>
    <w:rsid w:val="00E96C09"/>
    <w:rsid w:val="00E97B5A"/>
    <w:rsid w:val="00EA1A45"/>
    <w:rsid w:val="00EA4161"/>
    <w:rsid w:val="00EB268F"/>
    <w:rsid w:val="00EB77A0"/>
    <w:rsid w:val="00EC05A1"/>
    <w:rsid w:val="00EE0A41"/>
    <w:rsid w:val="00EE424A"/>
    <w:rsid w:val="00F049A8"/>
    <w:rsid w:val="00F1097C"/>
    <w:rsid w:val="00F23C77"/>
    <w:rsid w:val="00F303DB"/>
    <w:rsid w:val="00F31CB5"/>
    <w:rsid w:val="00F57C74"/>
    <w:rsid w:val="00F62F86"/>
    <w:rsid w:val="00F655BC"/>
    <w:rsid w:val="00F679FF"/>
    <w:rsid w:val="00F705BB"/>
    <w:rsid w:val="00F70FD3"/>
    <w:rsid w:val="00F72531"/>
    <w:rsid w:val="00F72C1E"/>
    <w:rsid w:val="00F8314E"/>
    <w:rsid w:val="00F90B00"/>
    <w:rsid w:val="00F91D18"/>
    <w:rsid w:val="00F94616"/>
    <w:rsid w:val="00F95298"/>
    <w:rsid w:val="00F97BD8"/>
    <w:rsid w:val="00FA1976"/>
    <w:rsid w:val="00FA3D33"/>
    <w:rsid w:val="00FA45A3"/>
    <w:rsid w:val="00FB568C"/>
    <w:rsid w:val="00FB5E1A"/>
    <w:rsid w:val="00FB67AB"/>
    <w:rsid w:val="00FB7915"/>
    <w:rsid w:val="00FC07E9"/>
    <w:rsid w:val="00FC2466"/>
    <w:rsid w:val="00FD69B1"/>
    <w:rsid w:val="00FF0560"/>
    <w:rsid w:val="00FF37D8"/>
    <w:rsid w:val="00FF56A4"/>
    <w:rsid w:val="022A47FF"/>
    <w:rsid w:val="046168C6"/>
    <w:rsid w:val="06FE4B88"/>
    <w:rsid w:val="07F04CF6"/>
    <w:rsid w:val="0C437359"/>
    <w:rsid w:val="0D7D8E9E"/>
    <w:rsid w:val="1125413F"/>
    <w:rsid w:val="14A39108"/>
    <w:rsid w:val="162C5E05"/>
    <w:rsid w:val="16A7AC4D"/>
    <w:rsid w:val="1AF684C0"/>
    <w:rsid w:val="1FF437E8"/>
    <w:rsid w:val="2094C928"/>
    <w:rsid w:val="2217288A"/>
    <w:rsid w:val="24027E92"/>
    <w:rsid w:val="243B7C5D"/>
    <w:rsid w:val="297257AF"/>
    <w:rsid w:val="2C50F3EA"/>
    <w:rsid w:val="2DC5495A"/>
    <w:rsid w:val="36B74EE8"/>
    <w:rsid w:val="38B59D68"/>
    <w:rsid w:val="396B8C93"/>
    <w:rsid w:val="3AF54A71"/>
    <w:rsid w:val="3C85A7D6"/>
    <w:rsid w:val="4125A646"/>
    <w:rsid w:val="465C0FF5"/>
    <w:rsid w:val="49D8C78B"/>
    <w:rsid w:val="4A6F77FD"/>
    <w:rsid w:val="4C5B9EF5"/>
    <w:rsid w:val="4F161342"/>
    <w:rsid w:val="4FF84898"/>
    <w:rsid w:val="54E1C2F4"/>
    <w:rsid w:val="551F92F8"/>
    <w:rsid w:val="58F661BD"/>
    <w:rsid w:val="59BDCEBB"/>
    <w:rsid w:val="59C37588"/>
    <w:rsid w:val="5C07654A"/>
    <w:rsid w:val="5F4749F8"/>
    <w:rsid w:val="60A4CBD3"/>
    <w:rsid w:val="61C6701D"/>
    <w:rsid w:val="621D69FB"/>
    <w:rsid w:val="6C108215"/>
    <w:rsid w:val="71D1420A"/>
    <w:rsid w:val="733289AE"/>
    <w:rsid w:val="77437DD2"/>
    <w:rsid w:val="78150F72"/>
    <w:rsid w:val="79098AF8"/>
    <w:rsid w:val="79996556"/>
    <w:rsid w:val="7CEE1744"/>
    <w:rsid w:val="7D714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88277"/>
  <w15:chartTrackingRefBased/>
  <w15:docId w15:val="{A31D8BDA-B934-44A8-9699-C1BE501FF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E01D9"/>
  </w:style>
  <w:style w:type="paragraph" w:styleId="Nagwek1">
    <w:name w:val="heading 1"/>
    <w:basedOn w:val="Normalny"/>
    <w:next w:val="Normalny"/>
    <w:link w:val="Nagwek1Znak"/>
    <w:uiPriority w:val="9"/>
    <w:qFormat/>
    <w:rsid w:val="003E01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E01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E01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E01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E01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E01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E01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E01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E01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E01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E01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E01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E01D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E01D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E01D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E01D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E01D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E01D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E01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E01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E01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E01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E01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E01D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E01D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E01D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E01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E01D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E01D9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3E01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E01D9"/>
  </w:style>
  <w:style w:type="paragraph" w:styleId="Stopka">
    <w:name w:val="footer"/>
    <w:basedOn w:val="Normalny"/>
    <w:link w:val="StopkaZnak"/>
    <w:uiPriority w:val="99"/>
    <w:unhideWhenUsed/>
    <w:rsid w:val="003E01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E01D9"/>
  </w:style>
  <w:style w:type="paragraph" w:styleId="Poprawka">
    <w:name w:val="Revision"/>
    <w:hidden/>
    <w:uiPriority w:val="99"/>
    <w:semiHidden/>
    <w:rsid w:val="00162BBB"/>
    <w:pPr>
      <w:spacing w:after="0" w:line="240" w:lineRule="auto"/>
    </w:pPr>
  </w:style>
  <w:style w:type="character" w:customStyle="1" w:styleId="CommentReference">
    <w:name w:val="Comment Reference"/>
    <w:basedOn w:val="Domylnaczcionkaakapitu"/>
    <w:uiPriority w:val="99"/>
    <w:semiHidden/>
    <w:unhideWhenUsed/>
    <w:rsid w:val="00D228B0"/>
    <w:rPr>
      <w:sz w:val="16"/>
      <w:szCs w:val="16"/>
    </w:rPr>
  </w:style>
  <w:style w:type="paragraph" w:customStyle="1" w:styleId="CommentText">
    <w:name w:val="Comment Text"/>
    <w:basedOn w:val="Normalny"/>
    <w:link w:val="CommentTextChar"/>
    <w:uiPriority w:val="99"/>
    <w:unhideWhenUsed/>
    <w:rsid w:val="00D228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omylnaczcionkaakapitu"/>
    <w:link w:val="CommentText"/>
    <w:uiPriority w:val="99"/>
    <w:rsid w:val="00D228B0"/>
    <w:rPr>
      <w:sz w:val="20"/>
      <w:szCs w:val="20"/>
    </w:rPr>
  </w:style>
  <w:style w:type="paragraph" w:customStyle="1" w:styleId="CommentSubject">
    <w:name w:val="Comment Subject"/>
    <w:basedOn w:val="CommentText"/>
    <w:next w:val="CommentText"/>
    <w:link w:val="CommentSubjectChar"/>
    <w:uiPriority w:val="99"/>
    <w:semiHidden/>
    <w:unhideWhenUsed/>
    <w:rsid w:val="00D228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28B0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32356E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2356E"/>
    <w:rPr>
      <w:color w:val="605E5C"/>
      <w:shd w:val="clear" w:color="auto" w:fill="E1DFDD"/>
    </w:rPr>
  </w:style>
  <w:style w:type="paragraph" w:styleId="Tekstkomentarza">
    <w:name w:val="annotation text"/>
    <w:basedOn w:val="Normalny"/>
    <w:link w:val="TekstkomentarzaZnak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1334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13344"/>
    <w:rPr>
      <w:b/>
      <w:bCs/>
      <w:sz w:val="20"/>
      <w:szCs w:val="20"/>
    </w:rPr>
  </w:style>
  <w:style w:type="paragraph" w:customStyle="1" w:styleId="Default">
    <w:name w:val="Default"/>
    <w:rsid w:val="003D26D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  <w:style w:type="paragraph" w:customStyle="1" w:styleId="Normalny1">
    <w:name w:val="Normalny1"/>
    <w:basedOn w:val="Normalny"/>
    <w:rsid w:val="00020545"/>
    <w:pPr>
      <w:spacing w:line="276" w:lineRule="auto"/>
    </w:pPr>
    <w:rPr>
      <w:rFonts w:ascii="Aptos" w:hAnsi="Aptos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http://www.fitchratings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E43FFC0B190094691DE9BD1B1881180" ma:contentTypeVersion="16" ma:contentTypeDescription="Utwórz nowy dokument." ma:contentTypeScope="" ma:versionID="0bc0c72da95a7598ea0ffdc833b7ac07">
  <xsd:schema xmlns:xsd="http://www.w3.org/2001/XMLSchema" xmlns:xs="http://www.w3.org/2001/XMLSchema" xmlns:p="http://schemas.microsoft.com/office/2006/metadata/properties" xmlns:ns2="c7970ff8-e88a-49c6-95e0-1be6b9a65d2b" xmlns:ns3="426b2fbd-45ea-492b-b62b-253801fcd3cb" xmlns:ns4="3d591e7d-93a8-469a-9295-a856fa554216" targetNamespace="http://schemas.microsoft.com/office/2006/metadata/properties" ma:root="true" ma:fieldsID="b78aece5ac4a1422697a178243316a28" ns2:_="" ns3:_="" ns4:_="">
    <xsd:import namespace="c7970ff8-e88a-49c6-95e0-1be6b9a65d2b"/>
    <xsd:import namespace="426b2fbd-45ea-492b-b62b-253801fcd3cb"/>
    <xsd:import namespace="3d591e7d-93a8-469a-9295-a856fa55421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4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970ff8-e88a-49c6-95e0-1be6b9a65d2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6b2fbd-45ea-492b-b62b-253801fcd3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97d6469b-4328-4fec-867e-f203c60f30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591e7d-93a8-469a-9295-a856fa554216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e9f8903d-2bd1-48e7-afaf-a9fc0539fa75}" ma:internalName="TaxCatchAll" ma:showField="CatchAllData" ma:web="3d591e7d-93a8-469a-9295-a856fa5542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26b2fbd-45ea-492b-b62b-253801fcd3cb">
      <Terms xmlns="http://schemas.microsoft.com/office/infopath/2007/PartnerControls"/>
    </lcf76f155ced4ddcb4097134ff3c332f>
    <TaxCatchAll xmlns="3d591e7d-93a8-469a-9295-a856fa554216" xsi:nil="true"/>
  </documentManagement>
</p:properties>
</file>

<file path=customXml/itemProps1.xml><?xml version="1.0" encoding="utf-8"?>
<ds:datastoreItem xmlns:ds="http://schemas.openxmlformats.org/officeDocument/2006/customXml" ds:itemID="{1D38646A-A3B5-4D34-92DA-9FF3BE5BE1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970ff8-e88a-49c6-95e0-1be6b9a65d2b"/>
    <ds:schemaRef ds:uri="426b2fbd-45ea-492b-b62b-253801fcd3cb"/>
    <ds:schemaRef ds:uri="3d591e7d-93a8-469a-9295-a856fa5542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160FAC6-DC53-4F65-A262-C22F545A72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C51B92-377B-4547-8FBA-C56BCAE18BFE}">
  <ds:schemaRefs>
    <ds:schemaRef ds:uri="http://schemas.microsoft.com/office/2006/metadata/properties"/>
    <ds:schemaRef ds:uri="http://schemas.microsoft.com/office/infopath/2007/PartnerControls"/>
    <ds:schemaRef ds:uri="426b2fbd-45ea-492b-b62b-253801fcd3cb"/>
    <ds:schemaRef ds:uri="3d591e7d-93a8-469a-9295-a856fa554216"/>
  </ds:schemaRefs>
</ds:datastoreItem>
</file>

<file path=docMetadata/LabelInfo.xml><?xml version="1.0" encoding="utf-8"?>
<clbl:labelList xmlns:clbl="http://schemas.microsoft.com/office/2020/mipLabelMetadata">
  <clbl:label id="{5feaa520-8769-46b1-ba3f-0459c8682104}" enabled="1" method="Standard" siteId="{5b7e7e76-9aca-4bca-b480-c8468c5ba86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326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Radosław Warianek</dc:creator>
  <cp:keywords/>
  <dc:description/>
  <cp:lastModifiedBy>Aleksandra Kurczewska CCG</cp:lastModifiedBy>
  <cp:revision>4</cp:revision>
  <dcterms:created xsi:type="dcterms:W3CDTF">2026-09-30T15:29:00Z</dcterms:created>
  <dcterms:modified xsi:type="dcterms:W3CDTF">2026-10-01T06:35:00Z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0x0101006E43FFC0B190094691DE9BD1B1881180</vt:lpwstr>
  </property>
  <property fmtid="{D5CDD505-2E9C-101B-9397-08002B2CF9AE}" pid="3" name="MediaServiceImageTags">
    <vt:lpwstr/>
  </property>
  <property fmtid="{D5CDD505-2E9C-101B-9397-08002B2CF9AE}" pid="4" name="docLang">
    <vt:lpwstr>pl</vt:lpwstr>
  </property>
</Properties>
</file>