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B4CD" w14:textId="77777777" w:rsidR="00AF6E2C" w:rsidRDefault="00AF6E2C">
      <w:pPr>
        <w:rPr>
          <w:rFonts w:ascii="Aptos" w:eastAsia="Aptos" w:hAnsi="Aptos" w:cs="Aptos"/>
        </w:rPr>
      </w:pPr>
    </w:p>
    <w:p w14:paraId="1171FC4F" w14:textId="77777777" w:rsidR="00AF6E2C" w:rsidRDefault="00000000">
      <w:pPr>
        <w:rPr>
          <w:rFonts w:ascii="Aptos" w:eastAsia="Aptos" w:hAnsi="Aptos" w:cs="Aptos"/>
        </w:rPr>
      </w:pPr>
      <w:r>
        <w:rPr>
          <w:rFonts w:ascii="Aptos" w:eastAsia="Aptos" w:hAnsi="Aptos" w:cs="Aptos"/>
        </w:rPr>
        <w:t>INFORMACJA PRASOWA</w:t>
      </w:r>
    </w:p>
    <w:p w14:paraId="5CE92263" w14:textId="4CF34536" w:rsidR="00AF6E2C" w:rsidRDefault="00000000">
      <w:pPr>
        <w:jc w:val="right"/>
        <w:rPr>
          <w:rFonts w:ascii="Aptos" w:eastAsia="Aptos" w:hAnsi="Aptos" w:cs="Aptos"/>
        </w:rPr>
      </w:pPr>
      <w:r>
        <w:rPr>
          <w:rFonts w:ascii="Aptos" w:eastAsia="Aptos" w:hAnsi="Aptos" w:cs="Aptos"/>
        </w:rPr>
        <w:t xml:space="preserve">Warszawa, </w:t>
      </w:r>
      <w:r w:rsidRPr="00D66E16">
        <w:rPr>
          <w:rFonts w:ascii="Aptos" w:eastAsia="Aptos" w:hAnsi="Aptos" w:cs="Aptos"/>
        </w:rPr>
        <w:t>2</w:t>
      </w:r>
      <w:r w:rsidR="00A14833">
        <w:rPr>
          <w:rFonts w:ascii="Aptos" w:eastAsia="Aptos" w:hAnsi="Aptos" w:cs="Aptos"/>
        </w:rPr>
        <w:t>5</w:t>
      </w:r>
      <w:r w:rsidRPr="00D66E16">
        <w:rPr>
          <w:rFonts w:ascii="Aptos" w:eastAsia="Aptos" w:hAnsi="Aptos" w:cs="Aptos"/>
        </w:rPr>
        <w:t xml:space="preserve"> września 2026 r.</w:t>
      </w:r>
    </w:p>
    <w:p w14:paraId="76D918F0" w14:textId="77777777" w:rsidR="00AF6E2C" w:rsidRDefault="00AF6E2C">
      <w:pPr>
        <w:jc w:val="right"/>
        <w:rPr>
          <w:rFonts w:ascii="Aptos" w:eastAsia="Aptos" w:hAnsi="Aptos" w:cs="Aptos"/>
          <w:sz w:val="10"/>
          <w:szCs w:val="10"/>
        </w:rPr>
      </w:pPr>
    </w:p>
    <w:p w14:paraId="7C8A74FB" w14:textId="77777777" w:rsidR="003647A1" w:rsidRPr="003647A1" w:rsidRDefault="003647A1" w:rsidP="003647A1">
      <w:pPr>
        <w:spacing w:line="276" w:lineRule="auto"/>
        <w:jc w:val="center"/>
        <w:rPr>
          <w:rFonts w:ascii="Aptos" w:eastAsia="Aptos" w:hAnsi="Aptos" w:cs="Aptos"/>
          <w:b/>
          <w:bCs/>
          <w:sz w:val="28"/>
          <w:szCs w:val="28"/>
          <w:lang w:val="pl-PL"/>
        </w:rPr>
      </w:pPr>
      <w:r w:rsidRPr="003647A1">
        <w:rPr>
          <w:rFonts w:ascii="Aptos" w:eastAsia="Aptos" w:hAnsi="Aptos" w:cs="Aptos"/>
          <w:b/>
          <w:bCs/>
          <w:sz w:val="28"/>
          <w:szCs w:val="28"/>
          <w:lang w:val="pl-PL"/>
        </w:rPr>
        <w:t xml:space="preserve">BLIK dołącza do dynamicznych metod płatności </w:t>
      </w:r>
      <w:proofErr w:type="spellStart"/>
      <w:r w:rsidRPr="003647A1">
        <w:rPr>
          <w:rFonts w:ascii="Aptos" w:eastAsia="Aptos" w:hAnsi="Aptos" w:cs="Aptos"/>
          <w:b/>
          <w:bCs/>
          <w:sz w:val="28"/>
          <w:szCs w:val="28"/>
          <w:lang w:val="pl-PL"/>
        </w:rPr>
        <w:t>Stripe</w:t>
      </w:r>
      <w:proofErr w:type="spellEnd"/>
      <w:r w:rsidRPr="003647A1">
        <w:rPr>
          <w:rFonts w:ascii="Aptos" w:eastAsia="Aptos" w:hAnsi="Aptos" w:cs="Aptos"/>
          <w:b/>
          <w:bCs/>
          <w:sz w:val="28"/>
          <w:szCs w:val="28"/>
          <w:lang w:val="pl-PL"/>
        </w:rPr>
        <w:t>. Polacy zyskają możliwość płacenia BLIKIEM u wielu zagranicznych sprzedawców</w:t>
      </w:r>
    </w:p>
    <w:p w14:paraId="72BD818B" w14:textId="77777777" w:rsidR="002633EF" w:rsidRDefault="002633EF" w:rsidP="002633EF">
      <w:pPr>
        <w:spacing w:line="276" w:lineRule="auto"/>
        <w:jc w:val="both"/>
        <w:rPr>
          <w:rFonts w:ascii="Aptos" w:eastAsia="Aptos" w:hAnsi="Aptos" w:cs="Aptos"/>
          <w:b/>
          <w:bCs/>
          <w:lang w:val="pl-PL"/>
        </w:rPr>
      </w:pPr>
      <w:r w:rsidRPr="002633EF">
        <w:rPr>
          <w:rFonts w:ascii="Aptos" w:eastAsia="Aptos" w:hAnsi="Aptos" w:cs="Aptos"/>
          <w:b/>
          <w:bCs/>
          <w:lang w:val="pl-PL"/>
        </w:rPr>
        <w:t xml:space="preserve">BLIK rozszerza współpracę ze </w:t>
      </w:r>
      <w:proofErr w:type="spellStart"/>
      <w:r w:rsidRPr="002633EF">
        <w:rPr>
          <w:rFonts w:ascii="Aptos" w:eastAsia="Aptos" w:hAnsi="Aptos" w:cs="Aptos"/>
          <w:b/>
          <w:bCs/>
          <w:lang w:val="pl-PL"/>
        </w:rPr>
        <w:t>Stripe</w:t>
      </w:r>
      <w:proofErr w:type="spellEnd"/>
      <w:r w:rsidRPr="002633EF">
        <w:rPr>
          <w:rFonts w:ascii="Aptos" w:eastAsia="Aptos" w:hAnsi="Aptos" w:cs="Aptos"/>
          <w:b/>
          <w:bCs/>
          <w:lang w:val="pl-PL"/>
        </w:rPr>
        <w:t xml:space="preserve"> i dołącza do programu dynamicznych metod płatności, którego celem jest zwiększanie dostępności lokalnych form płatności w międzynarodowym e-commerce. Dzięki temu sklepy korzystające ze </w:t>
      </w:r>
      <w:proofErr w:type="spellStart"/>
      <w:r w:rsidRPr="002633EF">
        <w:rPr>
          <w:rFonts w:ascii="Aptos" w:eastAsia="Aptos" w:hAnsi="Aptos" w:cs="Aptos"/>
          <w:b/>
          <w:bCs/>
          <w:lang w:val="pl-PL"/>
        </w:rPr>
        <w:t>Stripe</w:t>
      </w:r>
      <w:proofErr w:type="spellEnd"/>
      <w:r w:rsidRPr="002633EF">
        <w:rPr>
          <w:rFonts w:ascii="Aptos" w:eastAsia="Aptos" w:hAnsi="Aptos" w:cs="Aptos"/>
          <w:b/>
          <w:bCs/>
          <w:lang w:val="pl-PL"/>
        </w:rPr>
        <w:t xml:space="preserve"> w ponad 30 krajach będą mogły automatycznie udostępniać BLIKA klientom, bez konieczności osobnej integracji.</w:t>
      </w:r>
    </w:p>
    <w:p w14:paraId="4AD8FCDD" w14:textId="1A9AD6EE" w:rsidR="002633EF" w:rsidRPr="002633EF" w:rsidRDefault="002633EF" w:rsidP="002633EF">
      <w:pPr>
        <w:spacing w:line="276" w:lineRule="auto"/>
        <w:jc w:val="both"/>
        <w:rPr>
          <w:rFonts w:ascii="Aptos" w:eastAsia="Aptos" w:hAnsi="Aptos" w:cs="Aptos"/>
          <w:lang w:val="pl-PL"/>
        </w:rPr>
      </w:pPr>
      <w:r w:rsidRPr="002633EF">
        <w:rPr>
          <w:rFonts w:ascii="Aptos" w:eastAsia="Aptos" w:hAnsi="Aptos" w:cs="Aptos"/>
          <w:lang w:val="pl-PL"/>
        </w:rPr>
        <w:t>Dla polskich konsumentów oznacza to przede wszystkim większą szansę na wybór BLIKA podczas zakupów realizowanych w zagranicznych sklepach internetowych. Z perspektywy sprzedawców możliwość zaoferowania metody płatności preferowanej przez polskich klientów może z kolei wspierać sprzedaż na polskim rynku. Dostępność odpowiedniej metody płatności na etapie finalizacji zakupu pozostaje jednym z kluczowych czynników wpływających na decyzję klienta o dokończeniu transakcji, a obecność BLIKA, który odpowiada za ponad 70</w:t>
      </w:r>
      <w:r w:rsidR="00617ED7">
        <w:rPr>
          <w:rFonts w:ascii="Aptos" w:eastAsia="Aptos" w:hAnsi="Aptos" w:cs="Aptos"/>
          <w:lang w:val="pl-PL"/>
        </w:rPr>
        <w:t xml:space="preserve"> proc.</w:t>
      </w:r>
      <w:r w:rsidRPr="002633EF">
        <w:rPr>
          <w:rFonts w:ascii="Aptos" w:eastAsia="Aptos" w:hAnsi="Aptos" w:cs="Aptos"/>
          <w:lang w:val="pl-PL"/>
        </w:rPr>
        <w:t xml:space="preserve"> transakcji realizowanych w polskim e-commerce, może pomóc zagranicznym sprzedawcom skuteczniej docierać do klientów z Polski i zwiększać konwersję.</w:t>
      </w:r>
    </w:p>
    <w:p w14:paraId="01698AB9" w14:textId="77777777" w:rsidR="002633EF" w:rsidRPr="002633EF" w:rsidRDefault="002633EF" w:rsidP="002633EF">
      <w:pPr>
        <w:spacing w:line="276" w:lineRule="auto"/>
        <w:jc w:val="both"/>
        <w:rPr>
          <w:rFonts w:ascii="Aptos" w:eastAsia="Aptos" w:hAnsi="Aptos" w:cs="Aptos"/>
          <w:lang w:val="pl-PL"/>
        </w:rPr>
      </w:pPr>
      <w:r w:rsidRPr="002633EF">
        <w:rPr>
          <w:rFonts w:ascii="Aptos" w:eastAsia="Aptos" w:hAnsi="Aptos" w:cs="Aptos"/>
          <w:lang w:val="pl-PL"/>
        </w:rPr>
        <w:t xml:space="preserve">– </w:t>
      </w:r>
      <w:r w:rsidRPr="002633EF">
        <w:rPr>
          <w:rFonts w:ascii="Aptos" w:eastAsia="Aptos" w:hAnsi="Aptos" w:cs="Aptos"/>
          <w:i/>
          <w:iCs/>
          <w:lang w:val="pl-PL"/>
        </w:rPr>
        <w:t xml:space="preserve">W polskim e-commerce BLIK stał się naturalnym elementem procesu zakupowego. Chcemy, aby użytkownicy mogli korzystać z niego równie wygodnie także wtedy, gdy kupują produkty i usługi od zagranicznych sprzedawców. Współpraca ze </w:t>
      </w:r>
      <w:proofErr w:type="spellStart"/>
      <w:r w:rsidRPr="002633EF">
        <w:rPr>
          <w:rFonts w:ascii="Aptos" w:eastAsia="Aptos" w:hAnsi="Aptos" w:cs="Aptos"/>
          <w:i/>
          <w:iCs/>
          <w:lang w:val="pl-PL"/>
        </w:rPr>
        <w:t>Stripe</w:t>
      </w:r>
      <w:proofErr w:type="spellEnd"/>
      <w:r w:rsidRPr="002633EF">
        <w:rPr>
          <w:rFonts w:ascii="Aptos" w:eastAsia="Aptos" w:hAnsi="Aptos" w:cs="Aptos"/>
          <w:i/>
          <w:iCs/>
          <w:lang w:val="pl-PL"/>
        </w:rPr>
        <w:t xml:space="preserve"> daje nam możliwość dotarcia z BLIKIEM również do tych sprzedawców, z którymi nie współpracujemy bezpośrednio</w:t>
      </w:r>
      <w:r w:rsidRPr="002633EF">
        <w:rPr>
          <w:rFonts w:ascii="Aptos" w:eastAsia="Aptos" w:hAnsi="Aptos" w:cs="Aptos"/>
          <w:lang w:val="pl-PL"/>
        </w:rPr>
        <w:t xml:space="preserve"> – mówi </w:t>
      </w:r>
      <w:r w:rsidRPr="002633EF">
        <w:rPr>
          <w:rFonts w:ascii="Aptos" w:eastAsia="Aptos" w:hAnsi="Aptos" w:cs="Aptos"/>
          <w:b/>
          <w:bCs/>
          <w:lang w:val="pl-PL"/>
        </w:rPr>
        <w:t>Magdalena Kubisa</w:t>
      </w:r>
      <w:r w:rsidRPr="002633EF">
        <w:rPr>
          <w:rFonts w:ascii="Aptos" w:eastAsia="Aptos" w:hAnsi="Aptos" w:cs="Aptos"/>
          <w:lang w:val="pl-PL"/>
        </w:rPr>
        <w:t>, dyrektor rozwoju biznesu w BLIKU.</w:t>
      </w:r>
    </w:p>
    <w:p w14:paraId="48FB85EA" w14:textId="77777777" w:rsidR="002633EF" w:rsidRPr="002633EF" w:rsidRDefault="002633EF" w:rsidP="002633EF">
      <w:pPr>
        <w:spacing w:line="276" w:lineRule="auto"/>
        <w:jc w:val="both"/>
        <w:rPr>
          <w:rFonts w:ascii="Aptos" w:eastAsia="Aptos" w:hAnsi="Aptos" w:cs="Aptos"/>
          <w:b/>
          <w:bCs/>
          <w:lang w:val="pl-PL"/>
        </w:rPr>
      </w:pPr>
      <w:r w:rsidRPr="002633EF">
        <w:rPr>
          <w:rFonts w:ascii="Aptos" w:eastAsia="Aptos" w:hAnsi="Aptos" w:cs="Aptos"/>
          <w:b/>
          <w:bCs/>
          <w:lang w:val="pl-PL"/>
        </w:rPr>
        <w:t xml:space="preserve">BLIK szerzej dostępny dzięki </w:t>
      </w:r>
      <w:proofErr w:type="spellStart"/>
      <w:r w:rsidRPr="002633EF">
        <w:rPr>
          <w:rFonts w:ascii="Aptos" w:eastAsia="Aptos" w:hAnsi="Aptos" w:cs="Aptos"/>
          <w:b/>
          <w:bCs/>
          <w:lang w:val="pl-PL"/>
        </w:rPr>
        <w:t>Stripe</w:t>
      </w:r>
      <w:proofErr w:type="spellEnd"/>
    </w:p>
    <w:p w14:paraId="744D5060" w14:textId="77777777" w:rsidR="002633EF" w:rsidRPr="002633EF" w:rsidRDefault="002633EF" w:rsidP="002633EF">
      <w:pPr>
        <w:spacing w:line="276" w:lineRule="auto"/>
        <w:jc w:val="both"/>
        <w:rPr>
          <w:rFonts w:ascii="Aptos" w:eastAsia="Aptos" w:hAnsi="Aptos" w:cs="Aptos"/>
          <w:lang w:val="pl-PL"/>
        </w:rPr>
      </w:pPr>
      <w:r w:rsidRPr="002633EF">
        <w:rPr>
          <w:rFonts w:ascii="Aptos" w:eastAsia="Aptos" w:hAnsi="Aptos" w:cs="Aptos"/>
          <w:lang w:val="pl-PL"/>
        </w:rPr>
        <w:t xml:space="preserve">Dynamiczne metody płatności są częścią istniejącej infrastruktury płatniczej </w:t>
      </w:r>
      <w:proofErr w:type="spellStart"/>
      <w:r w:rsidRPr="002633EF">
        <w:rPr>
          <w:rFonts w:ascii="Aptos" w:eastAsia="Aptos" w:hAnsi="Aptos" w:cs="Aptos"/>
          <w:lang w:val="pl-PL"/>
        </w:rPr>
        <w:t>Stripe</w:t>
      </w:r>
      <w:proofErr w:type="spellEnd"/>
      <w:r w:rsidRPr="002633EF">
        <w:rPr>
          <w:rFonts w:ascii="Aptos" w:eastAsia="Aptos" w:hAnsi="Aptos" w:cs="Aptos"/>
          <w:lang w:val="pl-PL"/>
        </w:rPr>
        <w:t xml:space="preserve">, dzięki czemu sprzedawcy nie muszą tworzyć osobnych integracji z poszczególnymi dostawcami płatności, aby oferować lokalne metody płatności. BLIK może zostać włączony za pośrednictwem </w:t>
      </w:r>
      <w:proofErr w:type="spellStart"/>
      <w:r w:rsidRPr="002633EF">
        <w:rPr>
          <w:rFonts w:ascii="Aptos" w:eastAsia="Aptos" w:hAnsi="Aptos" w:cs="Aptos"/>
          <w:lang w:val="pl-PL"/>
        </w:rPr>
        <w:t>Stripe</w:t>
      </w:r>
      <w:proofErr w:type="spellEnd"/>
      <w:r w:rsidRPr="002633EF">
        <w:rPr>
          <w:rFonts w:ascii="Aptos" w:eastAsia="Aptos" w:hAnsi="Aptos" w:cs="Aptos"/>
          <w:lang w:val="pl-PL"/>
        </w:rPr>
        <w:t xml:space="preserve"> i wyświetlany polskim użytkownikom na podstawie m.in. lokalizacji, z której inicjują transakcję, a także waluty i charakteru płatności.</w:t>
      </w:r>
    </w:p>
    <w:p w14:paraId="18A3E196" w14:textId="2BB2FFD6" w:rsidR="002633EF" w:rsidRPr="002633EF" w:rsidRDefault="002633EF" w:rsidP="002633EF">
      <w:pPr>
        <w:spacing w:line="276" w:lineRule="auto"/>
        <w:jc w:val="both"/>
        <w:rPr>
          <w:rFonts w:ascii="Aptos" w:eastAsia="Aptos" w:hAnsi="Aptos" w:cs="Aptos"/>
          <w:lang w:val="pl-PL"/>
        </w:rPr>
      </w:pPr>
      <w:r w:rsidRPr="002633EF">
        <w:rPr>
          <w:rFonts w:ascii="Aptos" w:eastAsia="Aptos" w:hAnsi="Aptos" w:cs="Aptos"/>
          <w:lang w:val="pl-PL"/>
        </w:rPr>
        <w:t xml:space="preserve">Rozwiązania opracowywane w ramach programu mają również pomagać w dostosowaniu całego procesu finalizacji zakupu do indywidualnych użytkowników. Obejmuje to m.in. wyświetlanie cen w lokalnej walucie klienta oraz optymalizację sposobu prezentowania dostępnych metod płatności. </w:t>
      </w:r>
      <w:proofErr w:type="spellStart"/>
      <w:r w:rsidRPr="002633EF">
        <w:rPr>
          <w:rFonts w:ascii="Aptos" w:eastAsia="Aptos" w:hAnsi="Aptos" w:cs="Aptos"/>
          <w:lang w:val="pl-PL"/>
        </w:rPr>
        <w:t>Stripe</w:t>
      </w:r>
      <w:proofErr w:type="spellEnd"/>
      <w:r w:rsidRPr="002633EF">
        <w:rPr>
          <w:rFonts w:ascii="Aptos" w:eastAsia="Aptos" w:hAnsi="Aptos" w:cs="Aptos"/>
          <w:lang w:val="pl-PL"/>
        </w:rPr>
        <w:t xml:space="preserve"> wskazuje, że firmy odnotowują średnio 46-procentowy wzrost konwersji, gdy oferują BLIKA klientom w Polsce.</w:t>
      </w:r>
    </w:p>
    <w:p w14:paraId="6211EF89" w14:textId="77777777" w:rsidR="002633EF" w:rsidRPr="002633EF" w:rsidRDefault="002633EF" w:rsidP="002633EF">
      <w:pPr>
        <w:spacing w:line="276" w:lineRule="auto"/>
        <w:jc w:val="both"/>
        <w:rPr>
          <w:rFonts w:ascii="Aptos" w:eastAsia="Aptos" w:hAnsi="Aptos" w:cs="Aptos"/>
          <w:b/>
          <w:bCs/>
          <w:lang w:val="pl-PL"/>
        </w:rPr>
      </w:pPr>
      <w:r w:rsidRPr="002633EF">
        <w:rPr>
          <w:rFonts w:ascii="Aptos" w:eastAsia="Aptos" w:hAnsi="Aptos" w:cs="Aptos"/>
          <w:b/>
          <w:bCs/>
          <w:lang w:val="pl-PL"/>
        </w:rPr>
        <w:t xml:space="preserve">Kolejny etap współpracy BLIKA i </w:t>
      </w:r>
      <w:proofErr w:type="spellStart"/>
      <w:r w:rsidRPr="002633EF">
        <w:rPr>
          <w:rFonts w:ascii="Aptos" w:eastAsia="Aptos" w:hAnsi="Aptos" w:cs="Aptos"/>
          <w:b/>
          <w:bCs/>
          <w:lang w:val="pl-PL"/>
        </w:rPr>
        <w:t>Stripe</w:t>
      </w:r>
      <w:proofErr w:type="spellEnd"/>
    </w:p>
    <w:p w14:paraId="651F55E0" w14:textId="77777777" w:rsidR="002633EF" w:rsidRPr="002633EF" w:rsidRDefault="002633EF" w:rsidP="002633EF">
      <w:pPr>
        <w:spacing w:line="276" w:lineRule="auto"/>
        <w:jc w:val="both"/>
        <w:rPr>
          <w:rFonts w:ascii="Aptos" w:eastAsia="Aptos" w:hAnsi="Aptos" w:cs="Aptos"/>
          <w:lang w:val="pl-PL"/>
        </w:rPr>
      </w:pPr>
      <w:r w:rsidRPr="002633EF">
        <w:rPr>
          <w:rFonts w:ascii="Aptos" w:eastAsia="Aptos" w:hAnsi="Aptos" w:cs="Aptos"/>
          <w:lang w:val="pl-PL"/>
        </w:rPr>
        <w:lastRenderedPageBreak/>
        <w:t xml:space="preserve">Udostępnienie BLIKA w ramach dynamicznych metod płatności </w:t>
      </w:r>
      <w:proofErr w:type="spellStart"/>
      <w:r w:rsidRPr="002633EF">
        <w:rPr>
          <w:rFonts w:ascii="Aptos" w:eastAsia="Aptos" w:hAnsi="Aptos" w:cs="Aptos"/>
          <w:lang w:val="pl-PL"/>
        </w:rPr>
        <w:t>Stripe</w:t>
      </w:r>
      <w:proofErr w:type="spellEnd"/>
      <w:r w:rsidRPr="002633EF">
        <w:rPr>
          <w:rFonts w:ascii="Aptos" w:eastAsia="Aptos" w:hAnsi="Aptos" w:cs="Aptos"/>
          <w:lang w:val="pl-PL"/>
        </w:rPr>
        <w:t xml:space="preserve"> stanowi rozwinięcie dotychczasowej współpracy obu firm. </w:t>
      </w:r>
      <w:proofErr w:type="spellStart"/>
      <w:r w:rsidRPr="002633EF">
        <w:rPr>
          <w:rFonts w:ascii="Aptos" w:eastAsia="Aptos" w:hAnsi="Aptos" w:cs="Aptos"/>
          <w:lang w:val="pl-PL"/>
        </w:rPr>
        <w:t>Stripe</w:t>
      </w:r>
      <w:proofErr w:type="spellEnd"/>
      <w:r w:rsidRPr="002633EF">
        <w:rPr>
          <w:rFonts w:ascii="Aptos" w:eastAsia="Aptos" w:hAnsi="Aptos" w:cs="Aptos"/>
          <w:lang w:val="pl-PL"/>
        </w:rPr>
        <w:t xml:space="preserve"> już teraz umożliwia globalnym markom udostępnianie BLIKA polskim użytkownikom. W lipcu tego roku dzięki współpracy obu firm, Płatności powtarzalne BLIK zostały udostępnione m.in. użytkownikom </w:t>
      </w:r>
      <w:proofErr w:type="spellStart"/>
      <w:r w:rsidRPr="002633EF">
        <w:rPr>
          <w:rFonts w:ascii="Aptos" w:eastAsia="Aptos" w:hAnsi="Aptos" w:cs="Aptos"/>
          <w:lang w:val="pl-PL"/>
        </w:rPr>
        <w:t>OpenAI</w:t>
      </w:r>
      <w:proofErr w:type="spellEnd"/>
      <w:r w:rsidRPr="002633EF">
        <w:rPr>
          <w:rFonts w:ascii="Aptos" w:eastAsia="Aptos" w:hAnsi="Aptos" w:cs="Aptos"/>
          <w:lang w:val="pl-PL"/>
        </w:rPr>
        <w:t xml:space="preserve"> w Polsce, umożliwiając im opłacanie subskrypcji usług, w tym dostępu do </w:t>
      </w:r>
      <w:proofErr w:type="spellStart"/>
      <w:r w:rsidRPr="002633EF">
        <w:rPr>
          <w:rFonts w:ascii="Aptos" w:eastAsia="Aptos" w:hAnsi="Aptos" w:cs="Aptos"/>
          <w:lang w:val="pl-PL"/>
        </w:rPr>
        <w:t>ChatGPT</w:t>
      </w:r>
      <w:proofErr w:type="spellEnd"/>
      <w:r w:rsidRPr="002633EF">
        <w:rPr>
          <w:rFonts w:ascii="Aptos" w:eastAsia="Aptos" w:hAnsi="Aptos" w:cs="Aptos"/>
          <w:lang w:val="pl-PL"/>
        </w:rPr>
        <w:t xml:space="preserve"> Plus.</w:t>
      </w:r>
    </w:p>
    <w:p w14:paraId="7E2E5CEB" w14:textId="77777777" w:rsidR="002633EF" w:rsidRPr="002633EF" w:rsidRDefault="002633EF" w:rsidP="002633EF">
      <w:pPr>
        <w:spacing w:line="276" w:lineRule="auto"/>
        <w:jc w:val="both"/>
        <w:rPr>
          <w:rFonts w:ascii="Aptos" w:eastAsia="Aptos" w:hAnsi="Aptos" w:cs="Aptos"/>
          <w:lang w:val="pl-PL"/>
        </w:rPr>
      </w:pPr>
      <w:r w:rsidRPr="002633EF">
        <w:rPr>
          <w:rFonts w:ascii="Aptos" w:eastAsia="Aptos" w:hAnsi="Aptos" w:cs="Aptos"/>
          <w:lang w:val="pl-PL"/>
        </w:rPr>
        <w:t xml:space="preserve">BLIK i </w:t>
      </w:r>
      <w:proofErr w:type="spellStart"/>
      <w:r w:rsidRPr="002633EF">
        <w:rPr>
          <w:rFonts w:ascii="Aptos" w:eastAsia="Aptos" w:hAnsi="Aptos" w:cs="Aptos"/>
          <w:lang w:val="pl-PL"/>
        </w:rPr>
        <w:t>Stripe</w:t>
      </w:r>
      <w:proofErr w:type="spellEnd"/>
      <w:r w:rsidRPr="002633EF">
        <w:rPr>
          <w:rFonts w:ascii="Aptos" w:eastAsia="Aptos" w:hAnsi="Aptos" w:cs="Aptos"/>
          <w:lang w:val="pl-PL"/>
        </w:rPr>
        <w:t xml:space="preserve"> chcą również wspólnie rozwijać rozwiązania odpowiadające na zmieniający się sposób robienia zakupów w </w:t>
      </w:r>
      <w:proofErr w:type="spellStart"/>
      <w:r w:rsidRPr="002633EF">
        <w:rPr>
          <w:rFonts w:ascii="Aptos" w:eastAsia="Aptos" w:hAnsi="Aptos" w:cs="Aptos"/>
          <w:lang w:val="pl-PL"/>
        </w:rPr>
        <w:t>internecie</w:t>
      </w:r>
      <w:proofErr w:type="spellEnd"/>
      <w:r w:rsidRPr="002633EF">
        <w:rPr>
          <w:rFonts w:ascii="Aptos" w:eastAsia="Aptos" w:hAnsi="Aptos" w:cs="Aptos"/>
          <w:lang w:val="pl-PL"/>
        </w:rPr>
        <w:t xml:space="preserve">. Jednym z kierunków współpracy jest </w:t>
      </w:r>
      <w:proofErr w:type="spellStart"/>
      <w:r w:rsidRPr="002633EF">
        <w:rPr>
          <w:rFonts w:ascii="Aptos" w:eastAsia="Aptos" w:hAnsi="Aptos" w:cs="Aptos"/>
          <w:lang w:val="pl-PL"/>
        </w:rPr>
        <w:t>agentic</w:t>
      </w:r>
      <w:proofErr w:type="spellEnd"/>
      <w:r w:rsidRPr="002633EF">
        <w:rPr>
          <w:rFonts w:ascii="Aptos" w:eastAsia="Aptos" w:hAnsi="Aptos" w:cs="Aptos"/>
          <w:lang w:val="pl-PL"/>
        </w:rPr>
        <w:t xml:space="preserve"> </w:t>
      </w:r>
      <w:proofErr w:type="spellStart"/>
      <w:r w:rsidRPr="002633EF">
        <w:rPr>
          <w:rFonts w:ascii="Aptos" w:eastAsia="Aptos" w:hAnsi="Aptos" w:cs="Aptos"/>
          <w:lang w:val="pl-PL"/>
        </w:rPr>
        <w:t>commerce</w:t>
      </w:r>
      <w:proofErr w:type="spellEnd"/>
      <w:r w:rsidRPr="002633EF">
        <w:rPr>
          <w:rFonts w:ascii="Aptos" w:eastAsia="Aptos" w:hAnsi="Aptos" w:cs="Aptos"/>
          <w:lang w:val="pl-PL"/>
        </w:rPr>
        <w:t xml:space="preserve"> – model, w którym inteligentni agenci cyfrowi mogą wspierać użytkowników w kolejnych etapach procesu zakupowego, a w przyszłości także w realizacji płatności, przy zachowaniu odpowiednich mechanizmów bezpieczeństwa i kontroli nad transakcją.</w:t>
      </w:r>
    </w:p>
    <w:p w14:paraId="2400B79C" w14:textId="77777777" w:rsidR="002633EF" w:rsidRPr="002633EF" w:rsidRDefault="002633EF" w:rsidP="002633EF">
      <w:pPr>
        <w:spacing w:line="276" w:lineRule="auto"/>
        <w:jc w:val="both"/>
        <w:rPr>
          <w:rFonts w:ascii="Aptos" w:eastAsia="Aptos" w:hAnsi="Aptos" w:cs="Aptos"/>
          <w:b/>
          <w:bCs/>
          <w:lang w:val="pl-PL"/>
        </w:rPr>
      </w:pPr>
    </w:p>
    <w:p w14:paraId="5DCF76C6" w14:textId="77777777" w:rsidR="00AF6E2C" w:rsidRDefault="00000000">
      <w:pPr>
        <w:spacing w:line="276" w:lineRule="auto"/>
        <w:jc w:val="center"/>
        <w:rPr>
          <w:rFonts w:ascii="Aptos" w:eastAsia="Aptos" w:hAnsi="Aptos" w:cs="Aptos"/>
        </w:rPr>
      </w:pPr>
      <w:r>
        <w:rPr>
          <w:rFonts w:ascii="Aptos" w:eastAsia="Aptos" w:hAnsi="Aptos" w:cs="Aptos"/>
        </w:rPr>
        <w:t>***</w:t>
      </w:r>
    </w:p>
    <w:p w14:paraId="7B0C74D9" w14:textId="0E5D070A" w:rsidR="00AF6E2C" w:rsidRDefault="00000000">
      <w:pPr>
        <w:jc w:val="both"/>
        <w:rPr>
          <w:rFonts w:ascii="Aptos" w:eastAsia="Aptos" w:hAnsi="Aptos" w:cs="Aptos"/>
          <w:sz w:val="20"/>
          <w:szCs w:val="20"/>
        </w:rPr>
      </w:pPr>
      <w:r>
        <w:rPr>
          <w:rFonts w:ascii="Aptos" w:eastAsia="Aptos" w:hAnsi="Aptos" w:cs="Aptos"/>
          <w:b/>
          <w:bCs/>
          <w:sz w:val="20"/>
          <w:szCs w:val="20"/>
        </w:rPr>
        <w:t>BLIK</w:t>
      </w:r>
      <w:r>
        <w:rPr>
          <w:rFonts w:ascii="Aptos" w:eastAsia="Aptos" w:hAnsi="Aptos" w:cs="Aptos"/>
          <w:sz w:val="20"/>
          <w:szCs w:val="20"/>
        </w:rPr>
        <w:t xml:space="preserve"> to powszechny standard płatności mobilnych. Możliwość skorzystania z BLIKA w aplikacjach bankowości mobilnej ma obecnie praktycznie każdy z klientów krajowych instytucji płatniczych oferujących aplikację mobilną. Za rozwój systemu odpowiada spółka Polski Standard Płatności (PSP). PSP stale rozwija możliwości BLIKA tak, aby system był jak najbardziej funkcjonalny dla jego użytkowników. Udziałowcami spółki PSP są: Alior Bank, Bank Millennium, </w:t>
      </w:r>
      <w:r w:rsidR="005D3A99">
        <w:rPr>
          <w:rFonts w:ascii="Aptos" w:eastAsia="Aptos" w:hAnsi="Aptos" w:cs="Aptos"/>
          <w:sz w:val="20"/>
          <w:szCs w:val="20"/>
        </w:rPr>
        <w:t>Erste</w:t>
      </w:r>
      <w:r>
        <w:rPr>
          <w:rFonts w:ascii="Aptos" w:eastAsia="Aptos" w:hAnsi="Aptos" w:cs="Aptos"/>
          <w:sz w:val="20"/>
          <w:szCs w:val="20"/>
        </w:rPr>
        <w:t xml:space="preserve"> Bank Polska, ING Bank Śląski, mBank, PKO Bank Polski oraz Mastercard.</w:t>
      </w:r>
    </w:p>
    <w:p w14:paraId="27EBB0C1" w14:textId="77777777" w:rsidR="00AF6E2C" w:rsidRDefault="00000000">
      <w:pPr>
        <w:spacing w:line="276" w:lineRule="auto"/>
        <w:jc w:val="both"/>
        <w:rPr>
          <w:rFonts w:ascii="Aptos" w:eastAsia="Aptos" w:hAnsi="Aptos" w:cs="Aptos"/>
          <w:b/>
          <w:bCs/>
          <w:sz w:val="20"/>
          <w:szCs w:val="20"/>
        </w:rPr>
      </w:pPr>
      <w:r>
        <w:rPr>
          <w:rFonts w:ascii="Aptos" w:eastAsia="Aptos" w:hAnsi="Aptos" w:cs="Aptos"/>
          <w:b/>
          <w:bCs/>
          <w:sz w:val="20"/>
          <w:szCs w:val="20"/>
        </w:rPr>
        <w:t>Kontakt dla mediów:</w:t>
      </w:r>
    </w:p>
    <w:p w14:paraId="17E8A2C6" w14:textId="77777777" w:rsidR="00AF6E2C" w:rsidRDefault="00000000">
      <w:pPr>
        <w:spacing w:after="0" w:line="276" w:lineRule="auto"/>
        <w:jc w:val="both"/>
        <w:rPr>
          <w:rFonts w:ascii="Aptos" w:eastAsia="Aptos" w:hAnsi="Aptos" w:cs="Aptos"/>
          <w:sz w:val="20"/>
          <w:szCs w:val="20"/>
        </w:rPr>
      </w:pPr>
      <w:r>
        <w:rPr>
          <w:rFonts w:ascii="Aptos" w:eastAsia="Aptos" w:hAnsi="Aptos" w:cs="Aptos"/>
          <w:sz w:val="20"/>
          <w:szCs w:val="20"/>
        </w:rPr>
        <w:t>Klaudia Rombalska</w:t>
      </w:r>
    </w:p>
    <w:p w14:paraId="52B9446B" w14:textId="77777777" w:rsidR="00AF6E2C" w:rsidRDefault="00000000">
      <w:pPr>
        <w:spacing w:after="0" w:line="276" w:lineRule="auto"/>
        <w:jc w:val="both"/>
        <w:rPr>
          <w:rFonts w:ascii="Aptos" w:eastAsia="Aptos" w:hAnsi="Aptos" w:cs="Aptos"/>
          <w:sz w:val="20"/>
          <w:szCs w:val="20"/>
        </w:rPr>
      </w:pPr>
      <w:r>
        <w:rPr>
          <w:rFonts w:ascii="Aptos" w:eastAsia="Aptos" w:hAnsi="Aptos" w:cs="Aptos"/>
          <w:sz w:val="20"/>
          <w:szCs w:val="20"/>
        </w:rPr>
        <w:t>Biuro prasowe BLIK</w:t>
      </w:r>
    </w:p>
    <w:p w14:paraId="2882A972" w14:textId="77777777" w:rsidR="00AF6E2C" w:rsidRDefault="00AF6E2C">
      <w:pPr>
        <w:spacing w:after="0" w:line="276" w:lineRule="auto"/>
        <w:rPr>
          <w:rFonts w:ascii="Aptos" w:eastAsia="Aptos" w:hAnsi="Aptos" w:cs="Aptos"/>
          <w:sz w:val="20"/>
          <w:szCs w:val="20"/>
        </w:rPr>
      </w:pPr>
      <w:hyperlink>
        <w:r>
          <w:rPr>
            <w:rFonts w:ascii="Aptos" w:eastAsia="Aptos" w:hAnsi="Aptos" w:cs="Aptos"/>
            <w:color w:val="0563C1"/>
            <w:sz w:val="20"/>
            <w:szCs w:val="20"/>
            <w:u w:val="single"/>
          </w:rPr>
          <w:t>klaudia.rombalska@clearcom.pl</w:t>
        </w:r>
      </w:hyperlink>
      <w:r>
        <w:rPr>
          <w:rFonts w:ascii="Aptos" w:eastAsia="Aptos" w:hAnsi="Aptos" w:cs="Aptos"/>
          <w:sz w:val="20"/>
          <w:szCs w:val="20"/>
        </w:rPr>
        <w:t xml:space="preserve"> </w:t>
      </w:r>
    </w:p>
    <w:p w14:paraId="37AB3575" w14:textId="77777777" w:rsidR="00AF6E2C" w:rsidRDefault="00AF6E2C">
      <w:pPr>
        <w:spacing w:after="0" w:line="276" w:lineRule="auto"/>
        <w:rPr>
          <w:rFonts w:ascii="Aptos" w:eastAsia="Aptos" w:hAnsi="Aptos" w:cs="Aptos"/>
          <w:sz w:val="20"/>
          <w:szCs w:val="20"/>
        </w:rPr>
      </w:pPr>
    </w:p>
    <w:p w14:paraId="3E2EA870" w14:textId="77777777" w:rsidR="00AF6E2C" w:rsidRDefault="00AF6E2C">
      <w:pPr>
        <w:spacing w:after="0" w:line="276" w:lineRule="auto"/>
        <w:rPr>
          <w:rFonts w:ascii="Aptos" w:eastAsia="Aptos" w:hAnsi="Aptos" w:cs="Aptos"/>
          <w:b/>
          <w:bCs/>
          <w:sz w:val="20"/>
          <w:szCs w:val="20"/>
        </w:rPr>
      </w:pPr>
    </w:p>
    <w:sectPr w:rsidR="00AF6E2C">
      <w:headerReference w:type="default" r:id="rId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D361" w14:textId="77777777" w:rsidR="005F63AA" w:rsidRDefault="005F63AA">
      <w:pPr>
        <w:spacing w:after="0" w:line="240" w:lineRule="auto"/>
      </w:pPr>
      <w:r>
        <w:separator/>
      </w:r>
    </w:p>
  </w:endnote>
  <w:endnote w:type="continuationSeparator" w:id="0">
    <w:p w14:paraId="1DA72A68" w14:textId="77777777" w:rsidR="005F63AA" w:rsidRDefault="005F6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8ABBAE7-0ECE-437A-B8FE-80FB8D1B60A0}"/>
    <w:embedBold r:id="rId2" w:fontKey="{5E7025FC-077C-4C72-9C53-2A372C4F37F8}"/>
    <w:embedItalic r:id="rId3" w:fontKey="{CBD25B7F-30F4-4AD4-9D9F-4C9C22517B32}"/>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4" w:fontKey="{FD818F24-45FD-4506-A20F-54C0018DA999}"/>
    <w:embedBold r:id="rId5" w:fontKey="{A3093EAC-E740-41F4-88A9-51CA5FC91066}"/>
  </w:font>
  <w:font w:name="Georgia">
    <w:panose1 w:val="02040502050405020303"/>
    <w:charset w:val="EE"/>
    <w:family w:val="roman"/>
    <w:pitch w:val="variable"/>
    <w:sig w:usb0="00000287" w:usb1="00000000" w:usb2="00000000" w:usb3="00000000" w:csb0="0000009F" w:csb1="00000000"/>
    <w:embedItalic r:id="rId6" w:fontKey="{69A5D3B1-1FB5-437F-BFD1-909C67EFBEA1}"/>
  </w:font>
  <w:font w:name="Cambria">
    <w:panose1 w:val="02040503050406030204"/>
    <w:charset w:val="EE"/>
    <w:family w:val="roman"/>
    <w:pitch w:val="variable"/>
    <w:sig w:usb0="E00006FF" w:usb1="420024FF" w:usb2="02000000" w:usb3="00000000" w:csb0="0000019F" w:csb1="00000000"/>
    <w:embedRegular r:id="rId7" w:fontKey="{F115E8F2-A5E3-4F99-A1FA-BDA487E14B4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594C4" w14:textId="77777777" w:rsidR="005F63AA" w:rsidRDefault="005F63AA">
      <w:pPr>
        <w:spacing w:after="0" w:line="240" w:lineRule="auto"/>
      </w:pPr>
      <w:r>
        <w:separator/>
      </w:r>
    </w:p>
  </w:footnote>
  <w:footnote w:type="continuationSeparator" w:id="0">
    <w:p w14:paraId="02792BCB" w14:textId="77777777" w:rsidR="005F63AA" w:rsidRDefault="005F6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47658" w14:textId="77777777" w:rsidR="00AF6E2C"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8240" behindDoc="1" locked="0" layoutInCell="1" hidden="0" allowOverlap="1" wp14:anchorId="220A155A" wp14:editId="77E1D776">
          <wp:simplePos x="0" y="0"/>
          <wp:positionH relativeFrom="column">
            <wp:posOffset>0</wp:posOffset>
          </wp:positionH>
          <wp:positionV relativeFrom="paragraph">
            <wp:posOffset>-297179</wp:posOffset>
          </wp:positionV>
          <wp:extent cx="1811655" cy="1095375"/>
          <wp:effectExtent l="0" t="0" r="0" b="0"/>
          <wp:wrapNone/>
          <wp:docPr id="1" name="image2.png" descr="Obraz zawierający symbol, zrzut ekranu, Grafika, Czcion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png" descr="Obraz zawierający symbol, zrzut ekranu, Grafika, Czcionka&#10;&#10;Opis wygenerowany automatycznie"/>
                  <pic:cNvPicPr preferRelativeResize="0"/>
                </pic:nvPicPr>
                <pic:blipFill>
                  <a:blip r:embed="rId1"/>
                  <a:srcRect/>
                  <a:stretch>
                    <a:fillRect/>
                  </a:stretch>
                </pic:blipFill>
                <pic:spPr>
                  <a:xfrm>
                    <a:off x="0" y="0"/>
                    <a:ext cx="1811655" cy="1095375"/>
                  </a:xfrm>
                  <a:prstGeom prst="rect">
                    <a:avLst/>
                  </a:prstGeom>
                  <a:ln/>
                </pic:spPr>
              </pic:pic>
            </a:graphicData>
          </a:graphic>
        </wp:anchor>
      </w:drawing>
    </w:r>
  </w:p>
  <w:p w14:paraId="562D10A5"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19E45B64"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6892CFCF"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633B3926"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720C57CB" w14:textId="77777777" w:rsidR="00AF6E2C" w:rsidRDefault="00000000">
    <w:pPr>
      <w:pBdr>
        <w:top w:val="nil"/>
        <w:left w:val="nil"/>
        <w:bottom w:val="nil"/>
        <w:right w:val="nil"/>
        <w:between w:val="nil"/>
      </w:pBdr>
      <w:tabs>
        <w:tab w:val="center" w:pos="4536"/>
        <w:tab w:val="right" w:pos="9072"/>
      </w:tabs>
      <w:spacing w:after="0" w:line="240" w:lineRule="auto"/>
      <w:rPr>
        <w:color w:val="000000"/>
      </w:rPr>
    </w:pPr>
    <w:r>
      <w:rPr>
        <w:noProof/>
        <w:color w:val="000000"/>
      </w:rPr>
      <w:drawing>
        <wp:anchor distT="0" distB="0" distL="114300" distR="114300" simplePos="0" relativeHeight="251659264" behindDoc="0" locked="0" layoutInCell="1" hidden="0" allowOverlap="1" wp14:anchorId="2E13CBCB" wp14:editId="487E0363">
          <wp:simplePos x="0" y="0"/>
          <wp:positionH relativeFrom="margin">
            <wp:posOffset>4521005</wp:posOffset>
          </wp:positionH>
          <wp:positionV relativeFrom="topMargin">
            <wp:posOffset>445868</wp:posOffset>
          </wp:positionV>
          <wp:extent cx="1037590" cy="559435"/>
          <wp:effectExtent l="0" t="0" r="0" b="0"/>
          <wp:wrapSquare wrapText="bothSides" distT="0" distB="0" distL="114300" distR="114300"/>
          <wp:docPr id="2" name="image1.jpg" descr="Obraz zawierający logo&#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jpg" descr="Obraz zawierający logo&#10;&#10;Opis wygenerowany automatycznie"/>
                  <pic:cNvPicPr preferRelativeResize="0"/>
                </pic:nvPicPr>
                <pic:blipFill>
                  <a:blip r:embed="rId2"/>
                  <a:srcRect/>
                  <a:stretch>
                    <a:fillRect/>
                  </a:stretch>
                </pic:blipFill>
                <pic:spPr>
                  <a:xfrm>
                    <a:off x="0" y="0"/>
                    <a:ext cx="1037590" cy="5594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26F"/>
    <w:multiLevelType w:val="hybridMultilevel"/>
    <w:tmpl w:val="B0183A8A"/>
    <w:lvl w:ilvl="0" w:tplc="2C0C1A2E">
      <w:numFmt w:val="bullet"/>
      <w:lvlText w:val="-"/>
      <w:lvlJc w:val="left"/>
      <w:pPr>
        <w:ind w:left="720" w:hanging="360"/>
      </w:pPr>
      <w:rPr>
        <w:rFonts w:ascii="Aptos" w:eastAsia="Aptos" w:hAnsi="Aptos" w:cs="Aptos"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654E94"/>
    <w:multiLevelType w:val="hybridMultilevel"/>
    <w:tmpl w:val="71EE154A"/>
    <w:lvl w:ilvl="0" w:tplc="8A160E14">
      <w:numFmt w:val="bullet"/>
      <w:lvlText w:val="-"/>
      <w:lvlJc w:val="left"/>
      <w:pPr>
        <w:ind w:left="720" w:hanging="360"/>
      </w:pPr>
      <w:rPr>
        <w:rFonts w:ascii="Aptos" w:eastAsia="Aptos" w:hAnsi="Aptos" w:cs="Aptos"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DA60EE2"/>
    <w:multiLevelType w:val="hybridMultilevel"/>
    <w:tmpl w:val="310E7546"/>
    <w:lvl w:ilvl="0" w:tplc="B330EE4A">
      <w:numFmt w:val="bullet"/>
      <w:lvlText w:val="-"/>
      <w:lvlJc w:val="left"/>
      <w:pPr>
        <w:ind w:left="720" w:hanging="360"/>
      </w:pPr>
      <w:rPr>
        <w:rFonts w:ascii="Aptos" w:eastAsia="Aptos" w:hAnsi="Aptos" w:cs="Aptos"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32085213">
    <w:abstractNumId w:val="2"/>
  </w:num>
  <w:num w:numId="2" w16cid:durableId="1289506070">
    <w:abstractNumId w:val="0"/>
  </w:num>
  <w:num w:numId="3" w16cid:durableId="1858540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2C"/>
    <w:rsid w:val="000E096D"/>
    <w:rsid w:val="000F01A1"/>
    <w:rsid w:val="00162A98"/>
    <w:rsid w:val="00193A63"/>
    <w:rsid w:val="002633EF"/>
    <w:rsid w:val="003647A1"/>
    <w:rsid w:val="003D7795"/>
    <w:rsid w:val="003E17E3"/>
    <w:rsid w:val="00430A42"/>
    <w:rsid w:val="00485790"/>
    <w:rsid w:val="004B6DE0"/>
    <w:rsid w:val="00502A25"/>
    <w:rsid w:val="005D3A99"/>
    <w:rsid w:val="005F3DFD"/>
    <w:rsid w:val="005F63AA"/>
    <w:rsid w:val="00617ED7"/>
    <w:rsid w:val="00813C87"/>
    <w:rsid w:val="008F6110"/>
    <w:rsid w:val="009417C9"/>
    <w:rsid w:val="00974776"/>
    <w:rsid w:val="009A0ED7"/>
    <w:rsid w:val="00A14833"/>
    <w:rsid w:val="00A27F1D"/>
    <w:rsid w:val="00A40669"/>
    <w:rsid w:val="00A46DC0"/>
    <w:rsid w:val="00AF6E2C"/>
    <w:rsid w:val="00BF5C7D"/>
    <w:rsid w:val="00CE6EC5"/>
    <w:rsid w:val="00D01F05"/>
    <w:rsid w:val="00D410D5"/>
    <w:rsid w:val="00D66E16"/>
    <w:rsid w:val="00D80B14"/>
    <w:rsid w:val="00DA2639"/>
    <w:rsid w:val="00DA7CB5"/>
    <w:rsid w:val="00F001CF"/>
    <w:rsid w:val="00F84898"/>
    <w:rsid w:val="00FB59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C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Akapitzlist">
    <w:name w:val="List Paragraph"/>
    <w:basedOn w:val="Normalny"/>
    <w:uiPriority w:val="34"/>
    <w:qFormat/>
    <w:rsid w:val="00F001CF"/>
    <w:pPr>
      <w:ind w:left="720"/>
      <w:contextualSpacing/>
    </w:pPr>
  </w:style>
  <w:style w:type="character" w:styleId="Hipercze">
    <w:name w:val="Hyperlink"/>
    <w:basedOn w:val="Domylnaczcionkaakapitu"/>
    <w:uiPriority w:val="99"/>
    <w:unhideWhenUsed/>
    <w:rsid w:val="009417C9"/>
    <w:rPr>
      <w:color w:val="0000FF" w:themeColor="hyperlink"/>
      <w:u w:val="single"/>
    </w:rPr>
  </w:style>
  <w:style w:type="character" w:styleId="Nierozpoznanawzmianka">
    <w:name w:val="Unresolved Mention"/>
    <w:basedOn w:val="Domylnaczcionkaakapitu"/>
    <w:uiPriority w:val="99"/>
    <w:semiHidden/>
    <w:unhideWhenUsed/>
    <w:rsid w:val="009417C9"/>
    <w:rPr>
      <w:color w:val="605E5C"/>
      <w:shd w:val="clear" w:color="auto" w:fill="E1DFDD"/>
    </w:rPr>
  </w:style>
  <w:style w:type="character" w:styleId="UyteHipercze">
    <w:name w:val="FollowedHyperlink"/>
    <w:basedOn w:val="Domylnaczcionkaakapitu"/>
    <w:uiPriority w:val="99"/>
    <w:semiHidden/>
    <w:unhideWhenUsed/>
    <w:rsid w:val="009417C9"/>
    <w:rPr>
      <w:color w:val="800080" w:themeColor="followedHyperlink"/>
      <w:u w:val="single"/>
    </w:rPr>
  </w:style>
  <w:style w:type="paragraph" w:styleId="Nagwek">
    <w:name w:val="header"/>
    <w:basedOn w:val="Normalny"/>
    <w:link w:val="NagwekZnak"/>
    <w:uiPriority w:val="99"/>
    <w:unhideWhenUsed/>
    <w:rsid w:val="00162A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62A98"/>
  </w:style>
  <w:style w:type="paragraph" w:styleId="Stopka">
    <w:name w:val="footer"/>
    <w:basedOn w:val="Normalny"/>
    <w:link w:val="StopkaZnak"/>
    <w:uiPriority w:val="99"/>
    <w:unhideWhenUsed/>
    <w:rsid w:val="00162A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62A98"/>
  </w:style>
  <w:style w:type="character" w:styleId="Odwoaniedokomentarza">
    <w:name w:val="annotation reference"/>
    <w:basedOn w:val="Domylnaczcionkaakapitu"/>
    <w:uiPriority w:val="99"/>
    <w:semiHidden/>
    <w:unhideWhenUsed/>
    <w:rsid w:val="003E17E3"/>
    <w:rPr>
      <w:sz w:val="16"/>
      <w:szCs w:val="16"/>
    </w:rPr>
  </w:style>
  <w:style w:type="paragraph" w:styleId="Tekstkomentarza">
    <w:name w:val="annotation text"/>
    <w:basedOn w:val="Normalny"/>
    <w:link w:val="TekstkomentarzaZnak"/>
    <w:uiPriority w:val="99"/>
    <w:unhideWhenUsed/>
    <w:rsid w:val="003E17E3"/>
    <w:pPr>
      <w:spacing w:line="240" w:lineRule="auto"/>
    </w:pPr>
    <w:rPr>
      <w:sz w:val="20"/>
      <w:szCs w:val="20"/>
    </w:rPr>
  </w:style>
  <w:style w:type="character" w:customStyle="1" w:styleId="TekstkomentarzaZnak">
    <w:name w:val="Tekst komentarza Znak"/>
    <w:basedOn w:val="Domylnaczcionkaakapitu"/>
    <w:link w:val="Tekstkomentarza"/>
    <w:uiPriority w:val="99"/>
    <w:rsid w:val="003E17E3"/>
    <w:rPr>
      <w:sz w:val="20"/>
      <w:szCs w:val="20"/>
    </w:rPr>
  </w:style>
  <w:style w:type="paragraph" w:styleId="Tematkomentarza">
    <w:name w:val="annotation subject"/>
    <w:basedOn w:val="Tekstkomentarza"/>
    <w:next w:val="Tekstkomentarza"/>
    <w:link w:val="TematkomentarzaZnak"/>
    <w:uiPriority w:val="99"/>
    <w:semiHidden/>
    <w:unhideWhenUsed/>
    <w:rsid w:val="003E17E3"/>
    <w:rPr>
      <w:b/>
      <w:bCs/>
    </w:rPr>
  </w:style>
  <w:style w:type="character" w:customStyle="1" w:styleId="TematkomentarzaZnak">
    <w:name w:val="Temat komentarza Znak"/>
    <w:basedOn w:val="TekstkomentarzaZnak"/>
    <w:link w:val="Tematkomentarza"/>
    <w:uiPriority w:val="99"/>
    <w:semiHidden/>
    <w:rsid w:val="003E17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3378</Characters>
  <Application>Microsoft Office Word</Application>
  <DocSecurity>0</DocSecurity>
  <Lines>28</Lines>
  <Paragraphs>7</Paragraphs>
  <ScaleCrop>false</ScaleCrop>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2026-09-25T07:54:00Z</dcterms:created>
  <dcterms:modified xsi:type="dcterms:W3CDTF">2026-09-25T07:54:00Z</dcterms:modified>
</cp:coreProperties>
</file>