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57E90" w14:textId="61CE51D1" w:rsidR="00B21A04" w:rsidRDefault="001E107E" w:rsidP="00B21A04">
      <w:pPr>
        <w:rPr>
          <w:b/>
          <w:bCs/>
          <w:lang w:val="pt-PT"/>
        </w:rPr>
      </w:pPr>
      <w:r>
        <w:rPr>
          <w:noProof/>
          <w:lang w:eastAsia="pt-PT"/>
        </w:rPr>
        <w:drawing>
          <wp:anchor distT="0" distB="0" distL="114300" distR="114300" simplePos="0" relativeHeight="251659264" behindDoc="0" locked="0" layoutInCell="1" allowOverlap="1" wp14:anchorId="1782D5A8" wp14:editId="0893D706">
            <wp:simplePos x="0" y="0"/>
            <wp:positionH relativeFrom="margin">
              <wp:align>center</wp:align>
            </wp:positionH>
            <wp:positionV relativeFrom="paragraph">
              <wp:posOffset>-145489</wp:posOffset>
            </wp:positionV>
            <wp:extent cx="1741805" cy="1080135"/>
            <wp:effectExtent l="0" t="0" r="0" b="5715"/>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41805" cy="1080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5CF516" w14:textId="5E14DF7B" w:rsidR="00A56D87" w:rsidRDefault="00A56D87" w:rsidP="00B21A04">
      <w:pPr>
        <w:rPr>
          <w:b/>
          <w:bCs/>
          <w:sz w:val="28"/>
          <w:szCs w:val="28"/>
          <w:lang w:val="pt-PT"/>
        </w:rPr>
      </w:pPr>
    </w:p>
    <w:p w14:paraId="45C38F93" w14:textId="77777777" w:rsidR="00A56D87" w:rsidRDefault="00A56D87" w:rsidP="00B21A04">
      <w:pPr>
        <w:rPr>
          <w:b/>
          <w:bCs/>
          <w:sz w:val="28"/>
          <w:szCs w:val="28"/>
          <w:lang w:val="pt-PT"/>
        </w:rPr>
      </w:pPr>
    </w:p>
    <w:p w14:paraId="6AED5B90" w14:textId="77777777" w:rsidR="00945C47" w:rsidRPr="0059707F" w:rsidRDefault="00945C47" w:rsidP="00945C47">
      <w:pPr>
        <w:pStyle w:val="Textosimples"/>
        <w:spacing w:line="360" w:lineRule="auto"/>
        <w:jc w:val="center"/>
        <w:rPr>
          <w:rFonts w:ascii="Verdana" w:eastAsia="Times New Roman" w:hAnsi="Verdana"/>
          <w:sz w:val="18"/>
          <w:szCs w:val="18"/>
          <w:lang w:val="en-GB"/>
        </w:rPr>
      </w:pPr>
    </w:p>
    <w:p w14:paraId="2EDE8ADD" w14:textId="4815A264" w:rsidR="00945C47" w:rsidRDefault="00945C47" w:rsidP="00945C47">
      <w:pPr>
        <w:pStyle w:val="Textosimples"/>
        <w:spacing w:line="360" w:lineRule="auto"/>
        <w:jc w:val="both"/>
        <w:rPr>
          <w:rFonts w:ascii="Verdana" w:eastAsia="Times New Roman" w:hAnsi="Verdana"/>
          <w:sz w:val="20"/>
          <w:szCs w:val="20"/>
        </w:rPr>
      </w:pPr>
      <w:r w:rsidRPr="00D639C8">
        <w:rPr>
          <w:rFonts w:ascii="Verdana" w:eastAsia="Times New Roman" w:hAnsi="Verdana"/>
          <w:sz w:val="20"/>
          <w:szCs w:val="20"/>
          <w:lang w:val="pt-PT"/>
        </w:rPr>
        <w:t>Comunicado de Imprensa</w:t>
      </w:r>
      <w:r w:rsidRPr="00D639C8">
        <w:rPr>
          <w:rFonts w:ascii="Verdana" w:eastAsia="Times New Roman" w:hAnsi="Verdana"/>
          <w:sz w:val="20"/>
          <w:szCs w:val="20"/>
        </w:rPr>
        <w:t xml:space="preserve"> – </w:t>
      </w:r>
      <w:r w:rsidR="00D639C8" w:rsidRPr="00D639C8">
        <w:rPr>
          <w:rFonts w:ascii="Verdana" w:eastAsia="Times New Roman" w:hAnsi="Verdana"/>
          <w:sz w:val="20"/>
          <w:szCs w:val="20"/>
          <w:lang w:val="pt-PT"/>
        </w:rPr>
        <w:t>24</w:t>
      </w:r>
      <w:r w:rsidR="00FB00F2" w:rsidRPr="00D639C8">
        <w:rPr>
          <w:rFonts w:ascii="Verdana" w:eastAsia="Times New Roman" w:hAnsi="Verdana"/>
          <w:sz w:val="20"/>
          <w:szCs w:val="20"/>
          <w:lang w:val="pt-PT"/>
        </w:rPr>
        <w:t xml:space="preserve"> </w:t>
      </w:r>
      <w:r w:rsidRPr="00D639C8">
        <w:rPr>
          <w:rFonts w:ascii="Verdana" w:eastAsia="Times New Roman" w:hAnsi="Verdana"/>
          <w:sz w:val="20"/>
          <w:szCs w:val="20"/>
          <w:lang w:val="pt-PT"/>
        </w:rPr>
        <w:t xml:space="preserve">de </w:t>
      </w:r>
      <w:r w:rsidR="00FB00F2" w:rsidRPr="00D639C8">
        <w:rPr>
          <w:rFonts w:ascii="Verdana" w:eastAsia="Times New Roman" w:hAnsi="Verdana"/>
          <w:sz w:val="20"/>
          <w:szCs w:val="20"/>
          <w:lang w:val="pt-PT"/>
        </w:rPr>
        <w:t>setembro</w:t>
      </w:r>
      <w:r w:rsidRPr="00D639C8">
        <w:rPr>
          <w:rFonts w:ascii="Verdana" w:eastAsia="Times New Roman" w:hAnsi="Verdana"/>
          <w:sz w:val="20"/>
          <w:szCs w:val="20"/>
          <w:lang w:val="pt-PT"/>
        </w:rPr>
        <w:t xml:space="preserve"> de 2026</w:t>
      </w:r>
    </w:p>
    <w:p w14:paraId="36F632D6" w14:textId="77777777" w:rsidR="00FB00F2" w:rsidRPr="003C1677" w:rsidRDefault="00FB00F2" w:rsidP="003C1677">
      <w:pPr>
        <w:spacing w:line="360" w:lineRule="auto"/>
        <w:jc w:val="both"/>
        <w:rPr>
          <w:rFonts w:ascii="Verdana" w:hAnsi="Verdana"/>
          <w:sz w:val="20"/>
          <w:szCs w:val="20"/>
          <w:u w:val="single"/>
          <w:lang w:val="pt-PT"/>
        </w:rPr>
      </w:pPr>
    </w:p>
    <w:p w14:paraId="05F19A2C" w14:textId="5D3154A3" w:rsidR="00E86816" w:rsidRDefault="0065535B" w:rsidP="00F11E0D">
      <w:pPr>
        <w:spacing w:line="360" w:lineRule="auto"/>
        <w:jc w:val="both"/>
        <w:rPr>
          <w:rFonts w:ascii="Verdana" w:hAnsi="Verdana"/>
          <w:sz w:val="20"/>
          <w:szCs w:val="20"/>
          <w:u w:val="single"/>
          <w:lang w:val="pt-PT"/>
        </w:rPr>
      </w:pPr>
      <w:r>
        <w:rPr>
          <w:rFonts w:ascii="Verdana" w:hAnsi="Verdana"/>
          <w:sz w:val="20"/>
          <w:szCs w:val="20"/>
          <w:u w:val="single"/>
          <w:lang w:val="pt-PT"/>
        </w:rPr>
        <w:t xml:space="preserve">Empresa aposta </w:t>
      </w:r>
      <w:r w:rsidR="00452DBF">
        <w:rPr>
          <w:rFonts w:ascii="Verdana" w:hAnsi="Verdana"/>
          <w:sz w:val="20"/>
          <w:szCs w:val="20"/>
          <w:u w:val="single"/>
          <w:lang w:val="pt-PT"/>
        </w:rPr>
        <w:t>em</w:t>
      </w:r>
      <w:r w:rsidR="00E86816" w:rsidRPr="00E86816">
        <w:rPr>
          <w:rFonts w:ascii="Verdana" w:hAnsi="Verdana"/>
          <w:sz w:val="20"/>
          <w:szCs w:val="20"/>
          <w:u w:val="single"/>
          <w:lang w:val="pt-PT"/>
        </w:rPr>
        <w:t xml:space="preserve"> formato de rolo </w:t>
      </w:r>
      <w:r w:rsidR="00452DBF">
        <w:rPr>
          <w:rFonts w:ascii="Verdana" w:hAnsi="Verdana"/>
          <w:sz w:val="20"/>
          <w:szCs w:val="20"/>
          <w:u w:val="single"/>
          <w:lang w:val="pt-PT"/>
        </w:rPr>
        <w:t>unitário</w:t>
      </w:r>
      <w:r w:rsidR="00E86816" w:rsidRPr="00E86816">
        <w:rPr>
          <w:rFonts w:ascii="Verdana" w:hAnsi="Verdana"/>
          <w:sz w:val="20"/>
          <w:szCs w:val="20"/>
          <w:u w:val="single"/>
          <w:lang w:val="pt-PT"/>
        </w:rPr>
        <w:t xml:space="preserve"> com forte expressão no mercado ibérico</w:t>
      </w:r>
    </w:p>
    <w:p w14:paraId="42394D73" w14:textId="5066770A" w:rsidR="002234A2" w:rsidRDefault="002234A2" w:rsidP="00F11E0D">
      <w:pPr>
        <w:spacing w:line="360" w:lineRule="auto"/>
        <w:jc w:val="both"/>
        <w:rPr>
          <w:rFonts w:ascii="Verdana" w:hAnsi="Verdana"/>
          <w:b/>
          <w:bCs/>
          <w:sz w:val="36"/>
          <w:szCs w:val="36"/>
          <w:lang w:val="pt-PT"/>
        </w:rPr>
      </w:pPr>
      <w:r w:rsidRPr="0010142B">
        <w:rPr>
          <w:rFonts w:ascii="Verdana" w:hAnsi="Verdana"/>
          <w:b/>
          <w:bCs/>
          <w:sz w:val="36"/>
          <w:szCs w:val="36"/>
          <w:lang w:val="pt-PT"/>
        </w:rPr>
        <w:t>Navigator</w:t>
      </w:r>
      <w:r>
        <w:rPr>
          <w:rFonts w:ascii="Verdana" w:hAnsi="Verdana"/>
          <w:b/>
          <w:bCs/>
          <w:sz w:val="36"/>
          <w:szCs w:val="36"/>
          <w:lang w:val="pt-PT"/>
        </w:rPr>
        <w:t xml:space="preserve"> lança Amoos Boom</w:t>
      </w:r>
      <w:r w:rsidRPr="0010142B">
        <w:rPr>
          <w:rFonts w:ascii="Verdana" w:hAnsi="Verdana"/>
          <w:b/>
          <w:bCs/>
          <w:sz w:val="36"/>
          <w:szCs w:val="36"/>
          <w:lang w:val="pt-PT"/>
        </w:rPr>
        <w:t xml:space="preserve">: o </w:t>
      </w:r>
      <w:r>
        <w:rPr>
          <w:rFonts w:ascii="Verdana" w:hAnsi="Verdana"/>
          <w:b/>
          <w:bCs/>
          <w:sz w:val="36"/>
          <w:szCs w:val="36"/>
          <w:lang w:val="pt-PT"/>
        </w:rPr>
        <w:t>novo rolo de cozinha que alia</w:t>
      </w:r>
      <w:r w:rsidRPr="0010142B">
        <w:rPr>
          <w:rFonts w:ascii="Verdana" w:hAnsi="Verdana"/>
          <w:b/>
          <w:bCs/>
          <w:sz w:val="36"/>
          <w:szCs w:val="36"/>
          <w:lang w:val="pt-PT"/>
        </w:rPr>
        <w:t xml:space="preserve"> </w:t>
      </w:r>
      <w:r>
        <w:rPr>
          <w:rFonts w:ascii="Verdana" w:hAnsi="Verdana"/>
          <w:b/>
          <w:bCs/>
          <w:sz w:val="36"/>
          <w:szCs w:val="36"/>
          <w:lang w:val="pt-PT"/>
        </w:rPr>
        <w:t>desempenho, qualidade e competitividade</w:t>
      </w:r>
    </w:p>
    <w:p w14:paraId="41DC3D1D" w14:textId="2D378630" w:rsidR="00454859" w:rsidRPr="00F11E0D" w:rsidRDefault="69AF5606" w:rsidP="00F11E0D">
      <w:pPr>
        <w:spacing w:line="360" w:lineRule="auto"/>
        <w:jc w:val="both"/>
        <w:rPr>
          <w:rFonts w:ascii="Verdana" w:hAnsi="Verdana"/>
          <w:lang w:val="pt-PT"/>
        </w:rPr>
      </w:pPr>
      <w:r w:rsidRPr="6E4B5D9F">
        <w:rPr>
          <w:rFonts w:ascii="Verdana" w:hAnsi="Verdana"/>
          <w:lang w:val="pt-PT"/>
        </w:rPr>
        <w:t>A The Navigator Company reforça a sua oferta no mercado de Tissue com o lançamento de Amoos Boom, um novo rolo de cozinha</w:t>
      </w:r>
      <w:r w:rsidR="487ACC85" w:rsidRPr="6E4B5D9F">
        <w:rPr>
          <w:rFonts w:ascii="Verdana" w:hAnsi="Verdana"/>
          <w:lang w:val="pt-PT"/>
        </w:rPr>
        <w:t xml:space="preserve"> de folha dupla,</w:t>
      </w:r>
      <w:r w:rsidRPr="6E4B5D9F">
        <w:rPr>
          <w:rFonts w:ascii="Verdana" w:hAnsi="Verdana"/>
          <w:lang w:val="pt-PT"/>
        </w:rPr>
        <w:t xml:space="preserve"> desenvolvido para </w:t>
      </w:r>
      <w:r w:rsidR="487ACC85" w:rsidRPr="6E4B5D9F">
        <w:rPr>
          <w:rFonts w:ascii="Verdana" w:hAnsi="Verdana"/>
          <w:lang w:val="pt-PT"/>
        </w:rPr>
        <w:t xml:space="preserve">proporcionar </w:t>
      </w:r>
      <w:r w:rsidRPr="6E4B5D9F">
        <w:rPr>
          <w:rFonts w:ascii="Verdana" w:hAnsi="Verdana"/>
          <w:lang w:val="pt-PT"/>
        </w:rPr>
        <w:t>elevados níveis de absorção e resistência</w:t>
      </w:r>
      <w:r w:rsidR="7E062157" w:rsidRPr="6E4B5D9F">
        <w:rPr>
          <w:rFonts w:ascii="Verdana" w:hAnsi="Verdana"/>
          <w:lang w:val="pt-PT"/>
        </w:rPr>
        <w:t xml:space="preserve">. </w:t>
      </w:r>
      <w:r w:rsidR="6207619E" w:rsidRPr="6E4B5D9F">
        <w:rPr>
          <w:rFonts w:ascii="Verdana" w:hAnsi="Verdana"/>
          <w:lang w:val="pt-PT"/>
        </w:rPr>
        <w:t xml:space="preserve">Com este lançamento, a </w:t>
      </w:r>
      <w:r w:rsidR="43214227" w:rsidRPr="6E4B5D9F">
        <w:rPr>
          <w:rFonts w:ascii="Verdana" w:hAnsi="Verdana"/>
          <w:lang w:val="pt-PT"/>
        </w:rPr>
        <w:t xml:space="preserve">Navigator aposta no formato de rolo </w:t>
      </w:r>
      <w:r w:rsidR="00457C09">
        <w:rPr>
          <w:rFonts w:ascii="Verdana" w:hAnsi="Verdana"/>
          <w:lang w:val="pt-PT"/>
        </w:rPr>
        <w:t>unitário</w:t>
      </w:r>
      <w:r w:rsidR="43214227" w:rsidRPr="6E4B5D9F">
        <w:rPr>
          <w:rFonts w:ascii="Verdana" w:hAnsi="Verdana"/>
          <w:lang w:val="pt-PT"/>
        </w:rPr>
        <w:t xml:space="preserve">, com uma expressão relevante na categoria de papel de cozinha na Península Ibérica, reforçando o portefólio da marca Amoos neste segmento. </w:t>
      </w:r>
    </w:p>
    <w:p w14:paraId="6695C156" w14:textId="77777777" w:rsidR="00F21ECA" w:rsidRPr="003063D8" w:rsidRDefault="2D941E9A" w:rsidP="00F11E0D">
      <w:pPr>
        <w:spacing w:line="360" w:lineRule="auto"/>
        <w:jc w:val="both"/>
        <w:rPr>
          <w:rFonts w:ascii="Verdana" w:hAnsi="Verdana"/>
          <w:lang w:val="pt-PT"/>
        </w:rPr>
      </w:pPr>
      <w:r w:rsidRPr="003063D8">
        <w:rPr>
          <w:rFonts w:ascii="Verdana" w:hAnsi="Verdana"/>
          <w:lang w:val="pt-PT"/>
        </w:rPr>
        <w:t xml:space="preserve">O Amoos Boom surge como uma nova alternativa num dos segmentos mais relevantes da categoria, combinando um formato amplamente valorizado pelos consumidores com uma proposta diferenciadora assente na qualidade da matéria-prima, na consistência do desempenho e na competitividade da oferta. O produto resulta do conhecimento integrado da Navigator ao longo de toda a cadeia de valor, desde a gestão responsável da floresta e a produção de pasta até ao desenvolvimento e fabrico de soluções Tissue, um nível de integração vertical e de domínio da fibra que se destaca no contexto da indústria ibérica e europeia. </w:t>
      </w:r>
    </w:p>
    <w:p w14:paraId="7FAE08C4" w14:textId="271187DC" w:rsidR="00D37A02" w:rsidRPr="003063D8" w:rsidRDefault="2D941E9A" w:rsidP="00F11E0D">
      <w:pPr>
        <w:spacing w:line="360" w:lineRule="auto"/>
        <w:jc w:val="both"/>
        <w:rPr>
          <w:rFonts w:ascii="Verdana" w:hAnsi="Verdana"/>
          <w:lang w:val="pt-PT"/>
        </w:rPr>
      </w:pPr>
      <w:r w:rsidRPr="003063D8">
        <w:rPr>
          <w:rFonts w:ascii="Verdana" w:hAnsi="Verdana"/>
          <w:lang w:val="pt-PT"/>
        </w:rPr>
        <w:t xml:space="preserve">Este conhecimento assenta, em grande medida, na utilização de fibra de </w:t>
      </w:r>
      <w:r w:rsidRPr="00610D5A">
        <w:rPr>
          <w:rFonts w:ascii="Verdana" w:hAnsi="Verdana"/>
          <w:i/>
          <w:iCs/>
          <w:lang w:val="pt-PT"/>
        </w:rPr>
        <w:t>Eucalyptus globulus</w:t>
      </w:r>
      <w:r w:rsidRPr="003063D8">
        <w:rPr>
          <w:rFonts w:ascii="Verdana" w:hAnsi="Verdana"/>
          <w:lang w:val="pt-PT"/>
        </w:rPr>
        <w:t xml:space="preserve">, uma espécie de excelência para a produção de pasta e particularmente relevante para a Navigator, cujas características contribuem para o desenvolvimento de produtos com elevados padrões de qualidade, suavidade, absorção e desempenho. </w:t>
      </w:r>
    </w:p>
    <w:p w14:paraId="46C81F9E" w14:textId="5C76ADD8" w:rsidR="00D37A02" w:rsidRPr="00F11E0D" w:rsidRDefault="107FBC20" w:rsidP="00F11E0D">
      <w:pPr>
        <w:spacing w:line="360" w:lineRule="auto"/>
        <w:jc w:val="both"/>
        <w:rPr>
          <w:rFonts w:ascii="Verdana" w:hAnsi="Verdana"/>
          <w:lang w:val="pt-PT"/>
        </w:rPr>
      </w:pPr>
      <w:r w:rsidRPr="6E4B5D9F">
        <w:rPr>
          <w:rFonts w:ascii="Verdana" w:hAnsi="Verdana"/>
          <w:lang w:val="pt-PT"/>
        </w:rPr>
        <w:lastRenderedPageBreak/>
        <w:t>O lançamento do Amoos Boom reforça a aposta da Navigator no desenvolvimento de soluções orientadas para as necessidades dos consumidores e dos seus clientes</w:t>
      </w:r>
      <w:r w:rsidR="2F3BDE3D" w:rsidRPr="6E4B5D9F">
        <w:rPr>
          <w:rFonts w:ascii="Verdana" w:hAnsi="Verdana"/>
          <w:lang w:val="pt-PT"/>
        </w:rPr>
        <w:t xml:space="preserve"> e procura</w:t>
      </w:r>
      <w:r w:rsidRPr="6E4B5D9F">
        <w:rPr>
          <w:rFonts w:ascii="Verdana" w:hAnsi="Verdana"/>
          <w:lang w:val="pt-PT"/>
        </w:rPr>
        <w:t xml:space="preserve"> responder às diferentes utilizações do quotidiano, mantendo a qualidade </w:t>
      </w:r>
      <w:r w:rsidR="417D44C1" w:rsidRPr="6E4B5D9F">
        <w:rPr>
          <w:rFonts w:ascii="Verdana" w:hAnsi="Verdana"/>
          <w:lang w:val="pt-PT"/>
        </w:rPr>
        <w:t xml:space="preserve">e o desempenho </w:t>
      </w:r>
      <w:r w:rsidRPr="6E4B5D9F">
        <w:rPr>
          <w:rFonts w:ascii="Verdana" w:hAnsi="Verdana"/>
          <w:lang w:val="pt-PT"/>
        </w:rPr>
        <w:t xml:space="preserve">como elementos </w:t>
      </w:r>
      <w:r w:rsidR="417D44C1" w:rsidRPr="6E4B5D9F">
        <w:rPr>
          <w:rFonts w:ascii="Verdana" w:hAnsi="Verdana"/>
          <w:lang w:val="pt-PT"/>
        </w:rPr>
        <w:t xml:space="preserve">centrais </w:t>
      </w:r>
      <w:r w:rsidR="19C6B903" w:rsidRPr="6E4B5D9F">
        <w:rPr>
          <w:rFonts w:ascii="Verdana" w:hAnsi="Verdana"/>
          <w:lang w:val="pt-PT"/>
        </w:rPr>
        <w:t>d</w:t>
      </w:r>
      <w:r w:rsidR="417D44C1" w:rsidRPr="6E4B5D9F">
        <w:rPr>
          <w:rFonts w:ascii="Verdana" w:hAnsi="Verdana"/>
          <w:lang w:val="pt-PT"/>
        </w:rPr>
        <w:t>a proposta da</w:t>
      </w:r>
      <w:r w:rsidRPr="6E4B5D9F">
        <w:rPr>
          <w:rFonts w:ascii="Verdana" w:hAnsi="Verdana"/>
          <w:lang w:val="pt-PT"/>
        </w:rPr>
        <w:t xml:space="preserve"> marca. </w:t>
      </w:r>
    </w:p>
    <w:p w14:paraId="592C802C" w14:textId="0685959E" w:rsidR="005558A8" w:rsidRPr="00E449C8" w:rsidRDefault="005558A8" w:rsidP="00F11E0D">
      <w:pPr>
        <w:spacing w:line="360" w:lineRule="auto"/>
        <w:jc w:val="both"/>
        <w:rPr>
          <w:rFonts w:ascii="Verdana" w:hAnsi="Verdana"/>
          <w:lang w:val="pt-PT"/>
        </w:rPr>
      </w:pPr>
      <w:r w:rsidRPr="00E449C8">
        <w:rPr>
          <w:rFonts w:ascii="Verdana" w:hAnsi="Verdana"/>
          <w:lang w:val="pt-PT"/>
        </w:rPr>
        <w:t xml:space="preserve">Os produtos da marca Amoos têm vindo a ser reconhecidos de forma consistente pelo mercado e pelos consumidores. Em 2026, a marca conquistou, </w:t>
      </w:r>
      <w:r w:rsidR="00B852EA" w:rsidRPr="00E449C8">
        <w:rPr>
          <w:rFonts w:ascii="Verdana" w:hAnsi="Verdana"/>
          <w:lang w:val="pt-PT"/>
        </w:rPr>
        <w:t>pelo quinto ano</w:t>
      </w:r>
      <w:r w:rsidRPr="00E449C8">
        <w:rPr>
          <w:rFonts w:ascii="Verdana" w:hAnsi="Verdana"/>
          <w:lang w:val="pt-PT"/>
        </w:rPr>
        <w:t xml:space="preserve">, o Prémio Cinco Estrelas, com Amoos Super Absorvente, um papel multiusos com tecnologia exclusiva </w:t>
      </w:r>
      <w:proofErr w:type="spellStart"/>
      <w:r w:rsidRPr="00E449C8">
        <w:rPr>
          <w:rFonts w:ascii="Verdana" w:hAnsi="Verdana"/>
          <w:lang w:val="pt-PT"/>
        </w:rPr>
        <w:t>Absorb</w:t>
      </w:r>
      <w:proofErr w:type="spellEnd"/>
      <w:r w:rsidRPr="00E449C8">
        <w:rPr>
          <w:rFonts w:ascii="Verdana" w:hAnsi="Verdana"/>
          <w:lang w:val="pt-PT"/>
        </w:rPr>
        <w:t xml:space="preserve"> </w:t>
      </w:r>
      <w:proofErr w:type="spellStart"/>
      <w:r w:rsidRPr="00E449C8">
        <w:rPr>
          <w:rFonts w:ascii="Verdana" w:hAnsi="Verdana"/>
          <w:lang w:val="pt-PT"/>
        </w:rPr>
        <w:t>Tech</w:t>
      </w:r>
      <w:proofErr w:type="spellEnd"/>
      <w:r w:rsidRPr="00E449C8">
        <w:rPr>
          <w:rFonts w:ascii="Verdana" w:hAnsi="Verdana"/>
          <w:lang w:val="pt-PT"/>
        </w:rPr>
        <w:t xml:space="preserve">™. </w:t>
      </w:r>
      <w:r w:rsidR="007574CE" w:rsidRPr="00E449C8">
        <w:rPr>
          <w:rFonts w:ascii="Verdana" w:hAnsi="Verdana"/>
          <w:lang w:val="pt-PT"/>
        </w:rPr>
        <w:t>Foi também eleita</w:t>
      </w:r>
      <w:r w:rsidRPr="00E449C8">
        <w:rPr>
          <w:rFonts w:ascii="Verdana" w:hAnsi="Verdana"/>
          <w:lang w:val="pt-PT"/>
        </w:rPr>
        <w:t xml:space="preserve"> Produto do Ano, </w:t>
      </w:r>
      <w:r w:rsidR="0061594A" w:rsidRPr="00E449C8">
        <w:rPr>
          <w:rFonts w:ascii="Verdana" w:hAnsi="Verdana"/>
          <w:lang w:val="pt-PT"/>
        </w:rPr>
        <w:t xml:space="preserve">pelo segundo ano consecutivo, </w:t>
      </w:r>
      <w:r w:rsidRPr="00E449C8">
        <w:rPr>
          <w:rFonts w:ascii="Verdana" w:hAnsi="Verdana"/>
          <w:lang w:val="pt-PT"/>
        </w:rPr>
        <w:t xml:space="preserve">com Amoos Comfort, um papel higiénico que proporciona uma experiência única de suavidade graças às suas </w:t>
      </w:r>
      <w:r w:rsidR="0061594A" w:rsidRPr="00E449C8">
        <w:rPr>
          <w:rFonts w:ascii="Verdana" w:hAnsi="Verdana"/>
          <w:lang w:val="pt-PT"/>
        </w:rPr>
        <w:t xml:space="preserve">três </w:t>
      </w:r>
      <w:r w:rsidRPr="00E449C8">
        <w:rPr>
          <w:rFonts w:ascii="Verdana" w:hAnsi="Verdana"/>
          <w:lang w:val="pt-PT"/>
        </w:rPr>
        <w:t xml:space="preserve">folhas e à tecnologia Air Comfort Plus™, que cria um efeito almofadado e protetor. </w:t>
      </w:r>
      <w:r w:rsidR="004A4912" w:rsidRPr="00E449C8">
        <w:rPr>
          <w:rFonts w:ascii="Verdana" w:hAnsi="Verdana"/>
          <w:lang w:val="pt-PT"/>
        </w:rPr>
        <w:t>No mesmo período</w:t>
      </w:r>
      <w:r w:rsidRPr="00E449C8">
        <w:rPr>
          <w:rFonts w:ascii="Verdana" w:hAnsi="Verdana"/>
          <w:lang w:val="pt-PT"/>
        </w:rPr>
        <w:t xml:space="preserve">, </w:t>
      </w:r>
      <w:r w:rsidR="004A4912" w:rsidRPr="00E449C8">
        <w:rPr>
          <w:rFonts w:ascii="Verdana" w:hAnsi="Verdana"/>
          <w:lang w:val="pt-PT"/>
        </w:rPr>
        <w:t>manteve a distinção</w:t>
      </w:r>
      <w:r w:rsidRPr="00E449C8">
        <w:rPr>
          <w:rFonts w:ascii="Verdana" w:hAnsi="Verdana"/>
          <w:lang w:val="pt-PT"/>
        </w:rPr>
        <w:t xml:space="preserve"> Escolha do Consumidor na categoria de papel higiénico, reforçando a confiança e o seu posicionamento como uma das marcas mais valorizadas do setor.</w:t>
      </w:r>
    </w:p>
    <w:p w14:paraId="002C7336" w14:textId="77777777" w:rsidR="0076163E" w:rsidRDefault="0076163E" w:rsidP="00945C47">
      <w:pPr>
        <w:jc w:val="center"/>
        <w:rPr>
          <w:lang w:val="pt-PT"/>
        </w:rPr>
      </w:pPr>
    </w:p>
    <w:p w14:paraId="45772219" w14:textId="77777777" w:rsidR="0076163E" w:rsidRPr="00AF56AF" w:rsidRDefault="0076163E" w:rsidP="0076163E">
      <w:pPr>
        <w:spacing w:after="0" w:line="360" w:lineRule="auto"/>
        <w:jc w:val="both"/>
        <w:rPr>
          <w:rFonts w:ascii="Verdana" w:hAnsi="Verdana"/>
          <w:b/>
          <w:bCs/>
          <w:sz w:val="16"/>
          <w:szCs w:val="16"/>
          <w:lang w:val="pt-PT"/>
        </w:rPr>
      </w:pPr>
      <w:r w:rsidRPr="00AF56AF">
        <w:rPr>
          <w:rFonts w:ascii="Verdana" w:hAnsi="Verdana"/>
          <w:b/>
          <w:bCs/>
          <w:sz w:val="16"/>
          <w:szCs w:val="16"/>
          <w:lang w:val="pt-PT"/>
        </w:rPr>
        <w:t>Sobre a The Navigator Company</w:t>
      </w:r>
    </w:p>
    <w:p w14:paraId="0663E2BE"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A The Navigator Company é um produtor integrado de floresta, pasta, papel, </w:t>
      </w:r>
      <w:r w:rsidRPr="00AF56AF">
        <w:rPr>
          <w:rFonts w:ascii="Verdana" w:hAnsi="Verdana"/>
          <w:i/>
          <w:iCs/>
          <w:sz w:val="16"/>
          <w:szCs w:val="16"/>
          <w:lang w:val="pt-PT"/>
        </w:rPr>
        <w:t>tissue</w:t>
      </w:r>
      <w:r w:rsidRPr="00AF56AF">
        <w:rPr>
          <w:rFonts w:ascii="Verdana" w:hAnsi="Verdana"/>
          <w:sz w:val="16"/>
          <w:szCs w:val="16"/>
          <w:lang w:val="pt-PT"/>
        </w:rPr>
        <w:t xml:space="preserve">, soluções sustentáveis de </w:t>
      </w:r>
      <w:proofErr w:type="spellStart"/>
      <w:r w:rsidRPr="00AF56AF">
        <w:rPr>
          <w:rFonts w:ascii="Verdana" w:hAnsi="Verdana"/>
          <w:i/>
          <w:iCs/>
          <w:sz w:val="16"/>
          <w:szCs w:val="16"/>
          <w:lang w:val="pt-PT"/>
        </w:rPr>
        <w:t>packaging</w:t>
      </w:r>
      <w:proofErr w:type="spellEnd"/>
      <w:r w:rsidRPr="00AF56AF">
        <w:rPr>
          <w:rFonts w:ascii="Verdana" w:hAnsi="Verdana"/>
          <w:sz w:val="16"/>
          <w:szCs w:val="16"/>
          <w:lang w:val="pt-PT"/>
        </w:rPr>
        <w:t xml:space="preserve"> e bioenergia, cuja atividade se encontra alicerçada em fábricas de última geração à escala mundial, com tecnologia de ponta. É reconhecida como uma referência de qualidade no setor em todo o mundo.</w:t>
      </w:r>
    </w:p>
    <w:p w14:paraId="40FE3557" w14:textId="77777777" w:rsidR="0076163E" w:rsidRPr="00AF56AF" w:rsidRDefault="0076163E" w:rsidP="0076163E">
      <w:pPr>
        <w:spacing w:after="0" w:line="360" w:lineRule="auto"/>
        <w:ind w:right="-143"/>
        <w:jc w:val="both"/>
        <w:rPr>
          <w:rFonts w:ascii="Verdana" w:hAnsi="Verdana"/>
          <w:sz w:val="16"/>
          <w:szCs w:val="16"/>
          <w:lang w:val="pt-PT"/>
        </w:rPr>
      </w:pPr>
    </w:p>
    <w:p w14:paraId="73512BC9"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Inspirada pelas pessoas, a sua qualidade de vida e o futuro do planeta, a Empresa assume um compromisso com a criação de valor sustentável para os seus acionistas e para a sociedade como um todo, deixando às futuras gerações um planeta melhor, através de produtos e soluções sustentáveis naturais, recicláveis e  biodegradáveis, que contribuem para a fixação de carbono, para a produção de oxigénio, para a proteção da biodiversidade, para a formação de solo e para o combate às alterações climáticas.</w:t>
      </w:r>
    </w:p>
    <w:p w14:paraId="0C09AE6A" w14:textId="77777777" w:rsidR="0076163E" w:rsidRPr="00AF56AF" w:rsidRDefault="0076163E" w:rsidP="0076163E">
      <w:pPr>
        <w:spacing w:after="0" w:line="360" w:lineRule="auto"/>
        <w:ind w:right="-143"/>
        <w:jc w:val="both"/>
        <w:rPr>
          <w:rFonts w:ascii="Verdana" w:hAnsi="Verdana"/>
          <w:sz w:val="16"/>
          <w:szCs w:val="16"/>
          <w:lang w:val="pt-PT"/>
        </w:rPr>
      </w:pPr>
    </w:p>
    <w:p w14:paraId="6A74DDAA"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A aposta e investimento contínuos na melhoria do desempenho ESG reflete-se também na avaliação externa positiva feita por entidades independentes. A Navigator foi distinguida pela </w:t>
      </w:r>
      <w:proofErr w:type="spellStart"/>
      <w:r w:rsidRPr="00AF56AF">
        <w:rPr>
          <w:rFonts w:ascii="Verdana" w:hAnsi="Verdana"/>
          <w:sz w:val="16"/>
          <w:szCs w:val="16"/>
          <w:lang w:val="pt-PT"/>
        </w:rPr>
        <w:t>Sustainalytics</w:t>
      </w:r>
      <w:proofErr w:type="spellEnd"/>
      <w:r w:rsidRPr="00AF56AF">
        <w:rPr>
          <w:rFonts w:ascii="Verdana" w:hAnsi="Verdana"/>
          <w:sz w:val="16"/>
          <w:szCs w:val="16"/>
          <w:lang w:val="pt-PT"/>
        </w:rPr>
        <w:t xml:space="preserve"> como "2025 ESG </w:t>
      </w:r>
      <w:proofErr w:type="spellStart"/>
      <w:r w:rsidRPr="00AF56AF">
        <w:rPr>
          <w:rFonts w:ascii="Verdana" w:hAnsi="Verdana"/>
          <w:sz w:val="16"/>
          <w:szCs w:val="16"/>
          <w:lang w:val="pt-PT"/>
        </w:rPr>
        <w:t>Industry</w:t>
      </w:r>
      <w:proofErr w:type="spellEnd"/>
      <w:r w:rsidRPr="00AF56AF">
        <w:rPr>
          <w:rFonts w:ascii="Verdana" w:hAnsi="Verdana"/>
          <w:sz w:val="16"/>
          <w:szCs w:val="16"/>
          <w:lang w:val="pt-PT"/>
        </w:rPr>
        <w:t xml:space="preserve"> Top-</w:t>
      </w:r>
      <w:proofErr w:type="spellStart"/>
      <w:r w:rsidRPr="00AF56AF">
        <w:rPr>
          <w:rFonts w:ascii="Verdana" w:hAnsi="Verdana"/>
          <w:sz w:val="16"/>
          <w:szCs w:val="16"/>
          <w:lang w:val="pt-PT"/>
        </w:rPr>
        <w:t>Rated</w:t>
      </w:r>
      <w:proofErr w:type="spellEnd"/>
      <w:r w:rsidRPr="00AF56AF">
        <w:rPr>
          <w:rFonts w:ascii="Verdana" w:hAnsi="Verdana"/>
          <w:sz w:val="16"/>
          <w:szCs w:val="16"/>
          <w:lang w:val="pt-PT"/>
        </w:rPr>
        <w:t xml:space="preserve"> Company", reafirmando a sua liderança no setor florestal e do papel. Este reconhecimento posiciona a Empresa na prestigiada lista global das "2025 ESG Top-</w:t>
      </w:r>
      <w:proofErr w:type="spellStart"/>
      <w:r w:rsidRPr="00AF56AF">
        <w:rPr>
          <w:rFonts w:ascii="Verdana" w:hAnsi="Verdana"/>
          <w:sz w:val="16"/>
          <w:szCs w:val="16"/>
          <w:lang w:val="pt-PT"/>
        </w:rPr>
        <w:t>Rated</w:t>
      </w:r>
      <w:proofErr w:type="spellEnd"/>
      <w:r w:rsidRPr="00AF56AF">
        <w:rPr>
          <w:rFonts w:ascii="Verdana" w:hAnsi="Verdana"/>
          <w:sz w:val="16"/>
          <w:szCs w:val="16"/>
          <w:lang w:val="pt-PT"/>
        </w:rPr>
        <w:t xml:space="preserve"> </w:t>
      </w:r>
      <w:proofErr w:type="spellStart"/>
      <w:r w:rsidRPr="00AF56AF">
        <w:rPr>
          <w:rFonts w:ascii="Verdana" w:hAnsi="Verdana"/>
          <w:sz w:val="16"/>
          <w:szCs w:val="16"/>
          <w:lang w:val="pt-PT"/>
        </w:rPr>
        <w:t>Companies</w:t>
      </w:r>
      <w:proofErr w:type="spellEnd"/>
      <w:r w:rsidRPr="00AF56AF">
        <w:rPr>
          <w:rFonts w:ascii="Verdana" w:hAnsi="Verdana"/>
          <w:sz w:val="16"/>
          <w:szCs w:val="16"/>
          <w:lang w:val="pt-PT"/>
        </w:rPr>
        <w:t>", consolidando a sua posição como uma das companhias com melhores práticas ambientais, sociais e de governança (ESG) a nível mundial.</w:t>
      </w:r>
    </w:p>
    <w:p w14:paraId="783D535C" w14:textId="77777777" w:rsidR="0076163E" w:rsidRPr="00AF56AF" w:rsidRDefault="0076163E" w:rsidP="0076163E">
      <w:pPr>
        <w:spacing w:after="0" w:line="360" w:lineRule="auto"/>
        <w:ind w:right="-143"/>
        <w:jc w:val="both"/>
        <w:rPr>
          <w:rFonts w:ascii="Verdana" w:hAnsi="Verdana"/>
          <w:sz w:val="16"/>
          <w:szCs w:val="16"/>
          <w:lang w:val="pt-PT"/>
        </w:rPr>
      </w:pPr>
    </w:p>
    <w:p w14:paraId="6C0F5FED" w14:textId="05BB29C0"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A matéria-prima utilizada pela The Navigator Company tem por base florestas plantadas exclusivamente para este efeito. Todos os anos, os viveiros da Navigator têm capacidade para dar vida a mais de 12 milhões de árvores. Estes viveiros – dos maiores da Europa – produzem mais de 130 espécies diferentes de árvores </w:t>
      </w:r>
      <w:r w:rsidRPr="00AF56AF">
        <w:rPr>
          <w:rFonts w:ascii="Verdana" w:hAnsi="Verdana"/>
          <w:sz w:val="16"/>
          <w:szCs w:val="16"/>
          <w:lang w:val="pt-PT"/>
        </w:rPr>
        <w:lastRenderedPageBreak/>
        <w:t>e arbustos. Muitas destas, ainda que não tendo viabilidade económica, são financiadas pela Empresa, para conservação da biodiversidade e para garantir a continuidade das espécies.</w:t>
      </w:r>
    </w:p>
    <w:p w14:paraId="24E00760" w14:textId="77777777" w:rsidR="0076163E" w:rsidRPr="00AF56AF" w:rsidRDefault="0076163E" w:rsidP="0076163E">
      <w:pPr>
        <w:spacing w:after="0" w:line="360" w:lineRule="auto"/>
        <w:ind w:right="-143"/>
        <w:jc w:val="both"/>
        <w:rPr>
          <w:rFonts w:ascii="Verdana" w:hAnsi="Verdana"/>
          <w:sz w:val="16"/>
          <w:szCs w:val="16"/>
          <w:lang w:val="pt-PT"/>
        </w:rPr>
      </w:pPr>
    </w:p>
    <w:p w14:paraId="4187C684"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As florestas sob gestão da The Navigator Company em Portugal têm um stock de carbono, excluindo o carbono no solo, equivalente a 6,4 milhões de toneladas de CO</w:t>
      </w:r>
      <w:r w:rsidRPr="00AF56AF">
        <w:rPr>
          <w:rFonts w:ascii="Verdana" w:hAnsi="Verdana"/>
          <w:sz w:val="16"/>
          <w:szCs w:val="16"/>
          <w:vertAlign w:val="subscript"/>
          <w:lang w:val="pt-PT"/>
        </w:rPr>
        <w:t>2</w:t>
      </w:r>
      <w:r w:rsidRPr="00AF56AF">
        <w:rPr>
          <w:rFonts w:ascii="Verdana" w:hAnsi="Verdana"/>
          <w:sz w:val="16"/>
          <w:szCs w:val="16"/>
          <w:lang w:val="pt-PT"/>
        </w:rPr>
        <w:t>, valor que se mantém estável graças ao modelo de gestão sustentável seguido pela Empresa.</w:t>
      </w:r>
    </w:p>
    <w:p w14:paraId="10D78B3A" w14:textId="77777777" w:rsidR="0076163E" w:rsidRPr="00AF56AF" w:rsidRDefault="0076163E" w:rsidP="0076163E">
      <w:pPr>
        <w:spacing w:after="0" w:line="360" w:lineRule="auto"/>
        <w:ind w:right="-143"/>
        <w:jc w:val="both"/>
        <w:rPr>
          <w:rFonts w:ascii="Verdana" w:hAnsi="Verdana"/>
          <w:sz w:val="16"/>
          <w:szCs w:val="16"/>
          <w:lang w:val="pt-PT"/>
        </w:rPr>
      </w:pPr>
    </w:p>
    <w:p w14:paraId="3804D84F"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O Grupo desenvolve uma atividade florestal verticalmente integrada, com o seu próprio Instituto de Investigação da Floresta e Papel - RAIZ, e é responsável pela plantação de uma vasta área de floresta em Portugal continental (1,2% da área do país), 100% certificada pelos sistemas </w:t>
      </w:r>
      <w:r w:rsidRPr="00AF56AF">
        <w:rPr>
          <w:rFonts w:ascii="Verdana" w:hAnsi="Verdana"/>
          <w:i/>
          <w:iCs/>
          <w:sz w:val="16"/>
          <w:szCs w:val="16"/>
          <w:lang w:val="pt-PT"/>
        </w:rPr>
        <w:t>FSC</w:t>
      </w:r>
      <w:r w:rsidRPr="00AF56AF">
        <w:rPr>
          <w:rFonts w:ascii="Verdana" w:hAnsi="Verdana"/>
          <w:i/>
          <w:iCs/>
          <w:sz w:val="16"/>
          <w:szCs w:val="16"/>
          <w:vertAlign w:val="superscript"/>
          <w:lang w:val="pt-PT"/>
        </w:rPr>
        <w:t>®</w:t>
      </w:r>
      <w:r w:rsidRPr="000E215E">
        <w:rPr>
          <w:rStyle w:val="Refdenotaderodap"/>
          <w:rFonts w:ascii="Verdana" w:hAnsi="Verdana"/>
          <w:i/>
          <w:iCs/>
          <w:sz w:val="16"/>
          <w:szCs w:val="16"/>
        </w:rPr>
        <w:footnoteReference w:id="1"/>
      </w:r>
      <w:r w:rsidRPr="00AF56AF">
        <w:rPr>
          <w:rFonts w:ascii="Verdana" w:hAnsi="Verdana"/>
          <w:i/>
          <w:iCs/>
          <w:sz w:val="16"/>
          <w:szCs w:val="16"/>
          <w:lang w:val="pt-PT"/>
        </w:rPr>
        <w:t xml:space="preserve"> e PEFC</w:t>
      </w:r>
      <w:r w:rsidRPr="000E215E">
        <w:rPr>
          <w:rStyle w:val="Refdenotaderodap"/>
          <w:rFonts w:ascii="Verdana" w:hAnsi="Verdana"/>
          <w:i/>
          <w:iCs/>
          <w:sz w:val="16"/>
          <w:szCs w:val="16"/>
        </w:rPr>
        <w:footnoteReference w:id="2"/>
      </w:r>
      <w:r w:rsidRPr="00AF56AF">
        <w:rPr>
          <w:rFonts w:ascii="Verdana" w:hAnsi="Verdana"/>
          <w:i/>
          <w:iCs/>
          <w:sz w:val="16"/>
          <w:szCs w:val="16"/>
          <w:lang w:val="pt-PT"/>
        </w:rPr>
        <w:t>.</w:t>
      </w:r>
      <w:r w:rsidRPr="00AF56AF">
        <w:rPr>
          <w:rFonts w:ascii="Verdana" w:hAnsi="Verdana"/>
          <w:i/>
          <w:iCs/>
          <w:sz w:val="18"/>
          <w:szCs w:val="18"/>
          <w:lang w:val="pt-PT"/>
        </w:rPr>
        <w:t xml:space="preserve"> </w:t>
      </w:r>
      <w:r w:rsidRPr="00AF56AF">
        <w:rPr>
          <w:rFonts w:ascii="Verdana" w:hAnsi="Verdana"/>
          <w:sz w:val="16"/>
          <w:szCs w:val="16"/>
          <w:lang w:val="pt-PT"/>
        </w:rPr>
        <w:t xml:space="preserve">Dispõe de uma capacidade de produção anual de 1,6 milhões de toneladas de papel, 1,6 milhões de toneladas de pasta. No papel </w:t>
      </w:r>
      <w:r w:rsidRPr="00AF56AF">
        <w:rPr>
          <w:rFonts w:ascii="Verdana" w:hAnsi="Verdana"/>
          <w:i/>
          <w:iCs/>
          <w:sz w:val="16"/>
          <w:szCs w:val="16"/>
          <w:lang w:val="pt-PT"/>
        </w:rPr>
        <w:t>tissue</w:t>
      </w:r>
      <w:r w:rsidRPr="00AF56AF">
        <w:rPr>
          <w:rFonts w:ascii="Verdana" w:hAnsi="Verdana"/>
          <w:sz w:val="16"/>
          <w:szCs w:val="16"/>
          <w:lang w:val="pt-PT"/>
        </w:rPr>
        <w:t xml:space="preserve">, a Navigator apresenta uma capacidade anual de produção de 165 mil toneladas e capacidade anual de transformação de 310 mil toneladas. </w:t>
      </w:r>
    </w:p>
    <w:p w14:paraId="2CEB16EE" w14:textId="77777777" w:rsidR="0076163E" w:rsidRPr="00AF56AF" w:rsidRDefault="0076163E" w:rsidP="0076163E">
      <w:pPr>
        <w:spacing w:after="0" w:line="360" w:lineRule="auto"/>
        <w:ind w:right="-143"/>
        <w:jc w:val="both"/>
        <w:rPr>
          <w:rFonts w:ascii="Verdana" w:hAnsi="Verdana"/>
          <w:sz w:val="16"/>
          <w:szCs w:val="16"/>
          <w:lang w:val="pt-PT"/>
        </w:rPr>
      </w:pPr>
    </w:p>
    <w:p w14:paraId="51DB8632" w14:textId="77777777" w:rsidR="0076163E" w:rsidRPr="00AF56AF" w:rsidRDefault="0076163E" w:rsidP="0076163E">
      <w:pPr>
        <w:shd w:val="clear" w:color="auto" w:fill="FFFFFF" w:themeFill="background1"/>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Em 2025, 78% da produção de energia elétrica gerada pela Navigator teve origem em fontes renováveis. </w:t>
      </w:r>
      <w:r w:rsidRPr="00AF56AF">
        <w:rPr>
          <w:rFonts w:ascii="Verdana" w:hAnsi="Verdana"/>
          <w:sz w:val="16"/>
          <w:szCs w:val="16"/>
          <w:shd w:val="clear" w:color="auto" w:fill="FFFFFF" w:themeFill="background1"/>
          <w:lang w:val="pt-PT"/>
        </w:rPr>
        <w:t>A Empresa é responsável pela produção de 3% de energia elétrica em Portugal, incluindo 34% da eletricidade produzida no País a partir de biomassa.</w:t>
      </w:r>
      <w:r w:rsidRPr="00AF56AF">
        <w:rPr>
          <w:rFonts w:ascii="Verdana" w:hAnsi="Verdana"/>
          <w:sz w:val="16"/>
          <w:szCs w:val="16"/>
          <w:lang w:val="pt-PT"/>
        </w:rPr>
        <w:t xml:space="preserve"> As renováveis representaram também 80% da energia primária consumida na Empresa.</w:t>
      </w:r>
    </w:p>
    <w:p w14:paraId="6DB80EEB" w14:textId="77777777" w:rsidR="0076163E" w:rsidRPr="00AF56AF" w:rsidRDefault="0076163E" w:rsidP="0076163E">
      <w:pPr>
        <w:spacing w:after="0" w:line="360" w:lineRule="auto"/>
        <w:ind w:right="-143"/>
        <w:jc w:val="both"/>
        <w:rPr>
          <w:rFonts w:ascii="Verdana" w:hAnsi="Verdana"/>
          <w:sz w:val="16"/>
          <w:szCs w:val="16"/>
          <w:lang w:val="pt-PT"/>
        </w:rPr>
      </w:pPr>
    </w:p>
    <w:p w14:paraId="492136A5"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No âmbito do crescimento do Grupo, em 2023 a The Navigator Company concretizou a aquisição do negócio de </w:t>
      </w:r>
      <w:proofErr w:type="spellStart"/>
      <w:r w:rsidRPr="00AF56AF">
        <w:rPr>
          <w:rFonts w:ascii="Verdana" w:hAnsi="Verdana"/>
          <w:i/>
          <w:iCs/>
          <w:sz w:val="16"/>
          <w:szCs w:val="16"/>
          <w:lang w:val="pt-PT"/>
        </w:rPr>
        <w:t>Consumer</w:t>
      </w:r>
      <w:proofErr w:type="spellEnd"/>
      <w:r w:rsidRPr="00AF56AF">
        <w:rPr>
          <w:rFonts w:ascii="Verdana" w:hAnsi="Verdana"/>
          <w:i/>
          <w:iCs/>
          <w:sz w:val="16"/>
          <w:szCs w:val="16"/>
          <w:lang w:val="pt-PT"/>
        </w:rPr>
        <w:t xml:space="preserve"> Tissue</w:t>
      </w:r>
      <w:r w:rsidRPr="00AF56AF">
        <w:rPr>
          <w:rFonts w:ascii="Verdana" w:hAnsi="Verdana"/>
          <w:sz w:val="16"/>
          <w:szCs w:val="16"/>
          <w:lang w:val="pt-PT"/>
        </w:rPr>
        <w:t xml:space="preserve"> da espanhola </w:t>
      </w:r>
      <w:proofErr w:type="spellStart"/>
      <w:r w:rsidRPr="00AF56AF">
        <w:rPr>
          <w:rFonts w:ascii="Verdana" w:hAnsi="Verdana"/>
          <w:sz w:val="16"/>
          <w:szCs w:val="16"/>
          <w:lang w:val="pt-PT"/>
        </w:rPr>
        <w:t>Gomà</w:t>
      </w:r>
      <w:proofErr w:type="spellEnd"/>
      <w:r w:rsidRPr="00AF56AF">
        <w:rPr>
          <w:rFonts w:ascii="Verdana" w:hAnsi="Verdana"/>
          <w:sz w:val="16"/>
          <w:szCs w:val="16"/>
          <w:lang w:val="pt-PT"/>
        </w:rPr>
        <w:t xml:space="preserve">-Camps, reforçando a sua posição estratégica no mercado ibérico de </w:t>
      </w:r>
      <w:r w:rsidRPr="00AF56AF">
        <w:rPr>
          <w:rFonts w:ascii="Verdana" w:hAnsi="Verdana"/>
          <w:i/>
          <w:iCs/>
          <w:sz w:val="16"/>
          <w:szCs w:val="16"/>
          <w:lang w:val="pt-PT"/>
        </w:rPr>
        <w:t>tissue</w:t>
      </w:r>
      <w:r w:rsidRPr="00AF56AF">
        <w:rPr>
          <w:rFonts w:ascii="Verdana" w:hAnsi="Verdana"/>
          <w:sz w:val="16"/>
          <w:szCs w:val="16"/>
          <w:lang w:val="pt-PT"/>
        </w:rPr>
        <w:t xml:space="preserve">, tornando-se no 2º maior </w:t>
      </w:r>
      <w:proofErr w:type="spellStart"/>
      <w:r w:rsidRPr="00AF56AF">
        <w:rPr>
          <w:rFonts w:ascii="Verdana" w:hAnsi="Verdana"/>
          <w:sz w:val="16"/>
          <w:szCs w:val="16"/>
          <w:lang w:val="pt-PT"/>
        </w:rPr>
        <w:t>player</w:t>
      </w:r>
      <w:proofErr w:type="spellEnd"/>
      <w:r w:rsidRPr="00AF56AF">
        <w:rPr>
          <w:rFonts w:ascii="Verdana" w:hAnsi="Verdana"/>
          <w:sz w:val="16"/>
          <w:szCs w:val="16"/>
          <w:lang w:val="pt-PT"/>
        </w:rPr>
        <w:t xml:space="preserve"> do segmento. </w:t>
      </w:r>
    </w:p>
    <w:p w14:paraId="1A3A39BA" w14:textId="77777777" w:rsidR="0076163E" w:rsidRPr="00AF56AF" w:rsidRDefault="0076163E" w:rsidP="0076163E">
      <w:pPr>
        <w:spacing w:after="0" w:line="360" w:lineRule="auto"/>
        <w:ind w:right="-143"/>
        <w:jc w:val="both"/>
        <w:rPr>
          <w:rFonts w:ascii="Verdana" w:hAnsi="Verdana"/>
          <w:sz w:val="16"/>
          <w:szCs w:val="16"/>
          <w:lang w:val="pt-PT"/>
        </w:rPr>
      </w:pPr>
    </w:p>
    <w:p w14:paraId="46C5499F"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A expansão desta área de negócio continuou em 2024, com a aquisição da </w:t>
      </w:r>
      <w:proofErr w:type="spellStart"/>
      <w:r w:rsidRPr="00AF56AF">
        <w:rPr>
          <w:rFonts w:ascii="Verdana" w:hAnsi="Verdana"/>
          <w:sz w:val="16"/>
          <w:szCs w:val="16"/>
          <w:lang w:val="pt-PT"/>
        </w:rPr>
        <w:t>Accrol</w:t>
      </w:r>
      <w:proofErr w:type="spellEnd"/>
      <w:r w:rsidRPr="00AF56AF">
        <w:rPr>
          <w:rFonts w:ascii="Verdana" w:hAnsi="Verdana"/>
          <w:sz w:val="16"/>
          <w:szCs w:val="16"/>
          <w:lang w:val="pt-PT"/>
        </w:rPr>
        <w:t xml:space="preserve"> </w:t>
      </w:r>
      <w:proofErr w:type="spellStart"/>
      <w:r w:rsidRPr="00AF56AF">
        <w:rPr>
          <w:rFonts w:ascii="Verdana" w:hAnsi="Verdana"/>
          <w:sz w:val="16"/>
          <w:szCs w:val="16"/>
          <w:lang w:val="pt-PT"/>
        </w:rPr>
        <w:t>Group</w:t>
      </w:r>
      <w:proofErr w:type="spellEnd"/>
      <w:r w:rsidRPr="00AF56AF">
        <w:rPr>
          <w:rFonts w:ascii="Verdana" w:hAnsi="Verdana"/>
          <w:sz w:val="16"/>
          <w:szCs w:val="16"/>
          <w:lang w:val="pt-PT"/>
        </w:rPr>
        <w:t xml:space="preserve"> Holdings </w:t>
      </w:r>
      <w:proofErr w:type="spellStart"/>
      <w:r w:rsidRPr="00AF56AF">
        <w:rPr>
          <w:rFonts w:ascii="Verdana" w:hAnsi="Verdana"/>
          <w:sz w:val="16"/>
          <w:szCs w:val="16"/>
          <w:lang w:val="pt-PT"/>
        </w:rPr>
        <w:t>plc</w:t>
      </w:r>
      <w:proofErr w:type="spellEnd"/>
      <w:r w:rsidRPr="00AF56AF">
        <w:rPr>
          <w:rFonts w:ascii="Verdana" w:hAnsi="Verdana"/>
          <w:sz w:val="16"/>
          <w:szCs w:val="16"/>
          <w:lang w:val="pt-PT"/>
        </w:rPr>
        <w:t xml:space="preserve">, um dos principais fabricantes de </w:t>
      </w:r>
      <w:r w:rsidRPr="00AF56AF">
        <w:rPr>
          <w:rFonts w:ascii="Verdana" w:hAnsi="Verdana"/>
          <w:i/>
          <w:iCs/>
          <w:sz w:val="16"/>
          <w:szCs w:val="16"/>
          <w:lang w:val="pt-PT"/>
        </w:rPr>
        <w:t>tissue</w:t>
      </w:r>
      <w:r w:rsidRPr="00AF56AF">
        <w:rPr>
          <w:rFonts w:ascii="Verdana" w:hAnsi="Verdana"/>
          <w:sz w:val="16"/>
          <w:szCs w:val="16"/>
          <w:lang w:val="pt-PT"/>
        </w:rPr>
        <w:t xml:space="preserve"> no Reino Unido, que fortalece a posição da Navigator na Europa Ocidental.</w:t>
      </w:r>
    </w:p>
    <w:p w14:paraId="19A62351" w14:textId="77777777" w:rsidR="0076163E" w:rsidRPr="00AF56AF" w:rsidRDefault="0076163E" w:rsidP="0076163E">
      <w:pPr>
        <w:spacing w:after="0" w:line="360" w:lineRule="auto"/>
        <w:ind w:right="-143"/>
        <w:jc w:val="both"/>
        <w:rPr>
          <w:rFonts w:ascii="Verdana" w:hAnsi="Verdana"/>
          <w:sz w:val="16"/>
          <w:szCs w:val="16"/>
          <w:lang w:val="pt-PT"/>
        </w:rPr>
      </w:pPr>
    </w:p>
    <w:p w14:paraId="15A5AA01"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Noutra frente do seu crescimento, a The Navigator Company lançou, no final de 2021, uma nova linha de produtos de </w:t>
      </w:r>
      <w:proofErr w:type="spellStart"/>
      <w:r w:rsidRPr="00AF56AF">
        <w:rPr>
          <w:rFonts w:ascii="Verdana" w:hAnsi="Verdana"/>
          <w:i/>
          <w:iCs/>
          <w:sz w:val="16"/>
          <w:szCs w:val="16"/>
          <w:lang w:val="pt-PT"/>
        </w:rPr>
        <w:t>packaging</w:t>
      </w:r>
      <w:proofErr w:type="spellEnd"/>
      <w:r w:rsidRPr="00AF56AF">
        <w:rPr>
          <w:rFonts w:ascii="Verdana" w:hAnsi="Verdana"/>
          <w:sz w:val="16"/>
          <w:szCs w:val="16"/>
          <w:lang w:val="pt-PT"/>
        </w:rPr>
        <w:t xml:space="preserve">, através da marca </w:t>
      </w:r>
      <w:proofErr w:type="spellStart"/>
      <w:r w:rsidRPr="00AF56AF">
        <w:rPr>
          <w:rFonts w:ascii="Verdana" w:hAnsi="Verdana"/>
          <w:sz w:val="16"/>
          <w:szCs w:val="16"/>
          <w:lang w:val="pt-PT"/>
        </w:rPr>
        <w:t>gKRAFT</w:t>
      </w:r>
      <w:proofErr w:type="spellEnd"/>
      <w:r w:rsidRPr="00AF56AF">
        <w:rPr>
          <w:rFonts w:ascii="Verdana" w:hAnsi="Verdana"/>
          <w:sz w:val="16"/>
          <w:szCs w:val="16"/>
          <w:lang w:val="pt-PT"/>
        </w:rPr>
        <w:t xml:space="preserve">™, com o objetivo de contribuir para acelerar a transição </w:t>
      </w:r>
    </w:p>
    <w:p w14:paraId="0F779819" w14:textId="77777777" w:rsidR="0076163E" w:rsidRPr="00AF56AF" w:rsidRDefault="0076163E" w:rsidP="0076163E">
      <w:pPr>
        <w:spacing w:after="0" w:line="360" w:lineRule="auto"/>
        <w:ind w:right="-143"/>
        <w:jc w:val="both"/>
        <w:rPr>
          <w:rFonts w:ascii="Verdana" w:hAnsi="Verdana"/>
          <w:sz w:val="16"/>
          <w:szCs w:val="16"/>
          <w:lang w:val="pt-PT"/>
        </w:rPr>
      </w:pPr>
    </w:p>
    <w:p w14:paraId="7A129F3E"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do uso do plástico para a utilização de fibras naturais, sustentáveis, recicláveis e biodegradáveis, assumindo assim, e uma vez mais, o seu compromisso com a sustentabilidade e com a preservação do ambiente.</w:t>
      </w:r>
    </w:p>
    <w:p w14:paraId="3773F526" w14:textId="77777777" w:rsidR="0076163E" w:rsidRPr="00AF56AF" w:rsidRDefault="0076163E" w:rsidP="0076163E">
      <w:pPr>
        <w:spacing w:after="0" w:line="360" w:lineRule="auto"/>
        <w:ind w:right="-143"/>
        <w:jc w:val="both"/>
        <w:rPr>
          <w:rFonts w:ascii="Verdana" w:hAnsi="Verdana"/>
          <w:sz w:val="16"/>
          <w:szCs w:val="16"/>
          <w:lang w:val="pt-PT"/>
        </w:rPr>
      </w:pPr>
    </w:p>
    <w:p w14:paraId="769094BC"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No mesmo sentido, inaugurou no segundo semestre de 2024 a primeira linha de produção integrada de peças de celulose moldada de eucalipto, que será lançada sob a marca </w:t>
      </w:r>
      <w:proofErr w:type="spellStart"/>
      <w:r w:rsidRPr="00AF56AF">
        <w:rPr>
          <w:rFonts w:ascii="Verdana" w:hAnsi="Verdana"/>
          <w:sz w:val="16"/>
          <w:szCs w:val="16"/>
          <w:lang w:val="pt-PT"/>
        </w:rPr>
        <w:t>gKRAFT</w:t>
      </w:r>
      <w:proofErr w:type="spellEnd"/>
      <w:r w:rsidRPr="00AF56AF">
        <w:rPr>
          <w:rFonts w:ascii="Verdana" w:hAnsi="Verdana"/>
          <w:sz w:val="16"/>
          <w:szCs w:val="16"/>
          <w:lang w:val="pt-PT"/>
        </w:rPr>
        <w:t xml:space="preserve">™ </w:t>
      </w:r>
      <w:proofErr w:type="spellStart"/>
      <w:r w:rsidRPr="00AF56AF">
        <w:rPr>
          <w:rFonts w:ascii="Verdana" w:hAnsi="Verdana"/>
          <w:sz w:val="16"/>
          <w:szCs w:val="16"/>
          <w:lang w:val="pt-PT"/>
        </w:rPr>
        <w:t>Bioshield</w:t>
      </w:r>
      <w:proofErr w:type="spellEnd"/>
      <w:r w:rsidRPr="00AF56AF">
        <w:rPr>
          <w:rFonts w:ascii="Verdana" w:hAnsi="Verdana"/>
          <w:sz w:val="16"/>
          <w:szCs w:val="16"/>
          <w:lang w:val="pt-PT"/>
        </w:rPr>
        <w:t>. Com uma capacidade de produção de cerca de 100 milhões de unidades por ano, esta fábrica tornou-se na maior do Sul da Europa e uma das maiores unidades integradas de todo o continente europeu.</w:t>
      </w:r>
    </w:p>
    <w:p w14:paraId="23A6D9A6" w14:textId="77777777" w:rsidR="0076163E" w:rsidRPr="00AF56AF" w:rsidRDefault="0076163E" w:rsidP="0076163E">
      <w:pPr>
        <w:spacing w:after="0" w:line="360" w:lineRule="auto"/>
        <w:ind w:right="-143"/>
        <w:jc w:val="both"/>
        <w:rPr>
          <w:rFonts w:ascii="Verdana" w:hAnsi="Verdana"/>
          <w:sz w:val="16"/>
          <w:szCs w:val="16"/>
          <w:lang w:val="pt-PT"/>
        </w:rPr>
      </w:pPr>
    </w:p>
    <w:p w14:paraId="52F877C4"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A Empresa é a terceira maior exportadora em Portugal e a maior geradora de Valor Acrescentado Nacional, representando cerca de 2,5% das exportações nacionais de bens, e mais de 30 mil empregos diretos, indiretos e induzidos. Em 2025, a The Navigator Company teve um volume de negócios de € 1.970 milhões. Mais de 90% dos seus produtos são vendidos para fora de Portugal e têm por destino 117 países.</w:t>
      </w:r>
    </w:p>
    <w:p w14:paraId="21177877" w14:textId="77777777" w:rsidR="0076163E" w:rsidRPr="00AF56AF" w:rsidRDefault="0076163E" w:rsidP="0076163E">
      <w:pPr>
        <w:spacing w:after="0" w:line="360" w:lineRule="auto"/>
        <w:ind w:right="-143"/>
        <w:jc w:val="both"/>
        <w:rPr>
          <w:rFonts w:ascii="Verdana" w:hAnsi="Verdana"/>
          <w:sz w:val="16"/>
          <w:szCs w:val="16"/>
          <w:lang w:val="pt-PT"/>
        </w:rPr>
      </w:pPr>
    </w:p>
    <w:p w14:paraId="1C75340A"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A Navigator foi a primeira empresa portuguesa, e uma das primeiras a nível mundial, a definir o ambicioso compromisso de descarbonização dos seus complexos industriais até 2035, antecipando em 15 anos as </w:t>
      </w:r>
      <w:r w:rsidRPr="00AF56AF">
        <w:rPr>
          <w:rFonts w:ascii="Verdana" w:hAnsi="Verdana"/>
          <w:sz w:val="16"/>
          <w:szCs w:val="16"/>
          <w:lang w:val="pt-PT"/>
        </w:rPr>
        <w:lastRenderedPageBreak/>
        <w:t xml:space="preserve">metas nacionais e europeias. Estima-se que a execução de todas as iniciativas do Roteiro de Descarbonização represente um investimento superior a 350 milhões de euros, no período entre 2019 e 2028. </w:t>
      </w:r>
    </w:p>
    <w:p w14:paraId="575A300F" w14:textId="77777777" w:rsidR="0076163E" w:rsidRPr="00AF56AF" w:rsidRDefault="0076163E" w:rsidP="0076163E">
      <w:pPr>
        <w:spacing w:after="0" w:line="360" w:lineRule="auto"/>
        <w:ind w:right="-143"/>
        <w:jc w:val="both"/>
        <w:rPr>
          <w:rFonts w:ascii="Verdana" w:hAnsi="Verdana"/>
          <w:sz w:val="16"/>
          <w:szCs w:val="16"/>
          <w:lang w:val="pt-PT"/>
        </w:rPr>
      </w:pPr>
    </w:p>
    <w:p w14:paraId="39F293C7" w14:textId="77777777" w:rsidR="0076163E" w:rsidRPr="00E464C3"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Em 2023, fruto dos investimentos realizados, a Navigator decidiu antecipar em três anos as suas metas intermédias de emissões, pelo que irá alcançar, já em 2026, os objetivos inicialmente previstos para 2029. Em 2026 as emissões diretas de CO2 fóssil serão cerca de 60% inferiores às de 2018, o ano de referência. </w:t>
      </w:r>
      <w:r w:rsidRPr="00E464C3">
        <w:rPr>
          <w:rFonts w:ascii="Verdana" w:hAnsi="Verdana"/>
          <w:sz w:val="16"/>
          <w:szCs w:val="16"/>
          <w:lang w:val="pt-PT"/>
        </w:rPr>
        <w:t xml:space="preserve">Em 2024, essa redução era já de 41%. </w:t>
      </w:r>
    </w:p>
    <w:p w14:paraId="2A1C1B73" w14:textId="77777777" w:rsidR="0076163E" w:rsidRPr="00E464C3" w:rsidRDefault="0076163E" w:rsidP="0076163E">
      <w:pPr>
        <w:spacing w:after="0" w:line="360" w:lineRule="auto"/>
        <w:ind w:right="-143"/>
        <w:jc w:val="both"/>
        <w:rPr>
          <w:rFonts w:ascii="Verdana" w:hAnsi="Verdana"/>
          <w:sz w:val="16"/>
          <w:szCs w:val="16"/>
          <w:lang w:val="pt-PT"/>
        </w:rPr>
      </w:pPr>
    </w:p>
    <w:p w14:paraId="1355E2AC"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Este compromisso reflete a estratégia de gestão responsável do negócio que, em 2024, foi distinguida com a classificação “A” no CDP </w:t>
      </w:r>
      <w:proofErr w:type="spellStart"/>
      <w:r w:rsidRPr="00AF56AF">
        <w:rPr>
          <w:rFonts w:ascii="Verdana" w:hAnsi="Verdana"/>
          <w:sz w:val="16"/>
          <w:szCs w:val="16"/>
          <w:lang w:val="pt-PT"/>
        </w:rPr>
        <w:t>Climate</w:t>
      </w:r>
      <w:proofErr w:type="spellEnd"/>
      <w:r w:rsidRPr="00AF56AF">
        <w:rPr>
          <w:rFonts w:ascii="Verdana" w:hAnsi="Verdana"/>
          <w:sz w:val="16"/>
          <w:szCs w:val="16"/>
          <w:lang w:val="pt-PT"/>
        </w:rPr>
        <w:t xml:space="preserve"> </w:t>
      </w:r>
      <w:proofErr w:type="spellStart"/>
      <w:r w:rsidRPr="00AF56AF">
        <w:rPr>
          <w:rFonts w:ascii="Verdana" w:hAnsi="Verdana"/>
          <w:sz w:val="16"/>
          <w:szCs w:val="16"/>
          <w:lang w:val="pt-PT"/>
        </w:rPr>
        <w:t>Change</w:t>
      </w:r>
      <w:proofErr w:type="spellEnd"/>
      <w:r w:rsidRPr="00AF56AF">
        <w:rPr>
          <w:rFonts w:ascii="Verdana" w:hAnsi="Verdana"/>
          <w:sz w:val="16"/>
          <w:szCs w:val="16"/>
          <w:lang w:val="pt-PT"/>
        </w:rPr>
        <w:t xml:space="preserve"> e “A“ no CDP </w:t>
      </w:r>
      <w:proofErr w:type="spellStart"/>
      <w:r w:rsidRPr="00AF56AF">
        <w:rPr>
          <w:rFonts w:ascii="Verdana" w:hAnsi="Verdana"/>
          <w:sz w:val="16"/>
          <w:szCs w:val="16"/>
          <w:lang w:val="pt-PT"/>
        </w:rPr>
        <w:t>Forests</w:t>
      </w:r>
      <w:proofErr w:type="spellEnd"/>
      <w:r w:rsidRPr="00AF56AF">
        <w:rPr>
          <w:rFonts w:ascii="Verdana" w:hAnsi="Verdana"/>
          <w:sz w:val="16"/>
          <w:szCs w:val="16"/>
          <w:lang w:val="pt-PT"/>
        </w:rPr>
        <w:t xml:space="preserve">, reconhecendo, respetivamente, a liderança da Empresa no combate às alterações climáticas e na gestão florestal. </w:t>
      </w:r>
    </w:p>
    <w:p w14:paraId="60E5966E" w14:textId="77777777" w:rsidR="0076163E" w:rsidRPr="00AF56AF" w:rsidRDefault="0076163E" w:rsidP="0076163E">
      <w:pPr>
        <w:spacing w:after="0" w:line="360" w:lineRule="auto"/>
        <w:ind w:right="-143"/>
        <w:jc w:val="both"/>
        <w:rPr>
          <w:rFonts w:ascii="Verdana" w:hAnsi="Verdana"/>
          <w:sz w:val="16"/>
          <w:szCs w:val="16"/>
          <w:lang w:val="pt-PT"/>
        </w:rPr>
      </w:pPr>
    </w:p>
    <w:p w14:paraId="62C8F1C5"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No final de 2022, a The Navigator Company recebeu a aprovação das suas metas de redução das emissões de gases com efeito de estufa por parte da </w:t>
      </w:r>
      <w:proofErr w:type="spellStart"/>
      <w:r w:rsidRPr="00AF56AF">
        <w:rPr>
          <w:rFonts w:ascii="Verdana" w:hAnsi="Verdana"/>
          <w:sz w:val="16"/>
          <w:szCs w:val="16"/>
          <w:lang w:val="pt-PT"/>
        </w:rPr>
        <w:t>Science</w:t>
      </w:r>
      <w:proofErr w:type="spellEnd"/>
      <w:r w:rsidRPr="00AF56AF">
        <w:rPr>
          <w:rFonts w:ascii="Verdana" w:hAnsi="Verdana"/>
          <w:sz w:val="16"/>
          <w:szCs w:val="16"/>
          <w:lang w:val="pt-PT"/>
        </w:rPr>
        <w:t xml:space="preserve"> </w:t>
      </w:r>
      <w:proofErr w:type="spellStart"/>
      <w:r w:rsidRPr="00AF56AF">
        <w:rPr>
          <w:rFonts w:ascii="Verdana" w:hAnsi="Verdana"/>
          <w:sz w:val="16"/>
          <w:szCs w:val="16"/>
          <w:lang w:val="pt-PT"/>
        </w:rPr>
        <w:t>Based</w:t>
      </w:r>
      <w:proofErr w:type="spellEnd"/>
      <w:r w:rsidRPr="00AF56AF">
        <w:rPr>
          <w:rFonts w:ascii="Verdana" w:hAnsi="Verdana"/>
          <w:sz w:val="16"/>
          <w:szCs w:val="16"/>
          <w:lang w:val="pt-PT"/>
        </w:rPr>
        <w:t xml:space="preserve"> Targets </w:t>
      </w:r>
      <w:proofErr w:type="spellStart"/>
      <w:r w:rsidRPr="00AF56AF">
        <w:rPr>
          <w:rFonts w:ascii="Verdana" w:hAnsi="Verdana"/>
          <w:sz w:val="16"/>
          <w:szCs w:val="16"/>
          <w:lang w:val="pt-PT"/>
        </w:rPr>
        <w:t>initiative</w:t>
      </w:r>
      <w:proofErr w:type="spellEnd"/>
      <w:r w:rsidRPr="00AF56AF">
        <w:rPr>
          <w:rFonts w:ascii="Verdana" w:hAnsi="Verdana"/>
          <w:sz w:val="16"/>
          <w:szCs w:val="16"/>
          <w:lang w:val="pt-PT"/>
        </w:rPr>
        <w:t xml:space="preserve"> (</w:t>
      </w:r>
      <w:proofErr w:type="spellStart"/>
      <w:r w:rsidRPr="00AF56AF">
        <w:rPr>
          <w:rFonts w:ascii="Verdana" w:hAnsi="Verdana"/>
          <w:sz w:val="16"/>
          <w:szCs w:val="16"/>
          <w:lang w:val="pt-PT"/>
        </w:rPr>
        <w:t>SBTi</w:t>
      </w:r>
      <w:proofErr w:type="spellEnd"/>
      <w:r w:rsidRPr="00AF56AF">
        <w:rPr>
          <w:rFonts w:ascii="Verdana" w:hAnsi="Verdana"/>
          <w:sz w:val="16"/>
          <w:szCs w:val="16"/>
          <w:lang w:val="pt-PT"/>
        </w:rPr>
        <w:t xml:space="preserve">), afirmando a sua liderança em sustentabilidade e a sua ambição na procura de soluções para o desafio climático, em linha com a ciência. </w:t>
      </w:r>
    </w:p>
    <w:p w14:paraId="51EFFD6A" w14:textId="77777777" w:rsidR="0076163E" w:rsidRPr="00AF56AF" w:rsidRDefault="0076163E" w:rsidP="0076163E">
      <w:pPr>
        <w:spacing w:after="0" w:line="360" w:lineRule="auto"/>
        <w:ind w:right="-143"/>
        <w:jc w:val="both"/>
        <w:rPr>
          <w:rFonts w:ascii="Verdana" w:hAnsi="Verdana"/>
          <w:sz w:val="16"/>
          <w:szCs w:val="16"/>
          <w:lang w:val="pt-PT"/>
        </w:rPr>
      </w:pPr>
    </w:p>
    <w:p w14:paraId="7ED9A618" w14:textId="77777777" w:rsidR="0076163E" w:rsidRPr="00AF56AF" w:rsidRDefault="0076163E" w:rsidP="0076163E">
      <w:pPr>
        <w:spacing w:line="360" w:lineRule="auto"/>
        <w:jc w:val="both"/>
        <w:rPr>
          <w:rFonts w:ascii="Verdana" w:hAnsi="Verdana"/>
          <w:sz w:val="18"/>
          <w:szCs w:val="18"/>
          <w:lang w:val="pt-PT"/>
        </w:rPr>
      </w:pPr>
      <w:r w:rsidRPr="00AF56AF">
        <w:rPr>
          <w:rFonts w:ascii="Verdana" w:hAnsi="Verdana"/>
          <w:sz w:val="16"/>
          <w:szCs w:val="16"/>
          <w:lang w:val="pt-PT"/>
        </w:rPr>
        <w:t>Foi também reconhecida com a classificação “A” pelo MSCI ESG Ratings, que visa medir a resiliência de uma empresa aos riscos ESG de longo prazo.</w:t>
      </w:r>
    </w:p>
    <w:p w14:paraId="7EC5D7B5" w14:textId="77777777" w:rsidR="0076163E" w:rsidRPr="00833D3E" w:rsidRDefault="0076163E" w:rsidP="0076163E">
      <w:pPr>
        <w:pStyle w:val="Textosimples"/>
        <w:spacing w:line="360" w:lineRule="auto"/>
        <w:ind w:right="-143"/>
        <w:jc w:val="right"/>
        <w:rPr>
          <w:rFonts w:ascii="Verdana" w:eastAsia="Times New Roman" w:hAnsi="Verdana"/>
          <w:b/>
          <w:sz w:val="16"/>
          <w:szCs w:val="16"/>
          <w:lang w:val="pt-PT"/>
        </w:rPr>
      </w:pPr>
      <w:hyperlink r:id="rId8" w:history="1">
        <w:r w:rsidRPr="003D7D43">
          <w:rPr>
            <w:rStyle w:val="Hiperligao"/>
            <w:rFonts w:ascii="Verdana" w:hAnsi="Verdana"/>
            <w:b/>
            <w:bCs/>
            <w:sz w:val="16"/>
            <w:szCs w:val="16"/>
          </w:rPr>
          <w:t>www.thenavigatorcompany.com</w:t>
        </w:r>
      </w:hyperlink>
      <w:r w:rsidRPr="00833D3E">
        <w:rPr>
          <w:rFonts w:ascii="Verdana" w:eastAsia="Times New Roman" w:hAnsi="Verdana"/>
          <w:b/>
          <w:sz w:val="16"/>
          <w:szCs w:val="16"/>
          <w:lang w:val="pt-PT"/>
        </w:rPr>
        <w:t xml:space="preserve">  </w:t>
      </w:r>
    </w:p>
    <w:p w14:paraId="06F137AA" w14:textId="77777777" w:rsidR="0076163E" w:rsidRPr="00AF56AF" w:rsidRDefault="0076163E" w:rsidP="0076163E">
      <w:pPr>
        <w:autoSpaceDE w:val="0"/>
        <w:autoSpaceDN w:val="0"/>
        <w:adjustRightInd w:val="0"/>
        <w:spacing w:after="0" w:line="360" w:lineRule="auto"/>
        <w:ind w:right="-143"/>
        <w:rPr>
          <w:rFonts w:ascii="Verdana" w:hAnsi="Verdana" w:cs="PreloNavigator-Book"/>
          <w:b/>
          <w:sz w:val="20"/>
          <w:szCs w:val="20"/>
          <w:lang w:val="pt-PT"/>
        </w:rPr>
      </w:pPr>
    </w:p>
    <w:p w14:paraId="6EF12070" w14:textId="77777777" w:rsidR="0076163E" w:rsidRPr="00AF56AF" w:rsidRDefault="0076163E" w:rsidP="0076163E">
      <w:pPr>
        <w:autoSpaceDE w:val="0"/>
        <w:autoSpaceDN w:val="0"/>
        <w:adjustRightInd w:val="0"/>
        <w:spacing w:after="0" w:line="360" w:lineRule="auto"/>
        <w:ind w:right="-143"/>
        <w:rPr>
          <w:rFonts w:ascii="Verdana" w:hAnsi="Verdana" w:cs="PreloNavigator-Book"/>
          <w:b/>
          <w:sz w:val="20"/>
          <w:szCs w:val="20"/>
          <w:lang w:val="pt-PT"/>
        </w:rPr>
      </w:pPr>
    </w:p>
    <w:p w14:paraId="337664EB" w14:textId="77777777" w:rsidR="0076163E" w:rsidRPr="00AF56AF" w:rsidRDefault="0076163E" w:rsidP="0076163E">
      <w:pPr>
        <w:autoSpaceDE w:val="0"/>
        <w:autoSpaceDN w:val="0"/>
        <w:adjustRightInd w:val="0"/>
        <w:spacing w:after="0" w:line="360" w:lineRule="auto"/>
        <w:ind w:right="-143"/>
        <w:rPr>
          <w:rFonts w:ascii="Verdana" w:hAnsi="Verdana" w:cs="PreloNavigator-Book"/>
          <w:b/>
          <w:sz w:val="20"/>
          <w:szCs w:val="20"/>
          <w:lang w:val="pt-PT"/>
        </w:rPr>
      </w:pPr>
      <w:r w:rsidRPr="00AF56AF">
        <w:rPr>
          <w:rFonts w:ascii="Verdana" w:hAnsi="Verdana" w:cs="PreloNavigator-Book"/>
          <w:b/>
          <w:sz w:val="20"/>
          <w:szCs w:val="20"/>
          <w:lang w:val="pt-PT"/>
        </w:rPr>
        <w:t xml:space="preserve">Para mais informações contactar, por favor: </w:t>
      </w:r>
    </w:p>
    <w:p w14:paraId="600A6B81" w14:textId="77777777" w:rsidR="0076163E" w:rsidRPr="00AF56AF" w:rsidRDefault="0076163E" w:rsidP="0076163E">
      <w:pPr>
        <w:autoSpaceDE w:val="0"/>
        <w:autoSpaceDN w:val="0"/>
        <w:adjustRightInd w:val="0"/>
        <w:spacing w:after="0" w:line="360" w:lineRule="auto"/>
        <w:ind w:right="-143"/>
        <w:rPr>
          <w:rFonts w:ascii="Verdana" w:hAnsi="Verdana" w:cs="PreloNavigator-Book"/>
          <w:b/>
          <w:sz w:val="20"/>
          <w:szCs w:val="20"/>
          <w:lang w:val="pt-PT"/>
        </w:rPr>
      </w:pPr>
    </w:p>
    <w:p w14:paraId="0ACB0F6E" w14:textId="77777777" w:rsidR="0076163E" w:rsidRPr="00AF56AF" w:rsidRDefault="0076163E" w:rsidP="0076163E">
      <w:pPr>
        <w:autoSpaceDE w:val="0"/>
        <w:autoSpaceDN w:val="0"/>
        <w:adjustRightInd w:val="0"/>
        <w:spacing w:after="0" w:line="360" w:lineRule="auto"/>
        <w:ind w:right="-143"/>
        <w:rPr>
          <w:rFonts w:ascii="Verdana" w:hAnsi="Verdana" w:cs="PreloNavigator-Book"/>
          <w:b/>
          <w:sz w:val="18"/>
          <w:szCs w:val="18"/>
          <w:lang w:val="pt-PT"/>
        </w:rPr>
      </w:pPr>
      <w:r w:rsidRPr="00AF56AF">
        <w:rPr>
          <w:rFonts w:ascii="Verdana" w:hAnsi="Verdana" w:cs="PreloNavigator-Book"/>
          <w:b/>
          <w:sz w:val="18"/>
          <w:szCs w:val="18"/>
          <w:lang w:val="pt-PT"/>
        </w:rPr>
        <w:t xml:space="preserve">Lift </w:t>
      </w:r>
      <w:proofErr w:type="spellStart"/>
      <w:r w:rsidRPr="00AF56AF">
        <w:rPr>
          <w:rFonts w:ascii="Verdana" w:hAnsi="Verdana" w:cs="PreloNavigator-Book"/>
          <w:b/>
          <w:sz w:val="18"/>
          <w:szCs w:val="18"/>
          <w:lang w:val="pt-PT"/>
        </w:rPr>
        <w:t>Consulting</w:t>
      </w:r>
      <w:proofErr w:type="spellEnd"/>
      <w:r w:rsidRPr="00AF56AF">
        <w:rPr>
          <w:rFonts w:ascii="Verdana" w:hAnsi="Verdana" w:cs="PreloNavigator-Book"/>
          <w:b/>
          <w:sz w:val="18"/>
          <w:szCs w:val="18"/>
          <w:lang w:val="pt-PT"/>
        </w:rPr>
        <w:t xml:space="preserve"> </w:t>
      </w:r>
    </w:p>
    <w:p w14:paraId="2B1BA117" w14:textId="77777777" w:rsidR="0076163E" w:rsidRPr="00AF56AF" w:rsidRDefault="0076163E" w:rsidP="0076163E">
      <w:pPr>
        <w:spacing w:after="0" w:line="360" w:lineRule="auto"/>
        <w:ind w:right="-143"/>
        <w:rPr>
          <w:rFonts w:ascii="Verdana" w:hAnsi="Verdana" w:cs="PreloNavigator-Book"/>
          <w:sz w:val="18"/>
          <w:szCs w:val="18"/>
          <w:lang w:val="pt-PT"/>
        </w:rPr>
      </w:pPr>
      <w:r w:rsidRPr="00AF56AF">
        <w:rPr>
          <w:rFonts w:ascii="Verdana" w:hAnsi="Verdana" w:cs="PreloNavigator-Book"/>
          <w:sz w:val="18"/>
          <w:szCs w:val="18"/>
          <w:lang w:val="pt-PT"/>
        </w:rPr>
        <w:t xml:space="preserve">Tânia Nascimento – </w:t>
      </w:r>
      <w:hyperlink r:id="rId9" w:history="1">
        <w:r w:rsidRPr="00AF56AF">
          <w:rPr>
            <w:rStyle w:val="Hiperligao"/>
            <w:rFonts w:ascii="Verdana" w:hAnsi="Verdana" w:cs="PreloNavigator-Book"/>
            <w:sz w:val="18"/>
            <w:szCs w:val="18"/>
            <w:lang w:val="pt-PT"/>
          </w:rPr>
          <w:t>tania.nascimento@lift.com.pt</w:t>
        </w:r>
      </w:hyperlink>
      <w:r w:rsidRPr="00AF56AF">
        <w:rPr>
          <w:rStyle w:val="Hiperligao"/>
          <w:rFonts w:ascii="Verdana" w:hAnsi="Verdana"/>
          <w:color w:val="auto"/>
          <w:sz w:val="18"/>
          <w:szCs w:val="18"/>
          <w:u w:val="none"/>
          <w:lang w:val="pt-PT"/>
        </w:rPr>
        <w:t xml:space="preserve"> |</w:t>
      </w:r>
      <w:r w:rsidRPr="00AF56AF">
        <w:rPr>
          <w:rFonts w:ascii="Verdana" w:hAnsi="Verdana" w:cs="PreloNavigator-Book"/>
          <w:sz w:val="18"/>
          <w:szCs w:val="18"/>
          <w:lang w:val="pt-PT"/>
        </w:rPr>
        <w:t xml:space="preserve"> +351 915 292 914</w:t>
      </w:r>
    </w:p>
    <w:p w14:paraId="5DFFB6B0" w14:textId="77777777" w:rsidR="0076163E" w:rsidRPr="00AF56AF" w:rsidRDefault="0076163E" w:rsidP="0076163E">
      <w:pPr>
        <w:spacing w:after="0" w:line="360" w:lineRule="auto"/>
        <w:ind w:right="-143"/>
        <w:rPr>
          <w:rFonts w:ascii="Verdana" w:hAnsi="Verdana" w:cs="PreloNavigator-Book"/>
          <w:sz w:val="18"/>
          <w:szCs w:val="18"/>
          <w:lang w:val="pt-PT"/>
        </w:rPr>
      </w:pPr>
      <w:r w:rsidRPr="00AF56AF">
        <w:rPr>
          <w:rFonts w:ascii="Verdana" w:hAnsi="Verdana" w:cs="PreloNavigator-Book"/>
          <w:sz w:val="18"/>
          <w:szCs w:val="18"/>
          <w:lang w:val="pt-PT"/>
        </w:rPr>
        <w:t xml:space="preserve">Marta Santos – </w:t>
      </w:r>
      <w:hyperlink r:id="rId10" w:history="1">
        <w:r w:rsidRPr="00AF56AF">
          <w:rPr>
            <w:rStyle w:val="Hiperligao"/>
            <w:rFonts w:ascii="Verdana" w:hAnsi="Verdana" w:cs="PreloNavigator-Book"/>
            <w:sz w:val="18"/>
            <w:szCs w:val="18"/>
            <w:lang w:val="pt-PT"/>
          </w:rPr>
          <w:t>marta.santos@lift.com.pt</w:t>
        </w:r>
      </w:hyperlink>
      <w:r w:rsidRPr="00AF56AF">
        <w:rPr>
          <w:rFonts w:ascii="Verdana" w:hAnsi="Verdana" w:cs="PreloNavigator-Book"/>
          <w:sz w:val="18"/>
          <w:szCs w:val="18"/>
          <w:lang w:val="pt-PT"/>
        </w:rPr>
        <w:t xml:space="preserve"> </w:t>
      </w:r>
      <w:r w:rsidRPr="00AF56AF">
        <w:rPr>
          <w:rStyle w:val="Hiperligao"/>
          <w:rFonts w:ascii="Verdana" w:hAnsi="Verdana"/>
          <w:color w:val="auto"/>
          <w:sz w:val="18"/>
          <w:szCs w:val="18"/>
          <w:u w:val="none"/>
          <w:lang w:val="pt-PT"/>
        </w:rPr>
        <w:t xml:space="preserve"> | </w:t>
      </w:r>
      <w:r w:rsidRPr="00AF56AF">
        <w:rPr>
          <w:rFonts w:ascii="Verdana" w:hAnsi="Verdana" w:cs="PreloNavigator-Book"/>
          <w:sz w:val="18"/>
          <w:szCs w:val="18"/>
          <w:lang w:val="pt-PT"/>
        </w:rPr>
        <w:t>+351 915 291 708</w:t>
      </w:r>
    </w:p>
    <w:p w14:paraId="361054C8" w14:textId="32B3D2DE" w:rsidR="0076163E" w:rsidRPr="00AF56AF" w:rsidRDefault="0076163E" w:rsidP="0076163E">
      <w:pPr>
        <w:spacing w:line="360" w:lineRule="auto"/>
        <w:jc w:val="both"/>
        <w:rPr>
          <w:lang w:val="pt-PT"/>
        </w:rPr>
      </w:pPr>
      <w:r w:rsidRPr="00AF56AF">
        <w:rPr>
          <w:rFonts w:ascii="Verdana" w:hAnsi="Verdana" w:cs="PreloNavigator-Book"/>
          <w:sz w:val="18"/>
          <w:szCs w:val="18"/>
          <w:lang w:val="pt-PT"/>
        </w:rPr>
        <w:t xml:space="preserve">Catarina Carneiro de Brito – </w:t>
      </w:r>
      <w:hyperlink r:id="rId11" w:history="1">
        <w:r w:rsidRPr="00AF56AF">
          <w:rPr>
            <w:rStyle w:val="Hiperligao"/>
            <w:rFonts w:ascii="Verdana" w:hAnsi="Verdana" w:cs="PreloNavigator-Book"/>
            <w:sz w:val="18"/>
            <w:szCs w:val="18"/>
            <w:lang w:val="pt-PT"/>
          </w:rPr>
          <w:t>catarina.brito@lift.com.pt</w:t>
        </w:r>
      </w:hyperlink>
      <w:r w:rsidRPr="00AF56AF">
        <w:rPr>
          <w:rFonts w:ascii="Verdana" w:hAnsi="Verdana" w:cs="PreloNavigator-Book"/>
          <w:sz w:val="18"/>
          <w:szCs w:val="18"/>
          <w:lang w:val="pt-PT"/>
        </w:rPr>
        <w:t xml:space="preserve"> | +351 914 310 661</w:t>
      </w:r>
    </w:p>
    <w:p w14:paraId="7D7C73C5" w14:textId="77777777" w:rsidR="0076163E" w:rsidRPr="001B4844" w:rsidRDefault="0076163E" w:rsidP="00945C47">
      <w:pPr>
        <w:jc w:val="center"/>
        <w:rPr>
          <w:lang w:val="pt-PT"/>
        </w:rPr>
      </w:pPr>
    </w:p>
    <w:sectPr w:rsidR="0076163E" w:rsidRPr="001B4844" w:rsidSect="00A4433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599CA" w14:textId="77777777" w:rsidR="004B4A7A" w:rsidRDefault="004B4A7A" w:rsidP="007D1ACB">
      <w:pPr>
        <w:spacing w:after="0" w:line="240" w:lineRule="auto"/>
      </w:pPr>
      <w:r>
        <w:separator/>
      </w:r>
    </w:p>
  </w:endnote>
  <w:endnote w:type="continuationSeparator" w:id="0">
    <w:p w14:paraId="5F0BDF5C" w14:textId="77777777" w:rsidR="004B4A7A" w:rsidRDefault="004B4A7A" w:rsidP="007D1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PreloNavigator-Book">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DB182" w14:textId="77777777" w:rsidR="004B4A7A" w:rsidRDefault="004B4A7A" w:rsidP="007D1ACB">
      <w:pPr>
        <w:spacing w:after="0" w:line="240" w:lineRule="auto"/>
      </w:pPr>
      <w:r>
        <w:separator/>
      </w:r>
    </w:p>
  </w:footnote>
  <w:footnote w:type="continuationSeparator" w:id="0">
    <w:p w14:paraId="0B8F5D44" w14:textId="77777777" w:rsidR="004B4A7A" w:rsidRDefault="004B4A7A" w:rsidP="007D1ACB">
      <w:pPr>
        <w:spacing w:after="0" w:line="240" w:lineRule="auto"/>
      </w:pPr>
      <w:r>
        <w:continuationSeparator/>
      </w:r>
    </w:p>
  </w:footnote>
  <w:footnote w:id="1">
    <w:p w14:paraId="2B914424" w14:textId="77777777" w:rsidR="0076163E" w:rsidRPr="000E215E" w:rsidRDefault="0076163E" w:rsidP="0076163E">
      <w:pPr>
        <w:pStyle w:val="Textodenotaderodap"/>
        <w:rPr>
          <w:rFonts w:ascii="Verdana" w:hAnsi="Verdana"/>
          <w:sz w:val="16"/>
          <w:szCs w:val="16"/>
          <w:lang w:val="en-US"/>
        </w:rPr>
      </w:pPr>
      <w:r w:rsidRPr="000E215E">
        <w:rPr>
          <w:rStyle w:val="Refdenotaderodap"/>
          <w:rFonts w:ascii="Verdana" w:hAnsi="Verdana"/>
          <w:sz w:val="16"/>
          <w:szCs w:val="16"/>
        </w:rPr>
        <w:footnoteRef/>
      </w:r>
      <w:r w:rsidRPr="000E215E">
        <w:rPr>
          <w:rFonts w:ascii="Verdana" w:hAnsi="Verdana"/>
          <w:sz w:val="16"/>
          <w:szCs w:val="16"/>
          <w:lang w:val="en-US"/>
        </w:rPr>
        <w:t xml:space="preserve"> </w:t>
      </w:r>
      <w:r w:rsidRPr="000E215E">
        <w:rPr>
          <w:rFonts w:ascii="Verdana" w:hAnsi="Verdana"/>
          <w:i/>
          <w:iCs/>
          <w:sz w:val="16"/>
          <w:szCs w:val="16"/>
          <w:lang w:val="en-US"/>
        </w:rPr>
        <w:t>FSC – Forest Stewardship Council® (Licença n.º FSC</w:t>
      </w:r>
      <w:r w:rsidRPr="00490C52">
        <w:rPr>
          <w:rFonts w:ascii="Verdana" w:hAnsi="Verdana"/>
          <w:i/>
          <w:iCs/>
          <w:sz w:val="16"/>
          <w:szCs w:val="16"/>
          <w:vertAlign w:val="superscript"/>
          <w:lang w:val="en-US"/>
        </w:rPr>
        <w:t>®</w:t>
      </w:r>
      <w:r w:rsidRPr="000E215E">
        <w:rPr>
          <w:rFonts w:ascii="Verdana" w:hAnsi="Verdana"/>
          <w:i/>
          <w:iCs/>
          <w:sz w:val="16"/>
          <w:szCs w:val="16"/>
          <w:lang w:val="en-US"/>
        </w:rPr>
        <w:t xml:space="preserve"> – C010852) </w:t>
      </w:r>
    </w:p>
  </w:footnote>
  <w:footnote w:id="2">
    <w:p w14:paraId="7EEFD77D" w14:textId="77777777" w:rsidR="0076163E" w:rsidRPr="00074825" w:rsidRDefault="0076163E" w:rsidP="0076163E">
      <w:pPr>
        <w:pStyle w:val="Textodenotaderodap"/>
      </w:pPr>
      <w:r w:rsidRPr="000E215E">
        <w:rPr>
          <w:rStyle w:val="Refdenotaderodap"/>
          <w:rFonts w:ascii="Verdana" w:hAnsi="Verdana"/>
          <w:sz w:val="16"/>
          <w:szCs w:val="16"/>
        </w:rPr>
        <w:footnoteRef/>
      </w:r>
      <w:r w:rsidRPr="00074825">
        <w:rPr>
          <w:rFonts w:ascii="Verdana" w:hAnsi="Verdana"/>
          <w:sz w:val="16"/>
          <w:szCs w:val="16"/>
        </w:rPr>
        <w:t xml:space="preserve"> </w:t>
      </w:r>
      <w:r w:rsidRPr="00074825">
        <w:rPr>
          <w:rFonts w:ascii="Verdana" w:hAnsi="Verdana"/>
          <w:i/>
          <w:iCs/>
          <w:sz w:val="16"/>
          <w:szCs w:val="16"/>
        </w:rPr>
        <w:t>PEFC – Programa para o Reconhecimento da Certificação Florestal</w:t>
      </w:r>
      <w:r w:rsidRPr="00074825">
        <w:rPr>
          <w:rFonts w:ascii="Verdana" w:hAnsi="Verdana"/>
          <w:sz w:val="16"/>
          <w:szCs w:val="16"/>
        </w:rPr>
        <w:t xml:space="preserve"> </w:t>
      </w:r>
      <w:r w:rsidRPr="00074825">
        <w:rPr>
          <w:rFonts w:ascii="Verdana" w:hAnsi="Verdana"/>
          <w:i/>
          <w:iCs/>
          <w:sz w:val="16"/>
          <w:szCs w:val="16"/>
        </w:rPr>
        <w:t>(Licença n.º PEFC/13-23-001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722EA3"/>
    <w:multiLevelType w:val="hybridMultilevel"/>
    <w:tmpl w:val="D87CCE18"/>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num w:numId="1" w16cid:durableId="302199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A04"/>
    <w:rsid w:val="00014D82"/>
    <w:rsid w:val="00014E31"/>
    <w:rsid w:val="00015B50"/>
    <w:rsid w:val="00036FAF"/>
    <w:rsid w:val="00044B54"/>
    <w:rsid w:val="000456BB"/>
    <w:rsid w:val="0005669C"/>
    <w:rsid w:val="00057ADB"/>
    <w:rsid w:val="000637C0"/>
    <w:rsid w:val="00084DCE"/>
    <w:rsid w:val="000C0785"/>
    <w:rsid w:val="000C2234"/>
    <w:rsid w:val="000E6F1D"/>
    <w:rsid w:val="00100B64"/>
    <w:rsid w:val="0010142B"/>
    <w:rsid w:val="0016630E"/>
    <w:rsid w:val="001714DC"/>
    <w:rsid w:val="00174C4C"/>
    <w:rsid w:val="00180BF8"/>
    <w:rsid w:val="001825AB"/>
    <w:rsid w:val="00185776"/>
    <w:rsid w:val="001926E5"/>
    <w:rsid w:val="001B4844"/>
    <w:rsid w:val="001B7F01"/>
    <w:rsid w:val="001C20C1"/>
    <w:rsid w:val="001E107E"/>
    <w:rsid w:val="001F7C1F"/>
    <w:rsid w:val="00206A7A"/>
    <w:rsid w:val="002234A2"/>
    <w:rsid w:val="0022579E"/>
    <w:rsid w:val="00267341"/>
    <w:rsid w:val="002961DA"/>
    <w:rsid w:val="002A542D"/>
    <w:rsid w:val="002B5555"/>
    <w:rsid w:val="002C2509"/>
    <w:rsid w:val="002C3168"/>
    <w:rsid w:val="002D3A4E"/>
    <w:rsid w:val="002E0208"/>
    <w:rsid w:val="003063D8"/>
    <w:rsid w:val="00313E3D"/>
    <w:rsid w:val="003253D2"/>
    <w:rsid w:val="00340983"/>
    <w:rsid w:val="003534F6"/>
    <w:rsid w:val="00356205"/>
    <w:rsid w:val="003706C4"/>
    <w:rsid w:val="00381EFD"/>
    <w:rsid w:val="003820A2"/>
    <w:rsid w:val="003913BD"/>
    <w:rsid w:val="00397343"/>
    <w:rsid w:val="00397D5E"/>
    <w:rsid w:val="003A7CD3"/>
    <w:rsid w:val="003B60C1"/>
    <w:rsid w:val="003C1677"/>
    <w:rsid w:val="003C7D0F"/>
    <w:rsid w:val="003E07F9"/>
    <w:rsid w:val="00412CE9"/>
    <w:rsid w:val="0043313D"/>
    <w:rsid w:val="00443573"/>
    <w:rsid w:val="00444243"/>
    <w:rsid w:val="00452DBF"/>
    <w:rsid w:val="00454859"/>
    <w:rsid w:val="00457C09"/>
    <w:rsid w:val="00467FBA"/>
    <w:rsid w:val="004767F9"/>
    <w:rsid w:val="00494316"/>
    <w:rsid w:val="00496A5C"/>
    <w:rsid w:val="004A4912"/>
    <w:rsid w:val="004B4A7A"/>
    <w:rsid w:val="004D1BA2"/>
    <w:rsid w:val="004D329B"/>
    <w:rsid w:val="004E3AE5"/>
    <w:rsid w:val="004E7D32"/>
    <w:rsid w:val="00530D3B"/>
    <w:rsid w:val="0053532D"/>
    <w:rsid w:val="005359E0"/>
    <w:rsid w:val="00535DED"/>
    <w:rsid w:val="005558A8"/>
    <w:rsid w:val="00556E37"/>
    <w:rsid w:val="005B2264"/>
    <w:rsid w:val="005B707E"/>
    <w:rsid w:val="005D56AF"/>
    <w:rsid w:val="00607FD0"/>
    <w:rsid w:val="00610D5A"/>
    <w:rsid w:val="0061594A"/>
    <w:rsid w:val="006403B7"/>
    <w:rsid w:val="00641837"/>
    <w:rsid w:val="0065108F"/>
    <w:rsid w:val="0065535B"/>
    <w:rsid w:val="00665F5B"/>
    <w:rsid w:val="006761E8"/>
    <w:rsid w:val="00696B4C"/>
    <w:rsid w:val="006C1DC1"/>
    <w:rsid w:val="006D65A8"/>
    <w:rsid w:val="006E734C"/>
    <w:rsid w:val="007174B6"/>
    <w:rsid w:val="00731851"/>
    <w:rsid w:val="00750DE6"/>
    <w:rsid w:val="00753294"/>
    <w:rsid w:val="007574CE"/>
    <w:rsid w:val="0076163E"/>
    <w:rsid w:val="00782C9D"/>
    <w:rsid w:val="00795CF5"/>
    <w:rsid w:val="007B6293"/>
    <w:rsid w:val="007D1ACB"/>
    <w:rsid w:val="007D243E"/>
    <w:rsid w:val="007E1B72"/>
    <w:rsid w:val="007E3C7B"/>
    <w:rsid w:val="008420AB"/>
    <w:rsid w:val="0085129A"/>
    <w:rsid w:val="008628E7"/>
    <w:rsid w:val="008869D8"/>
    <w:rsid w:val="008A4AD1"/>
    <w:rsid w:val="008C7248"/>
    <w:rsid w:val="008D2B2F"/>
    <w:rsid w:val="008D342F"/>
    <w:rsid w:val="008E7259"/>
    <w:rsid w:val="0092358B"/>
    <w:rsid w:val="00940348"/>
    <w:rsid w:val="00940FD6"/>
    <w:rsid w:val="00942A91"/>
    <w:rsid w:val="00945C47"/>
    <w:rsid w:val="009616CB"/>
    <w:rsid w:val="00994EC2"/>
    <w:rsid w:val="009A050F"/>
    <w:rsid w:val="009D7C17"/>
    <w:rsid w:val="009E0D11"/>
    <w:rsid w:val="009E5F48"/>
    <w:rsid w:val="009F64EF"/>
    <w:rsid w:val="00A44333"/>
    <w:rsid w:val="00A53907"/>
    <w:rsid w:val="00A56D87"/>
    <w:rsid w:val="00A67CC8"/>
    <w:rsid w:val="00A72985"/>
    <w:rsid w:val="00A874C3"/>
    <w:rsid w:val="00A949ED"/>
    <w:rsid w:val="00AD5374"/>
    <w:rsid w:val="00AD7860"/>
    <w:rsid w:val="00AF56AF"/>
    <w:rsid w:val="00B03B0E"/>
    <w:rsid w:val="00B03DAA"/>
    <w:rsid w:val="00B209AF"/>
    <w:rsid w:val="00B21A04"/>
    <w:rsid w:val="00B24FB1"/>
    <w:rsid w:val="00B34FC5"/>
    <w:rsid w:val="00B434F9"/>
    <w:rsid w:val="00B46F32"/>
    <w:rsid w:val="00B5498A"/>
    <w:rsid w:val="00B66292"/>
    <w:rsid w:val="00B852EA"/>
    <w:rsid w:val="00BC0FD9"/>
    <w:rsid w:val="00BC290A"/>
    <w:rsid w:val="00BD330A"/>
    <w:rsid w:val="00BD395C"/>
    <w:rsid w:val="00C0161A"/>
    <w:rsid w:val="00C26120"/>
    <w:rsid w:val="00C26967"/>
    <w:rsid w:val="00C40873"/>
    <w:rsid w:val="00C47D7B"/>
    <w:rsid w:val="00C56B3E"/>
    <w:rsid w:val="00C96AD2"/>
    <w:rsid w:val="00CA76A1"/>
    <w:rsid w:val="00CB1513"/>
    <w:rsid w:val="00CB7602"/>
    <w:rsid w:val="00CD0E1D"/>
    <w:rsid w:val="00CD489E"/>
    <w:rsid w:val="00D03B61"/>
    <w:rsid w:val="00D053EA"/>
    <w:rsid w:val="00D20B44"/>
    <w:rsid w:val="00D23F8B"/>
    <w:rsid w:val="00D37A02"/>
    <w:rsid w:val="00D4319F"/>
    <w:rsid w:val="00D43CC9"/>
    <w:rsid w:val="00D467F7"/>
    <w:rsid w:val="00D61EFD"/>
    <w:rsid w:val="00D639C8"/>
    <w:rsid w:val="00D91C1A"/>
    <w:rsid w:val="00D975B3"/>
    <w:rsid w:val="00DD5BFE"/>
    <w:rsid w:val="00DD7DF1"/>
    <w:rsid w:val="00E12A80"/>
    <w:rsid w:val="00E449C8"/>
    <w:rsid w:val="00E464C3"/>
    <w:rsid w:val="00E47C6E"/>
    <w:rsid w:val="00E704F6"/>
    <w:rsid w:val="00E8413E"/>
    <w:rsid w:val="00E86816"/>
    <w:rsid w:val="00E95DFD"/>
    <w:rsid w:val="00EF72CD"/>
    <w:rsid w:val="00F02B71"/>
    <w:rsid w:val="00F11E0D"/>
    <w:rsid w:val="00F134D1"/>
    <w:rsid w:val="00F16D80"/>
    <w:rsid w:val="00F21ECA"/>
    <w:rsid w:val="00F326C1"/>
    <w:rsid w:val="00F434C7"/>
    <w:rsid w:val="00F47CFF"/>
    <w:rsid w:val="00F50C3C"/>
    <w:rsid w:val="00F66B6E"/>
    <w:rsid w:val="00F7469A"/>
    <w:rsid w:val="00F802C3"/>
    <w:rsid w:val="00F912EC"/>
    <w:rsid w:val="00F97B64"/>
    <w:rsid w:val="00FB00F2"/>
    <w:rsid w:val="00FB4F94"/>
    <w:rsid w:val="00FC1474"/>
    <w:rsid w:val="00FE7DD4"/>
    <w:rsid w:val="00FF794B"/>
    <w:rsid w:val="107FBC20"/>
    <w:rsid w:val="19C6B903"/>
    <w:rsid w:val="2D941E9A"/>
    <w:rsid w:val="2F3BDE3D"/>
    <w:rsid w:val="417D44C1"/>
    <w:rsid w:val="43214227"/>
    <w:rsid w:val="487ACC85"/>
    <w:rsid w:val="6207619E"/>
    <w:rsid w:val="69AF5606"/>
    <w:rsid w:val="6E4B5D9F"/>
    <w:rsid w:val="7E062157"/>
  </w:rsids>
  <m:mathPr>
    <m:mathFont m:val="Cambria Math"/>
    <m:brkBin m:val="before"/>
    <m:brkBinSub m:val="--"/>
    <m:smallFrac m:val="0"/>
    <m:dispDef/>
    <m:lMargin m:val="0"/>
    <m:rMargin m:val="0"/>
    <m:defJc m:val="centerGroup"/>
    <m:wrapIndent m:val="1440"/>
    <m:intLim m:val="subSup"/>
    <m:naryLim m:val="undOvr"/>
  </m:mathPr>
  <w:themeFontLang w:val="pt-P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09BD19"/>
  <w15:chartTrackingRefBased/>
  <w15:docId w15:val="{8598D998-2B96-42C8-8766-7B86A4E0D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B21A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semiHidden/>
    <w:unhideWhenUsed/>
    <w:qFormat/>
    <w:rsid w:val="00B21A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semiHidden/>
    <w:unhideWhenUsed/>
    <w:qFormat/>
    <w:rsid w:val="00B21A0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00B21A0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B21A0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B21A0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B21A0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B21A0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B21A04"/>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B21A04"/>
    <w:rPr>
      <w:rFonts w:asciiTheme="majorHAnsi" w:eastAsiaTheme="majorEastAsia" w:hAnsiTheme="majorHAnsi" w:cstheme="majorBidi"/>
      <w:color w:val="0F4761" w:themeColor="accent1" w:themeShade="BF"/>
      <w:sz w:val="40"/>
      <w:szCs w:val="40"/>
    </w:rPr>
  </w:style>
  <w:style w:type="character" w:customStyle="1" w:styleId="Ttulo2Carter">
    <w:name w:val="Título 2 Caráter"/>
    <w:basedOn w:val="Tipodeletrapredefinidodopargrafo"/>
    <w:link w:val="Ttulo2"/>
    <w:uiPriority w:val="9"/>
    <w:semiHidden/>
    <w:rsid w:val="00B21A04"/>
    <w:rPr>
      <w:rFonts w:asciiTheme="majorHAnsi" w:eastAsiaTheme="majorEastAsia" w:hAnsiTheme="majorHAnsi" w:cstheme="majorBidi"/>
      <w:color w:val="0F4761" w:themeColor="accent1" w:themeShade="BF"/>
      <w:sz w:val="32"/>
      <w:szCs w:val="32"/>
    </w:rPr>
  </w:style>
  <w:style w:type="character" w:customStyle="1" w:styleId="Ttulo3Carter">
    <w:name w:val="Título 3 Caráter"/>
    <w:basedOn w:val="Tipodeletrapredefinidodopargrafo"/>
    <w:link w:val="Ttulo3"/>
    <w:uiPriority w:val="9"/>
    <w:semiHidden/>
    <w:rsid w:val="00B21A04"/>
    <w:rPr>
      <w:rFonts w:eastAsiaTheme="majorEastAsia" w:cstheme="majorBidi"/>
      <w:color w:val="0F4761" w:themeColor="accent1" w:themeShade="BF"/>
      <w:sz w:val="28"/>
      <w:szCs w:val="28"/>
    </w:rPr>
  </w:style>
  <w:style w:type="character" w:customStyle="1" w:styleId="Ttulo4Carter">
    <w:name w:val="Título 4 Caráter"/>
    <w:basedOn w:val="Tipodeletrapredefinidodopargrafo"/>
    <w:link w:val="Ttulo4"/>
    <w:uiPriority w:val="9"/>
    <w:semiHidden/>
    <w:rsid w:val="00B21A04"/>
    <w:rPr>
      <w:rFonts w:eastAsiaTheme="majorEastAsia" w:cstheme="majorBidi"/>
      <w:i/>
      <w:iCs/>
      <w:color w:val="0F4761" w:themeColor="accent1" w:themeShade="BF"/>
    </w:rPr>
  </w:style>
  <w:style w:type="character" w:customStyle="1" w:styleId="Ttulo5Carter">
    <w:name w:val="Título 5 Caráter"/>
    <w:basedOn w:val="Tipodeletrapredefinidodopargrafo"/>
    <w:link w:val="Ttulo5"/>
    <w:uiPriority w:val="9"/>
    <w:semiHidden/>
    <w:rsid w:val="00B21A04"/>
    <w:rPr>
      <w:rFonts w:eastAsiaTheme="majorEastAsia" w:cstheme="majorBidi"/>
      <w:color w:val="0F4761" w:themeColor="accent1" w:themeShade="BF"/>
    </w:rPr>
  </w:style>
  <w:style w:type="character" w:customStyle="1" w:styleId="Ttulo6Carter">
    <w:name w:val="Título 6 Caráter"/>
    <w:basedOn w:val="Tipodeletrapredefinidodopargrafo"/>
    <w:link w:val="Ttulo6"/>
    <w:uiPriority w:val="9"/>
    <w:semiHidden/>
    <w:rsid w:val="00B21A04"/>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B21A04"/>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B21A04"/>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B21A04"/>
    <w:rPr>
      <w:rFonts w:eastAsiaTheme="majorEastAsia" w:cstheme="majorBidi"/>
      <w:color w:val="272727" w:themeColor="text1" w:themeTint="D8"/>
    </w:rPr>
  </w:style>
  <w:style w:type="paragraph" w:styleId="Ttulo">
    <w:name w:val="Title"/>
    <w:basedOn w:val="Normal"/>
    <w:next w:val="Normal"/>
    <w:link w:val="TtuloCarter"/>
    <w:uiPriority w:val="10"/>
    <w:qFormat/>
    <w:rsid w:val="00B21A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B21A0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B21A04"/>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B21A04"/>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B21A04"/>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B21A04"/>
    <w:rPr>
      <w:i/>
      <w:iCs/>
      <w:color w:val="404040" w:themeColor="text1" w:themeTint="BF"/>
    </w:rPr>
  </w:style>
  <w:style w:type="paragraph" w:styleId="PargrafodaLista">
    <w:name w:val="List Paragraph"/>
    <w:basedOn w:val="Normal"/>
    <w:uiPriority w:val="34"/>
    <w:qFormat/>
    <w:rsid w:val="00B21A04"/>
    <w:pPr>
      <w:ind w:left="720"/>
      <w:contextualSpacing/>
    </w:pPr>
  </w:style>
  <w:style w:type="character" w:styleId="nfaseIntensa">
    <w:name w:val="Intense Emphasis"/>
    <w:basedOn w:val="Tipodeletrapredefinidodopargrafo"/>
    <w:uiPriority w:val="21"/>
    <w:qFormat/>
    <w:rsid w:val="00B21A04"/>
    <w:rPr>
      <w:i/>
      <w:iCs/>
      <w:color w:val="0F4761" w:themeColor="accent1" w:themeShade="BF"/>
    </w:rPr>
  </w:style>
  <w:style w:type="paragraph" w:styleId="CitaoIntensa">
    <w:name w:val="Intense Quote"/>
    <w:basedOn w:val="Normal"/>
    <w:next w:val="Normal"/>
    <w:link w:val="CitaoIntensaCarter"/>
    <w:uiPriority w:val="30"/>
    <w:qFormat/>
    <w:rsid w:val="00B21A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B21A04"/>
    <w:rPr>
      <w:i/>
      <w:iCs/>
      <w:color w:val="0F4761" w:themeColor="accent1" w:themeShade="BF"/>
    </w:rPr>
  </w:style>
  <w:style w:type="character" w:styleId="RefernciaIntensa">
    <w:name w:val="Intense Reference"/>
    <w:basedOn w:val="Tipodeletrapredefinidodopargrafo"/>
    <w:uiPriority w:val="32"/>
    <w:qFormat/>
    <w:rsid w:val="00B21A04"/>
    <w:rPr>
      <w:b/>
      <w:bCs/>
      <w:smallCaps/>
      <w:color w:val="0F4761" w:themeColor="accent1" w:themeShade="BF"/>
      <w:spacing w:val="5"/>
    </w:rPr>
  </w:style>
  <w:style w:type="character" w:styleId="Hiperligao">
    <w:name w:val="Hyperlink"/>
    <w:basedOn w:val="Tipodeletrapredefinidodopargrafo"/>
    <w:uiPriority w:val="99"/>
    <w:unhideWhenUsed/>
    <w:rsid w:val="00014E31"/>
    <w:rPr>
      <w:color w:val="467886" w:themeColor="hyperlink"/>
      <w:u w:val="single"/>
    </w:rPr>
  </w:style>
  <w:style w:type="character" w:styleId="MenoNoResolvida">
    <w:name w:val="Unresolved Mention"/>
    <w:basedOn w:val="Tipodeletrapredefinidodopargrafo"/>
    <w:uiPriority w:val="99"/>
    <w:semiHidden/>
    <w:unhideWhenUsed/>
    <w:rsid w:val="00014E31"/>
    <w:rPr>
      <w:color w:val="605E5C"/>
      <w:shd w:val="clear" w:color="auto" w:fill="E1DFDD"/>
    </w:rPr>
  </w:style>
  <w:style w:type="paragraph" w:styleId="Reviso">
    <w:name w:val="Revision"/>
    <w:hidden/>
    <w:uiPriority w:val="99"/>
    <w:semiHidden/>
    <w:rsid w:val="007D1ACB"/>
    <w:pPr>
      <w:spacing w:after="0" w:line="240" w:lineRule="auto"/>
    </w:pPr>
  </w:style>
  <w:style w:type="paragraph" w:styleId="Cabealho">
    <w:name w:val="header"/>
    <w:basedOn w:val="Normal"/>
    <w:link w:val="CabealhoCarter"/>
    <w:uiPriority w:val="99"/>
    <w:unhideWhenUsed/>
    <w:rsid w:val="007D1ACB"/>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7D1ACB"/>
  </w:style>
  <w:style w:type="paragraph" w:styleId="Rodap">
    <w:name w:val="footer"/>
    <w:basedOn w:val="Normal"/>
    <w:link w:val="RodapCarter"/>
    <w:uiPriority w:val="99"/>
    <w:unhideWhenUsed/>
    <w:rsid w:val="007D1ACB"/>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7D1ACB"/>
  </w:style>
  <w:style w:type="paragraph" w:styleId="Textosimples">
    <w:name w:val="Plain Text"/>
    <w:basedOn w:val="Normal"/>
    <w:link w:val="TextosimplesCarter"/>
    <w:uiPriority w:val="99"/>
    <w:unhideWhenUsed/>
    <w:rsid w:val="00945C47"/>
    <w:pPr>
      <w:spacing w:after="0" w:line="240" w:lineRule="auto"/>
    </w:pPr>
    <w:rPr>
      <w:rFonts w:ascii="Consolas" w:eastAsia="SimSun" w:hAnsi="Consolas" w:cs="Times New Roman"/>
      <w:sz w:val="21"/>
      <w:szCs w:val="21"/>
      <w:lang w:val="x-none" w:eastAsia="pt-PT"/>
      <w14:ligatures w14:val="none"/>
    </w:rPr>
  </w:style>
  <w:style w:type="character" w:customStyle="1" w:styleId="TextosimplesCarter">
    <w:name w:val="Texto simples Caráter"/>
    <w:basedOn w:val="Tipodeletrapredefinidodopargrafo"/>
    <w:link w:val="Textosimples"/>
    <w:uiPriority w:val="99"/>
    <w:rsid w:val="00945C47"/>
    <w:rPr>
      <w:rFonts w:ascii="Consolas" w:eastAsia="SimSun" w:hAnsi="Consolas" w:cs="Times New Roman"/>
      <w:sz w:val="21"/>
      <w:szCs w:val="21"/>
      <w:lang w:val="x-none" w:eastAsia="pt-PT"/>
      <w14:ligatures w14:val="none"/>
    </w:rPr>
  </w:style>
  <w:style w:type="paragraph" w:styleId="Textodenotaderodap">
    <w:name w:val="footnote text"/>
    <w:basedOn w:val="Normal"/>
    <w:link w:val="TextodenotaderodapCarter"/>
    <w:uiPriority w:val="99"/>
    <w:unhideWhenUsed/>
    <w:rsid w:val="0076163E"/>
    <w:pPr>
      <w:spacing w:after="0" w:line="240" w:lineRule="auto"/>
    </w:pPr>
    <w:rPr>
      <w:kern w:val="2"/>
      <w:sz w:val="20"/>
      <w:szCs w:val="20"/>
      <w:lang w:val="pt-PT"/>
    </w:rPr>
  </w:style>
  <w:style w:type="character" w:customStyle="1" w:styleId="TextodenotaderodapCarter">
    <w:name w:val="Texto de nota de rodapé Caráter"/>
    <w:basedOn w:val="Tipodeletrapredefinidodopargrafo"/>
    <w:link w:val="Textodenotaderodap"/>
    <w:uiPriority w:val="99"/>
    <w:rsid w:val="0076163E"/>
    <w:rPr>
      <w:kern w:val="2"/>
      <w:sz w:val="20"/>
      <w:szCs w:val="20"/>
      <w:lang w:val="pt-PT"/>
    </w:rPr>
  </w:style>
  <w:style w:type="character" w:styleId="Refdenotaderodap">
    <w:name w:val="footnote reference"/>
    <w:basedOn w:val="Tipodeletrapredefinidodopargrafo"/>
    <w:uiPriority w:val="99"/>
    <w:semiHidden/>
    <w:unhideWhenUsed/>
    <w:rsid w:val="0076163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navigatorcompany.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aquel.campos@lift.com.pt" TargetMode="External"/><Relationship Id="rId5" Type="http://schemas.openxmlformats.org/officeDocument/2006/relationships/footnotes" Target="footnotes.xml"/><Relationship Id="rId10" Type="http://schemas.openxmlformats.org/officeDocument/2006/relationships/hyperlink" Target="mailto:marta.santos@lift.com.pt" TargetMode="External"/><Relationship Id="rId4" Type="http://schemas.openxmlformats.org/officeDocument/2006/relationships/webSettings" Target="webSettings.xml"/><Relationship Id="rId9" Type="http://schemas.openxmlformats.org/officeDocument/2006/relationships/hyperlink" Target="mailto:tania.nascimento@lift.com.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1453</Words>
  <Characters>7852</Characters>
  <Application>Microsoft Office Word</Application>
  <DocSecurity>0</DocSecurity>
  <Lines>65</Lines>
  <Paragraphs>18</Paragraphs>
  <ScaleCrop>false</ScaleCrop>
  <Company/>
  <LinksUpToDate>false</LinksUpToDate>
  <CharactersWithSpaces>9287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Carlinhos</dc:creator>
  <cp:keywords/>
  <dc:description/>
  <cp:lastModifiedBy>Mary Caiado</cp:lastModifiedBy>
  <cp:revision>3</cp:revision>
  <dcterms:created xsi:type="dcterms:W3CDTF">2026-09-16T08:09:00Z</dcterms:created>
  <dcterms:modified xsi:type="dcterms:W3CDTF">2026-09-18T11:57:00Z</dcterms:modified>
</cp:coreProperties>
</file>