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7B05" w14:textId="188DEDC9" w:rsidR="00EA6BCF" w:rsidRDefault="00441D4F">
      <w:pPr>
        <w:spacing w:before="240" w:after="240" w:line="300" w:lineRule="auto"/>
        <w:jc w:val="right"/>
        <w:rPr>
          <w:rFonts w:ascii="Calibri" w:eastAsia="Calibri" w:hAnsi="Calibri" w:cs="Calibri"/>
          <w:sz w:val="20"/>
          <w:szCs w:val="20"/>
        </w:rPr>
      </w:pPr>
      <w:r>
        <w:rPr>
          <w:rFonts w:ascii="Calibri" w:eastAsia="Calibri" w:hAnsi="Calibri" w:cs="Calibri"/>
          <w:sz w:val="20"/>
          <w:szCs w:val="20"/>
        </w:rPr>
        <w:t xml:space="preserve">Warszawa </w:t>
      </w:r>
      <w:r w:rsidR="00397E71">
        <w:rPr>
          <w:rFonts w:ascii="Calibri" w:eastAsia="Calibri" w:hAnsi="Calibri" w:cs="Calibri"/>
          <w:sz w:val="20"/>
          <w:szCs w:val="20"/>
        </w:rPr>
        <w:t>24</w:t>
      </w:r>
      <w:r>
        <w:rPr>
          <w:rFonts w:ascii="Calibri" w:eastAsia="Calibri" w:hAnsi="Calibri" w:cs="Calibri"/>
          <w:sz w:val="20"/>
          <w:szCs w:val="20"/>
        </w:rPr>
        <w:t>.0</w:t>
      </w:r>
      <w:r w:rsidR="003151EB">
        <w:rPr>
          <w:rFonts w:ascii="Calibri" w:eastAsia="Calibri" w:hAnsi="Calibri" w:cs="Calibri"/>
          <w:sz w:val="20"/>
          <w:szCs w:val="20"/>
        </w:rPr>
        <w:t>9</w:t>
      </w:r>
      <w:r>
        <w:rPr>
          <w:rFonts w:ascii="Calibri" w:eastAsia="Calibri" w:hAnsi="Calibri" w:cs="Calibri"/>
          <w:sz w:val="20"/>
          <w:szCs w:val="20"/>
        </w:rPr>
        <w:t>.2026 r.</w:t>
      </w:r>
    </w:p>
    <w:p w14:paraId="5EC76FC4" w14:textId="77777777" w:rsidR="00EA6BCF" w:rsidRDefault="00441D4F">
      <w:pPr>
        <w:spacing w:before="480" w:after="480" w:line="259" w:lineRule="auto"/>
        <w:jc w:val="both"/>
        <w:rPr>
          <w:rFonts w:ascii="Calibri" w:eastAsia="Calibri" w:hAnsi="Calibri" w:cs="Calibri"/>
          <w:color w:val="161616"/>
          <w:sz w:val="24"/>
          <w:szCs w:val="24"/>
        </w:rPr>
      </w:pPr>
      <w:r>
        <w:rPr>
          <w:rFonts w:ascii="Calibri" w:eastAsia="Calibri" w:hAnsi="Calibri" w:cs="Calibri"/>
          <w:color w:val="161616"/>
          <w:sz w:val="24"/>
          <w:szCs w:val="24"/>
        </w:rPr>
        <w:t>INFORMACJA PRASOWA</w:t>
      </w:r>
    </w:p>
    <w:p w14:paraId="2417A346" w14:textId="55FD7885" w:rsidR="00EA6BCF" w:rsidRPr="003D4651" w:rsidRDefault="00441D4F">
      <w:pPr>
        <w:spacing w:before="480" w:after="480" w:line="259" w:lineRule="auto"/>
        <w:jc w:val="both"/>
        <w:rPr>
          <w:rFonts w:ascii="Calibri" w:eastAsia="Calibri" w:hAnsi="Calibri" w:cs="Calibri"/>
          <w:b/>
          <w:bCs/>
          <w:sz w:val="28"/>
          <w:szCs w:val="28"/>
          <w:lang w:val="pl-PL"/>
        </w:rPr>
      </w:pPr>
      <w:r>
        <w:rPr>
          <w:rFonts w:ascii="Calibri" w:eastAsia="Calibri" w:hAnsi="Calibri" w:cs="Calibri"/>
          <w:b/>
          <w:bCs/>
          <w:sz w:val="28"/>
          <w:szCs w:val="28"/>
        </w:rPr>
        <w:t>BIG InfoMonitor:</w:t>
      </w:r>
      <w:r w:rsidR="00CD2ADA" w:rsidRPr="00CD2ADA">
        <w:rPr>
          <w:rFonts w:ascii="Segoe UI" w:eastAsia="Times New Roman" w:hAnsi="Segoe UI" w:cs="Segoe UI"/>
          <w:sz w:val="21"/>
          <w:szCs w:val="21"/>
          <w:lang w:val="pl-PL"/>
        </w:rPr>
        <w:t xml:space="preserve"> </w:t>
      </w:r>
      <w:r w:rsidR="00CD2ADA" w:rsidRPr="00CD2ADA">
        <w:rPr>
          <w:rFonts w:ascii="Calibri" w:eastAsia="Calibri" w:hAnsi="Calibri" w:cs="Calibri"/>
          <w:b/>
          <w:bCs/>
          <w:sz w:val="28"/>
          <w:szCs w:val="28"/>
          <w:lang w:val="pl-PL"/>
        </w:rPr>
        <w:t>Fabryki pracują</w:t>
      </w:r>
      <w:r w:rsidR="003E7505">
        <w:rPr>
          <w:rFonts w:ascii="Calibri" w:eastAsia="Calibri" w:hAnsi="Calibri" w:cs="Calibri"/>
          <w:b/>
          <w:bCs/>
          <w:sz w:val="28"/>
          <w:szCs w:val="28"/>
          <w:lang w:val="pl-PL"/>
        </w:rPr>
        <w:t>, ich</w:t>
      </w:r>
      <w:r w:rsidR="00CD2ADA" w:rsidRPr="00CD2ADA">
        <w:rPr>
          <w:rFonts w:ascii="Calibri" w:eastAsia="Calibri" w:hAnsi="Calibri" w:cs="Calibri"/>
          <w:b/>
          <w:bCs/>
          <w:sz w:val="28"/>
          <w:szCs w:val="28"/>
          <w:lang w:val="pl-PL"/>
        </w:rPr>
        <w:t xml:space="preserve"> </w:t>
      </w:r>
      <w:r w:rsidR="00803FB8">
        <w:rPr>
          <w:rFonts w:ascii="Calibri" w:eastAsia="Calibri" w:hAnsi="Calibri" w:cs="Calibri"/>
          <w:b/>
          <w:bCs/>
          <w:sz w:val="28"/>
          <w:szCs w:val="28"/>
          <w:lang w:val="pl-PL"/>
        </w:rPr>
        <w:t>zaległości</w:t>
      </w:r>
      <w:r w:rsidR="00803FB8" w:rsidRPr="00CD2ADA">
        <w:rPr>
          <w:rFonts w:ascii="Calibri" w:eastAsia="Calibri" w:hAnsi="Calibri" w:cs="Calibri"/>
          <w:b/>
          <w:bCs/>
          <w:sz w:val="28"/>
          <w:szCs w:val="28"/>
          <w:lang w:val="pl-PL"/>
        </w:rPr>
        <w:t xml:space="preserve"> </w:t>
      </w:r>
      <w:r w:rsidR="00CD2ADA" w:rsidRPr="00CD2ADA">
        <w:rPr>
          <w:rFonts w:ascii="Calibri" w:eastAsia="Calibri" w:hAnsi="Calibri" w:cs="Calibri"/>
          <w:b/>
          <w:bCs/>
          <w:sz w:val="28"/>
          <w:szCs w:val="28"/>
          <w:lang w:val="pl-PL"/>
        </w:rPr>
        <w:t>też</w:t>
      </w:r>
      <w:r w:rsidR="00CD2ADA">
        <w:rPr>
          <w:rFonts w:ascii="Calibri" w:eastAsia="Calibri" w:hAnsi="Calibri" w:cs="Calibri"/>
          <w:b/>
          <w:bCs/>
          <w:sz w:val="28"/>
          <w:szCs w:val="28"/>
          <w:lang w:val="pl-PL"/>
        </w:rPr>
        <w:t xml:space="preserve">. </w:t>
      </w:r>
      <w:r w:rsidR="00B116C5" w:rsidRPr="00B116C5">
        <w:rPr>
          <w:rFonts w:ascii="Calibri" w:eastAsia="Calibri" w:hAnsi="Calibri" w:cs="Calibri"/>
          <w:b/>
          <w:bCs/>
          <w:sz w:val="28"/>
          <w:szCs w:val="28"/>
        </w:rPr>
        <w:t xml:space="preserve">Prawie 8,9 mld zł </w:t>
      </w:r>
      <w:r w:rsidR="00803FB8">
        <w:rPr>
          <w:rFonts w:ascii="Calibri" w:eastAsia="Calibri" w:hAnsi="Calibri" w:cs="Calibri"/>
          <w:b/>
          <w:bCs/>
          <w:sz w:val="28"/>
          <w:szCs w:val="28"/>
        </w:rPr>
        <w:t>przeterminowanego zadłużenia</w:t>
      </w:r>
      <w:r w:rsidR="00803FB8" w:rsidRPr="00B116C5">
        <w:rPr>
          <w:rFonts w:ascii="Calibri" w:eastAsia="Calibri" w:hAnsi="Calibri" w:cs="Calibri"/>
          <w:b/>
          <w:bCs/>
          <w:sz w:val="28"/>
          <w:szCs w:val="28"/>
        </w:rPr>
        <w:t xml:space="preserve"> </w:t>
      </w:r>
      <w:r w:rsidR="00B116C5" w:rsidRPr="00B116C5">
        <w:rPr>
          <w:rFonts w:ascii="Calibri" w:eastAsia="Calibri" w:hAnsi="Calibri" w:cs="Calibri"/>
          <w:b/>
          <w:bCs/>
          <w:sz w:val="28"/>
          <w:szCs w:val="28"/>
        </w:rPr>
        <w:t>w przemyśle</w:t>
      </w:r>
    </w:p>
    <w:p w14:paraId="4B2EDA9E" w14:textId="46A6090F" w:rsidR="00EA6BCF" w:rsidRDefault="003151EB">
      <w:pPr>
        <w:jc w:val="both"/>
        <w:rPr>
          <w:rFonts w:ascii="Calibri" w:eastAsia="Calibri" w:hAnsi="Calibri" w:cs="Calibri"/>
          <w:b/>
          <w:bCs/>
          <w:sz w:val="24"/>
          <w:szCs w:val="24"/>
        </w:rPr>
      </w:pPr>
      <w:r w:rsidRPr="003151EB">
        <w:rPr>
          <w:rFonts w:ascii="Calibri" w:eastAsia="Calibri" w:hAnsi="Calibri" w:cs="Calibri"/>
          <w:b/>
          <w:bCs/>
          <w:sz w:val="24"/>
          <w:szCs w:val="24"/>
        </w:rPr>
        <w:t>Polskie zakłady produkcyjne mierzą się z rosnącą presją płynnościową</w:t>
      </w:r>
      <w:r w:rsidR="006D384F">
        <w:rPr>
          <w:rFonts w:ascii="Calibri" w:eastAsia="Calibri" w:hAnsi="Calibri" w:cs="Calibri"/>
          <w:b/>
          <w:bCs/>
          <w:sz w:val="24"/>
          <w:szCs w:val="24"/>
        </w:rPr>
        <w:t xml:space="preserve">.  Nie widać jej jednak </w:t>
      </w:r>
      <w:r w:rsidR="003E7670">
        <w:rPr>
          <w:rFonts w:ascii="Calibri" w:eastAsia="Calibri" w:hAnsi="Calibri" w:cs="Calibri"/>
          <w:b/>
          <w:bCs/>
          <w:sz w:val="24"/>
          <w:szCs w:val="24"/>
        </w:rPr>
        <w:t xml:space="preserve">na razie </w:t>
      </w:r>
      <w:r w:rsidR="006D384F">
        <w:rPr>
          <w:rFonts w:ascii="Calibri" w:eastAsia="Calibri" w:hAnsi="Calibri" w:cs="Calibri"/>
          <w:b/>
          <w:bCs/>
          <w:sz w:val="24"/>
          <w:szCs w:val="24"/>
        </w:rPr>
        <w:t>w</w:t>
      </w:r>
      <w:r w:rsidRPr="003151EB">
        <w:rPr>
          <w:rFonts w:ascii="Calibri" w:eastAsia="Calibri" w:hAnsi="Calibri" w:cs="Calibri"/>
          <w:b/>
          <w:bCs/>
          <w:sz w:val="24"/>
          <w:szCs w:val="24"/>
        </w:rPr>
        <w:t xml:space="preserve"> masow</w:t>
      </w:r>
      <w:r w:rsidR="006D384F">
        <w:rPr>
          <w:rFonts w:ascii="Calibri" w:eastAsia="Calibri" w:hAnsi="Calibri" w:cs="Calibri"/>
          <w:b/>
          <w:bCs/>
          <w:sz w:val="24"/>
          <w:szCs w:val="24"/>
        </w:rPr>
        <w:t>ej</w:t>
      </w:r>
      <w:r w:rsidRPr="003151EB">
        <w:rPr>
          <w:rFonts w:ascii="Calibri" w:eastAsia="Calibri" w:hAnsi="Calibri" w:cs="Calibri"/>
          <w:b/>
          <w:bCs/>
          <w:sz w:val="24"/>
          <w:szCs w:val="24"/>
        </w:rPr>
        <w:t xml:space="preserve"> fal</w:t>
      </w:r>
      <w:r w:rsidR="006D384F">
        <w:rPr>
          <w:rFonts w:ascii="Calibri" w:eastAsia="Calibri" w:hAnsi="Calibri" w:cs="Calibri"/>
          <w:b/>
          <w:bCs/>
          <w:sz w:val="24"/>
          <w:szCs w:val="24"/>
        </w:rPr>
        <w:t>i</w:t>
      </w:r>
      <w:r w:rsidRPr="003151EB">
        <w:rPr>
          <w:rFonts w:ascii="Calibri" w:eastAsia="Calibri" w:hAnsi="Calibri" w:cs="Calibri"/>
          <w:b/>
          <w:bCs/>
          <w:sz w:val="24"/>
          <w:szCs w:val="24"/>
        </w:rPr>
        <w:t xml:space="preserve"> nowych bankructw, lecz </w:t>
      </w:r>
      <w:r w:rsidR="006D384F">
        <w:rPr>
          <w:rFonts w:ascii="Calibri" w:eastAsia="Calibri" w:hAnsi="Calibri" w:cs="Calibri"/>
          <w:b/>
          <w:bCs/>
          <w:sz w:val="24"/>
          <w:szCs w:val="24"/>
        </w:rPr>
        <w:t>szybkim</w:t>
      </w:r>
      <w:r w:rsidRPr="003151EB">
        <w:rPr>
          <w:rFonts w:ascii="Calibri" w:eastAsia="Calibri" w:hAnsi="Calibri" w:cs="Calibri"/>
          <w:b/>
          <w:bCs/>
          <w:sz w:val="24"/>
          <w:szCs w:val="24"/>
        </w:rPr>
        <w:t xml:space="preserve"> wzro</w:t>
      </w:r>
      <w:r w:rsidR="006D384F">
        <w:rPr>
          <w:rFonts w:ascii="Calibri" w:eastAsia="Calibri" w:hAnsi="Calibri" w:cs="Calibri"/>
          <w:b/>
          <w:bCs/>
          <w:sz w:val="24"/>
          <w:szCs w:val="24"/>
        </w:rPr>
        <w:t>ście</w:t>
      </w:r>
      <w:r w:rsidRPr="003151EB">
        <w:rPr>
          <w:rFonts w:ascii="Calibri" w:eastAsia="Calibri" w:hAnsi="Calibri" w:cs="Calibri"/>
          <w:b/>
          <w:bCs/>
          <w:sz w:val="24"/>
          <w:szCs w:val="24"/>
        </w:rPr>
        <w:t xml:space="preserve"> nieopłaconych </w:t>
      </w:r>
      <w:r w:rsidR="00803FB8">
        <w:rPr>
          <w:rFonts w:ascii="Calibri" w:eastAsia="Calibri" w:hAnsi="Calibri" w:cs="Calibri"/>
          <w:b/>
          <w:bCs/>
          <w:sz w:val="24"/>
          <w:szCs w:val="24"/>
        </w:rPr>
        <w:t xml:space="preserve">w terminie </w:t>
      </w:r>
      <w:r w:rsidRPr="003151EB">
        <w:rPr>
          <w:rFonts w:ascii="Calibri" w:eastAsia="Calibri" w:hAnsi="Calibri" w:cs="Calibri"/>
          <w:b/>
          <w:bCs/>
          <w:sz w:val="24"/>
          <w:szCs w:val="24"/>
        </w:rPr>
        <w:t xml:space="preserve">faktur przypadających na pojedyncze przedsiębiorstwo. Jak wynika z najnowszych danych </w:t>
      </w:r>
      <w:r w:rsidR="0013109C">
        <w:rPr>
          <w:rFonts w:ascii="Calibri" w:eastAsia="Calibri" w:hAnsi="Calibri" w:cs="Calibri"/>
          <w:b/>
          <w:bCs/>
          <w:sz w:val="24"/>
          <w:szCs w:val="24"/>
        </w:rPr>
        <w:t>R</w:t>
      </w:r>
      <w:r w:rsidR="003E7670">
        <w:rPr>
          <w:rFonts w:ascii="Calibri" w:eastAsia="Calibri" w:hAnsi="Calibri" w:cs="Calibri"/>
          <w:b/>
          <w:bCs/>
          <w:sz w:val="24"/>
          <w:szCs w:val="24"/>
        </w:rPr>
        <w:t xml:space="preserve">ejestru </w:t>
      </w:r>
      <w:r w:rsidR="0013109C">
        <w:rPr>
          <w:rFonts w:ascii="Calibri" w:eastAsia="Calibri" w:hAnsi="Calibri" w:cs="Calibri"/>
          <w:b/>
          <w:bCs/>
          <w:sz w:val="24"/>
          <w:szCs w:val="24"/>
        </w:rPr>
        <w:t>D</w:t>
      </w:r>
      <w:r w:rsidR="003E7670">
        <w:rPr>
          <w:rFonts w:ascii="Calibri" w:eastAsia="Calibri" w:hAnsi="Calibri" w:cs="Calibri"/>
          <w:b/>
          <w:bCs/>
          <w:sz w:val="24"/>
          <w:szCs w:val="24"/>
        </w:rPr>
        <w:t xml:space="preserve">łużników </w:t>
      </w:r>
      <w:r w:rsidRPr="003151EB">
        <w:rPr>
          <w:rFonts w:ascii="Calibri" w:eastAsia="Calibri" w:hAnsi="Calibri" w:cs="Calibri"/>
          <w:b/>
          <w:bCs/>
          <w:sz w:val="24"/>
          <w:szCs w:val="24"/>
        </w:rPr>
        <w:t xml:space="preserve">BIG InfoMonitor i </w:t>
      </w:r>
      <w:r w:rsidR="003E7670">
        <w:rPr>
          <w:rFonts w:ascii="Calibri" w:eastAsia="Calibri" w:hAnsi="Calibri" w:cs="Calibri"/>
          <w:b/>
          <w:bCs/>
          <w:sz w:val="24"/>
          <w:szCs w:val="24"/>
        </w:rPr>
        <w:t xml:space="preserve">opóźnionych zobowiązań kredytowych w bazie </w:t>
      </w:r>
      <w:r w:rsidRPr="003151EB">
        <w:rPr>
          <w:rFonts w:ascii="Calibri" w:eastAsia="Calibri" w:hAnsi="Calibri" w:cs="Calibri"/>
          <w:b/>
          <w:bCs/>
          <w:sz w:val="24"/>
          <w:szCs w:val="24"/>
        </w:rPr>
        <w:t xml:space="preserve">BIK, przeterminowane zaległości w przetwórstwie przemysłowym </w:t>
      </w:r>
      <w:r w:rsidR="0013109C">
        <w:rPr>
          <w:rFonts w:ascii="Calibri" w:eastAsia="Calibri" w:hAnsi="Calibri" w:cs="Calibri"/>
          <w:b/>
          <w:bCs/>
          <w:sz w:val="24"/>
          <w:szCs w:val="24"/>
        </w:rPr>
        <w:t>osiągnęły</w:t>
      </w:r>
      <w:r w:rsidRPr="003151EB">
        <w:rPr>
          <w:rFonts w:ascii="Calibri" w:eastAsia="Calibri" w:hAnsi="Calibri" w:cs="Calibri"/>
          <w:b/>
          <w:bCs/>
          <w:sz w:val="24"/>
          <w:szCs w:val="24"/>
        </w:rPr>
        <w:t xml:space="preserve"> już </w:t>
      </w:r>
      <w:r w:rsidR="0013109C">
        <w:rPr>
          <w:rFonts w:ascii="Calibri" w:eastAsia="Calibri" w:hAnsi="Calibri" w:cs="Calibri"/>
          <w:b/>
          <w:bCs/>
          <w:sz w:val="24"/>
          <w:szCs w:val="24"/>
        </w:rPr>
        <w:t xml:space="preserve">poziom blisko </w:t>
      </w:r>
      <w:r w:rsidRPr="003151EB">
        <w:rPr>
          <w:rFonts w:ascii="Calibri" w:eastAsia="Calibri" w:hAnsi="Calibri" w:cs="Calibri"/>
          <w:b/>
          <w:bCs/>
          <w:sz w:val="24"/>
          <w:szCs w:val="24"/>
        </w:rPr>
        <w:t>8,</w:t>
      </w:r>
      <w:r w:rsidR="0013109C">
        <w:rPr>
          <w:rFonts w:ascii="Calibri" w:eastAsia="Calibri" w:hAnsi="Calibri" w:cs="Calibri"/>
          <w:b/>
          <w:bCs/>
          <w:sz w:val="24"/>
          <w:szCs w:val="24"/>
        </w:rPr>
        <w:t>9</w:t>
      </w:r>
      <w:r w:rsidRPr="003151EB">
        <w:rPr>
          <w:rFonts w:ascii="Calibri" w:eastAsia="Calibri" w:hAnsi="Calibri" w:cs="Calibri"/>
          <w:b/>
          <w:bCs/>
          <w:sz w:val="24"/>
          <w:szCs w:val="24"/>
        </w:rPr>
        <w:t xml:space="preserve"> mld zł, co oznacza wzrost o 17,7 proc. rok do roku. W tym samym czasie </w:t>
      </w:r>
      <w:r w:rsidR="006D384F">
        <w:rPr>
          <w:rFonts w:ascii="Calibri" w:eastAsia="Calibri" w:hAnsi="Calibri" w:cs="Calibri"/>
          <w:b/>
          <w:bCs/>
          <w:sz w:val="24"/>
          <w:szCs w:val="24"/>
        </w:rPr>
        <w:t>liczba</w:t>
      </w:r>
      <w:r w:rsidRPr="003151EB">
        <w:rPr>
          <w:rFonts w:ascii="Calibri" w:eastAsia="Calibri" w:hAnsi="Calibri" w:cs="Calibri"/>
          <w:b/>
          <w:bCs/>
          <w:sz w:val="24"/>
          <w:szCs w:val="24"/>
        </w:rPr>
        <w:t xml:space="preserve"> </w:t>
      </w:r>
      <w:r w:rsidR="00803FB8">
        <w:rPr>
          <w:rFonts w:ascii="Calibri" w:eastAsia="Calibri" w:hAnsi="Calibri" w:cs="Calibri"/>
          <w:b/>
          <w:bCs/>
          <w:sz w:val="24"/>
          <w:szCs w:val="24"/>
        </w:rPr>
        <w:t xml:space="preserve">niesolidnych </w:t>
      </w:r>
      <w:r w:rsidRPr="003151EB">
        <w:rPr>
          <w:rFonts w:ascii="Calibri" w:eastAsia="Calibri" w:hAnsi="Calibri" w:cs="Calibri"/>
          <w:b/>
          <w:bCs/>
          <w:sz w:val="24"/>
          <w:szCs w:val="24"/>
        </w:rPr>
        <w:t>dłużników zwiększył</w:t>
      </w:r>
      <w:r w:rsidR="006D384F">
        <w:rPr>
          <w:rFonts w:ascii="Calibri" w:eastAsia="Calibri" w:hAnsi="Calibri" w:cs="Calibri"/>
          <w:b/>
          <w:bCs/>
          <w:sz w:val="24"/>
          <w:szCs w:val="24"/>
        </w:rPr>
        <w:t>a</w:t>
      </w:r>
      <w:r w:rsidRPr="003151EB">
        <w:rPr>
          <w:rFonts w:ascii="Calibri" w:eastAsia="Calibri" w:hAnsi="Calibri" w:cs="Calibri"/>
          <w:b/>
          <w:bCs/>
          <w:sz w:val="24"/>
          <w:szCs w:val="24"/>
        </w:rPr>
        <w:t xml:space="preserve"> się </w:t>
      </w:r>
      <w:r>
        <w:rPr>
          <w:rFonts w:ascii="Calibri" w:eastAsia="Calibri" w:hAnsi="Calibri" w:cs="Calibri"/>
          <w:b/>
          <w:bCs/>
          <w:sz w:val="24"/>
          <w:szCs w:val="24"/>
        </w:rPr>
        <w:t>nieznacznie</w:t>
      </w:r>
      <w:r w:rsidR="00451232">
        <w:rPr>
          <w:rFonts w:ascii="Calibri" w:eastAsia="Calibri" w:hAnsi="Calibri" w:cs="Calibri"/>
          <w:b/>
          <w:bCs/>
          <w:sz w:val="24"/>
          <w:szCs w:val="24"/>
        </w:rPr>
        <w:t>.</w:t>
      </w:r>
      <w:r w:rsidR="006D384F">
        <w:rPr>
          <w:rFonts w:ascii="Calibri" w:eastAsia="Calibri" w:hAnsi="Calibri" w:cs="Calibri"/>
          <w:b/>
          <w:bCs/>
          <w:sz w:val="24"/>
          <w:szCs w:val="24"/>
        </w:rPr>
        <w:t xml:space="preserve"> To sygnał</w:t>
      </w:r>
      <w:r w:rsidRPr="003151EB">
        <w:rPr>
          <w:rFonts w:ascii="Calibri" w:eastAsia="Calibri" w:hAnsi="Calibri" w:cs="Calibri"/>
          <w:b/>
          <w:bCs/>
          <w:sz w:val="24"/>
          <w:szCs w:val="24"/>
        </w:rPr>
        <w:t>, że obecn</w:t>
      </w:r>
      <w:r w:rsidR="005A2436">
        <w:rPr>
          <w:rFonts w:ascii="Calibri" w:eastAsia="Calibri" w:hAnsi="Calibri" w:cs="Calibri"/>
          <w:b/>
          <w:bCs/>
          <w:sz w:val="24"/>
          <w:szCs w:val="24"/>
        </w:rPr>
        <w:t>a</w:t>
      </w:r>
      <w:r w:rsidRPr="003151EB">
        <w:rPr>
          <w:rFonts w:ascii="Calibri" w:eastAsia="Calibri" w:hAnsi="Calibri" w:cs="Calibri"/>
          <w:b/>
          <w:bCs/>
          <w:sz w:val="24"/>
          <w:szCs w:val="24"/>
        </w:rPr>
        <w:t xml:space="preserve"> </w:t>
      </w:r>
      <w:r w:rsidR="005A2436">
        <w:rPr>
          <w:rFonts w:ascii="Calibri" w:eastAsia="Calibri" w:hAnsi="Calibri" w:cs="Calibri"/>
          <w:b/>
          <w:bCs/>
          <w:sz w:val="24"/>
          <w:szCs w:val="24"/>
        </w:rPr>
        <w:t>sytuacja</w:t>
      </w:r>
      <w:r w:rsidR="005A2436" w:rsidRPr="003151EB">
        <w:rPr>
          <w:rFonts w:ascii="Calibri" w:eastAsia="Calibri" w:hAnsi="Calibri" w:cs="Calibri"/>
          <w:b/>
          <w:bCs/>
          <w:sz w:val="24"/>
          <w:szCs w:val="24"/>
        </w:rPr>
        <w:t xml:space="preserve"> </w:t>
      </w:r>
      <w:r w:rsidRPr="003151EB">
        <w:rPr>
          <w:rFonts w:ascii="Calibri" w:eastAsia="Calibri" w:hAnsi="Calibri" w:cs="Calibri"/>
          <w:b/>
          <w:bCs/>
          <w:sz w:val="24"/>
          <w:szCs w:val="24"/>
        </w:rPr>
        <w:t>gospodarcz</w:t>
      </w:r>
      <w:r w:rsidR="005A2436">
        <w:rPr>
          <w:rFonts w:ascii="Calibri" w:eastAsia="Calibri" w:hAnsi="Calibri" w:cs="Calibri"/>
          <w:b/>
          <w:bCs/>
          <w:sz w:val="24"/>
          <w:szCs w:val="24"/>
        </w:rPr>
        <w:t>a</w:t>
      </w:r>
      <w:r w:rsidRPr="003151EB">
        <w:rPr>
          <w:rFonts w:ascii="Calibri" w:eastAsia="Calibri" w:hAnsi="Calibri" w:cs="Calibri"/>
          <w:b/>
          <w:bCs/>
          <w:sz w:val="24"/>
          <w:szCs w:val="24"/>
        </w:rPr>
        <w:t xml:space="preserve"> dotyka najmocniej firmy już </w:t>
      </w:r>
      <w:r w:rsidR="006D384F">
        <w:rPr>
          <w:rFonts w:ascii="Calibri" w:eastAsia="Calibri" w:hAnsi="Calibri" w:cs="Calibri"/>
          <w:b/>
          <w:bCs/>
          <w:sz w:val="24"/>
          <w:szCs w:val="24"/>
        </w:rPr>
        <w:t xml:space="preserve">wcześniej </w:t>
      </w:r>
      <w:r w:rsidRPr="003151EB">
        <w:rPr>
          <w:rFonts w:ascii="Calibri" w:eastAsia="Calibri" w:hAnsi="Calibri" w:cs="Calibri"/>
          <w:b/>
          <w:bCs/>
          <w:sz w:val="24"/>
          <w:szCs w:val="24"/>
        </w:rPr>
        <w:t xml:space="preserve">obciążone </w:t>
      </w:r>
      <w:r w:rsidR="00803FB8">
        <w:rPr>
          <w:rFonts w:ascii="Calibri" w:eastAsia="Calibri" w:hAnsi="Calibri" w:cs="Calibri"/>
          <w:b/>
          <w:bCs/>
          <w:sz w:val="24"/>
          <w:szCs w:val="24"/>
        </w:rPr>
        <w:t>zaległościami</w:t>
      </w:r>
      <w:r w:rsidRPr="003151EB">
        <w:rPr>
          <w:rFonts w:ascii="Calibri" w:eastAsia="Calibri" w:hAnsi="Calibri" w:cs="Calibri"/>
          <w:b/>
          <w:bCs/>
          <w:sz w:val="24"/>
          <w:szCs w:val="24"/>
        </w:rPr>
        <w:t xml:space="preserve">, podnosząc ryzyko </w:t>
      </w:r>
      <w:r w:rsidR="00803FB8">
        <w:rPr>
          <w:rFonts w:ascii="Calibri" w:eastAsia="Calibri" w:hAnsi="Calibri" w:cs="Calibri"/>
          <w:b/>
          <w:bCs/>
          <w:sz w:val="24"/>
          <w:szCs w:val="24"/>
        </w:rPr>
        <w:t>finansowe</w:t>
      </w:r>
      <w:r w:rsidR="00803FB8" w:rsidRPr="003151EB">
        <w:rPr>
          <w:rFonts w:ascii="Calibri" w:eastAsia="Calibri" w:hAnsi="Calibri" w:cs="Calibri"/>
          <w:b/>
          <w:bCs/>
          <w:sz w:val="24"/>
          <w:szCs w:val="24"/>
        </w:rPr>
        <w:t xml:space="preserve"> </w:t>
      </w:r>
      <w:r w:rsidRPr="003151EB">
        <w:rPr>
          <w:rFonts w:ascii="Calibri" w:eastAsia="Calibri" w:hAnsi="Calibri" w:cs="Calibri"/>
          <w:b/>
          <w:bCs/>
          <w:sz w:val="24"/>
          <w:szCs w:val="24"/>
        </w:rPr>
        <w:t>w całym sektorze.</w:t>
      </w:r>
      <w:r w:rsidR="001F4488">
        <w:rPr>
          <w:rFonts w:ascii="Calibri" w:eastAsia="Calibri" w:hAnsi="Calibri" w:cs="Calibri"/>
          <w:b/>
          <w:bCs/>
          <w:sz w:val="24"/>
          <w:szCs w:val="24"/>
        </w:rPr>
        <w:t xml:space="preserve"> Najwyższy udział </w:t>
      </w:r>
      <w:r w:rsidR="006D384F">
        <w:rPr>
          <w:rFonts w:ascii="Calibri" w:eastAsia="Calibri" w:hAnsi="Calibri" w:cs="Calibri"/>
          <w:b/>
          <w:bCs/>
          <w:sz w:val="24"/>
          <w:szCs w:val="24"/>
        </w:rPr>
        <w:t xml:space="preserve">wartości </w:t>
      </w:r>
      <w:r w:rsidR="001F4488">
        <w:rPr>
          <w:rFonts w:ascii="Calibri" w:eastAsia="Calibri" w:hAnsi="Calibri" w:cs="Calibri"/>
          <w:b/>
          <w:bCs/>
          <w:sz w:val="24"/>
          <w:szCs w:val="24"/>
        </w:rPr>
        <w:t>zaległości mają producenci artykułów spożywczych.</w:t>
      </w:r>
    </w:p>
    <w:p w14:paraId="2E6533B8" w14:textId="77777777" w:rsidR="003151EB" w:rsidRDefault="003151EB">
      <w:pPr>
        <w:jc w:val="both"/>
        <w:rPr>
          <w:rFonts w:ascii="Calibri" w:eastAsia="Calibri" w:hAnsi="Calibri" w:cs="Calibri"/>
          <w:b/>
          <w:bCs/>
          <w:sz w:val="24"/>
          <w:szCs w:val="24"/>
        </w:rPr>
      </w:pPr>
    </w:p>
    <w:p w14:paraId="28C3E037" w14:textId="6FE9D596" w:rsidR="003151EB" w:rsidRDefault="003151EB">
      <w:pPr>
        <w:jc w:val="both"/>
        <w:rPr>
          <w:rFonts w:ascii="Calibri" w:eastAsia="Calibri" w:hAnsi="Calibri" w:cs="Calibri"/>
          <w:b/>
          <w:bCs/>
          <w:sz w:val="24"/>
          <w:szCs w:val="24"/>
        </w:rPr>
      </w:pPr>
      <w:r>
        <w:rPr>
          <w:rFonts w:ascii="Calibri" w:eastAsia="Calibri" w:hAnsi="Calibri" w:cs="Calibri"/>
          <w:b/>
          <w:bCs/>
          <w:sz w:val="24"/>
          <w:szCs w:val="24"/>
        </w:rPr>
        <w:t>Kluczowe dane:</w:t>
      </w:r>
    </w:p>
    <w:p w14:paraId="35B6EF08" w14:textId="77777777" w:rsidR="003151EB" w:rsidRDefault="003151EB">
      <w:pPr>
        <w:jc w:val="both"/>
        <w:rPr>
          <w:rFonts w:ascii="Calibri" w:eastAsia="Calibri" w:hAnsi="Calibri" w:cs="Calibri"/>
        </w:rPr>
      </w:pPr>
    </w:p>
    <w:p w14:paraId="556A00F8" w14:textId="3094DE79" w:rsidR="00D25E86" w:rsidRDefault="00441D4F">
      <w:pPr>
        <w:numPr>
          <w:ilvl w:val="0"/>
          <w:numId w:val="1"/>
        </w:numPr>
        <w:jc w:val="both"/>
        <w:rPr>
          <w:rFonts w:ascii="Calibri" w:eastAsia="Calibri" w:hAnsi="Calibri" w:cs="Calibri"/>
          <w:b/>
          <w:bCs/>
        </w:rPr>
      </w:pPr>
      <w:r w:rsidRPr="003151EB">
        <w:rPr>
          <w:rFonts w:ascii="Calibri" w:eastAsia="Calibri" w:hAnsi="Calibri" w:cs="Calibri"/>
          <w:b/>
          <w:bCs/>
        </w:rPr>
        <w:t xml:space="preserve">Zaległości płatnicze w przemyśle wzrosły w ciągu </w:t>
      </w:r>
      <w:r w:rsidR="00D25E86">
        <w:rPr>
          <w:rFonts w:ascii="Calibri" w:eastAsia="Calibri" w:hAnsi="Calibri" w:cs="Calibri"/>
          <w:b/>
          <w:bCs/>
        </w:rPr>
        <w:t>12 miesięcy</w:t>
      </w:r>
      <w:r w:rsidRPr="003151EB">
        <w:rPr>
          <w:rFonts w:ascii="Calibri" w:eastAsia="Calibri" w:hAnsi="Calibri" w:cs="Calibri"/>
          <w:b/>
          <w:bCs/>
        </w:rPr>
        <w:t xml:space="preserve"> o 17,7 proc. </w:t>
      </w:r>
      <w:r w:rsidR="006D384F">
        <w:rPr>
          <w:rFonts w:ascii="Calibri" w:eastAsia="Calibri" w:hAnsi="Calibri" w:cs="Calibri"/>
          <w:b/>
          <w:bCs/>
        </w:rPr>
        <w:t>osiągając na koniec lipca 2026 r.</w:t>
      </w:r>
      <w:r w:rsidR="006D384F" w:rsidRPr="003151EB" w:rsidDel="00D25E86">
        <w:rPr>
          <w:rFonts w:ascii="Calibri" w:eastAsia="Calibri" w:hAnsi="Calibri" w:cs="Calibri"/>
          <w:b/>
          <w:bCs/>
        </w:rPr>
        <w:t xml:space="preserve"> </w:t>
      </w:r>
      <w:r w:rsidRPr="003151EB">
        <w:rPr>
          <w:rFonts w:ascii="Calibri" w:eastAsia="Calibri" w:hAnsi="Calibri" w:cs="Calibri"/>
          <w:b/>
          <w:bCs/>
        </w:rPr>
        <w:t>8,</w:t>
      </w:r>
      <w:r w:rsidR="00161500">
        <w:rPr>
          <w:rFonts w:ascii="Calibri" w:eastAsia="Calibri" w:hAnsi="Calibri" w:cs="Calibri"/>
          <w:b/>
          <w:bCs/>
        </w:rPr>
        <w:t>9</w:t>
      </w:r>
      <w:r w:rsidRPr="003151EB">
        <w:rPr>
          <w:rFonts w:ascii="Calibri" w:eastAsia="Calibri" w:hAnsi="Calibri" w:cs="Calibri"/>
          <w:b/>
          <w:bCs/>
        </w:rPr>
        <w:t xml:space="preserve"> mld zł</w:t>
      </w:r>
      <w:r w:rsidR="00D25E86">
        <w:rPr>
          <w:rFonts w:ascii="Calibri" w:eastAsia="Calibri" w:hAnsi="Calibri" w:cs="Calibri"/>
          <w:b/>
          <w:bCs/>
        </w:rPr>
        <w:t>;</w:t>
      </w:r>
    </w:p>
    <w:p w14:paraId="64C05533" w14:textId="60FC3152" w:rsidR="00EA6BCF" w:rsidRDefault="00D25E86">
      <w:pPr>
        <w:numPr>
          <w:ilvl w:val="0"/>
          <w:numId w:val="1"/>
        </w:numPr>
        <w:jc w:val="both"/>
        <w:rPr>
          <w:rFonts w:ascii="Calibri" w:eastAsia="Calibri" w:hAnsi="Calibri" w:cs="Calibri"/>
          <w:b/>
          <w:bCs/>
        </w:rPr>
      </w:pPr>
      <w:r>
        <w:rPr>
          <w:rFonts w:ascii="Calibri" w:eastAsia="Calibri" w:hAnsi="Calibri" w:cs="Calibri"/>
          <w:b/>
          <w:bCs/>
        </w:rPr>
        <w:t>L</w:t>
      </w:r>
      <w:r w:rsidRPr="003151EB">
        <w:rPr>
          <w:rFonts w:ascii="Calibri" w:eastAsia="Calibri" w:hAnsi="Calibri" w:cs="Calibri"/>
          <w:b/>
          <w:bCs/>
        </w:rPr>
        <w:t>iczba firm z zaległości</w:t>
      </w:r>
      <w:r>
        <w:rPr>
          <w:rFonts w:ascii="Calibri" w:eastAsia="Calibri" w:hAnsi="Calibri" w:cs="Calibri"/>
          <w:b/>
          <w:bCs/>
        </w:rPr>
        <w:t>ami</w:t>
      </w:r>
      <w:r w:rsidRPr="003151EB">
        <w:rPr>
          <w:rFonts w:ascii="Calibri" w:eastAsia="Calibri" w:hAnsi="Calibri" w:cs="Calibri"/>
          <w:b/>
          <w:bCs/>
        </w:rPr>
        <w:t xml:space="preserve"> zwiększyła się </w:t>
      </w:r>
      <w:r>
        <w:rPr>
          <w:rFonts w:ascii="Calibri" w:eastAsia="Calibri" w:hAnsi="Calibri" w:cs="Calibri"/>
          <w:b/>
          <w:bCs/>
        </w:rPr>
        <w:t xml:space="preserve">w tym czasie </w:t>
      </w:r>
      <w:r w:rsidRPr="003151EB">
        <w:rPr>
          <w:rFonts w:ascii="Calibri" w:eastAsia="Calibri" w:hAnsi="Calibri" w:cs="Calibri"/>
          <w:b/>
          <w:bCs/>
        </w:rPr>
        <w:t>zaledwie o 0,04 proc., do 26,8 tys</w:t>
      </w:r>
      <w:r w:rsidR="003151EB">
        <w:rPr>
          <w:rFonts w:ascii="Calibri" w:eastAsia="Calibri" w:hAnsi="Calibri" w:cs="Calibri"/>
          <w:b/>
          <w:bCs/>
        </w:rPr>
        <w:t>.;</w:t>
      </w:r>
    </w:p>
    <w:p w14:paraId="33765160" w14:textId="45FD0635" w:rsidR="00D25E86" w:rsidRDefault="00D25E86">
      <w:pPr>
        <w:numPr>
          <w:ilvl w:val="0"/>
          <w:numId w:val="1"/>
        </w:numPr>
        <w:jc w:val="both"/>
        <w:rPr>
          <w:rFonts w:ascii="Calibri" w:eastAsia="Calibri" w:hAnsi="Calibri" w:cs="Calibri"/>
          <w:b/>
          <w:bCs/>
        </w:rPr>
      </w:pPr>
      <w:r>
        <w:rPr>
          <w:rFonts w:ascii="Calibri" w:eastAsia="Calibri" w:hAnsi="Calibri" w:cs="Calibri"/>
          <w:b/>
          <w:bCs/>
        </w:rPr>
        <w:t xml:space="preserve">331 tys. zł </w:t>
      </w:r>
      <w:r w:rsidR="006D384F">
        <w:rPr>
          <w:rFonts w:ascii="Calibri" w:eastAsia="Calibri" w:hAnsi="Calibri" w:cs="Calibri"/>
          <w:b/>
          <w:bCs/>
        </w:rPr>
        <w:t>wynosi</w:t>
      </w:r>
      <w:r>
        <w:rPr>
          <w:rFonts w:ascii="Calibri" w:eastAsia="Calibri" w:hAnsi="Calibri" w:cs="Calibri"/>
          <w:b/>
          <w:bCs/>
        </w:rPr>
        <w:t xml:space="preserve"> średnia zaległość przypadająca na jedno przedsiębiorstwo przemysłowe;</w:t>
      </w:r>
    </w:p>
    <w:p w14:paraId="19595C0F" w14:textId="66A8F124" w:rsidR="00D25E86" w:rsidRPr="003151EB" w:rsidRDefault="00D25E86">
      <w:pPr>
        <w:numPr>
          <w:ilvl w:val="0"/>
          <w:numId w:val="1"/>
        </w:numPr>
        <w:jc w:val="both"/>
        <w:rPr>
          <w:rFonts w:ascii="Calibri" w:eastAsia="Calibri" w:hAnsi="Calibri" w:cs="Calibri"/>
          <w:b/>
          <w:bCs/>
        </w:rPr>
      </w:pPr>
      <w:r>
        <w:rPr>
          <w:rFonts w:ascii="Calibri" w:eastAsia="Calibri" w:hAnsi="Calibri" w:cs="Calibri"/>
          <w:b/>
          <w:bCs/>
        </w:rPr>
        <w:t xml:space="preserve">Za przeważającą część zaległości całego sektora odpowiadają </w:t>
      </w:r>
      <w:r w:rsidR="006D384F">
        <w:rPr>
          <w:rFonts w:ascii="Calibri" w:eastAsia="Calibri" w:hAnsi="Calibri" w:cs="Calibri"/>
          <w:b/>
          <w:bCs/>
        </w:rPr>
        <w:t>producenci</w:t>
      </w:r>
      <w:r>
        <w:rPr>
          <w:rFonts w:ascii="Calibri" w:eastAsia="Calibri" w:hAnsi="Calibri" w:cs="Calibri"/>
          <w:b/>
          <w:bCs/>
        </w:rPr>
        <w:t xml:space="preserve"> artykuł</w:t>
      </w:r>
      <w:r w:rsidR="006D384F">
        <w:rPr>
          <w:rFonts w:ascii="Calibri" w:eastAsia="Calibri" w:hAnsi="Calibri" w:cs="Calibri"/>
          <w:b/>
          <w:bCs/>
        </w:rPr>
        <w:t>ów</w:t>
      </w:r>
      <w:r>
        <w:rPr>
          <w:rFonts w:ascii="Calibri" w:eastAsia="Calibri" w:hAnsi="Calibri" w:cs="Calibri"/>
          <w:b/>
          <w:bCs/>
        </w:rPr>
        <w:t xml:space="preserve"> spożywcz</w:t>
      </w:r>
      <w:r w:rsidR="006D384F">
        <w:rPr>
          <w:rFonts w:ascii="Calibri" w:eastAsia="Calibri" w:hAnsi="Calibri" w:cs="Calibri"/>
          <w:b/>
          <w:bCs/>
        </w:rPr>
        <w:t>ych</w:t>
      </w:r>
      <w:r>
        <w:rPr>
          <w:rFonts w:ascii="Calibri" w:eastAsia="Calibri" w:hAnsi="Calibri" w:cs="Calibri"/>
          <w:b/>
          <w:bCs/>
        </w:rPr>
        <w:t xml:space="preserve"> – 1,5 mld zł (16,9 proc.);</w:t>
      </w:r>
    </w:p>
    <w:p w14:paraId="41917578" w14:textId="7A37D368" w:rsidR="00EA6BCF" w:rsidRPr="003151EB" w:rsidRDefault="00441D4F">
      <w:pPr>
        <w:numPr>
          <w:ilvl w:val="0"/>
          <w:numId w:val="1"/>
        </w:numPr>
        <w:jc w:val="both"/>
        <w:rPr>
          <w:rFonts w:ascii="Calibri" w:eastAsia="Calibri" w:hAnsi="Calibri" w:cs="Calibri"/>
          <w:b/>
          <w:bCs/>
        </w:rPr>
      </w:pPr>
      <w:r w:rsidRPr="003151EB">
        <w:rPr>
          <w:rFonts w:ascii="Calibri" w:eastAsia="Calibri" w:hAnsi="Calibri" w:cs="Calibri"/>
          <w:b/>
          <w:bCs/>
        </w:rPr>
        <w:t>Ponad połowa firm produkcyjnych miała w ostatnich 3 miesiącach należności przeterminowane powyżej 30 dni</w:t>
      </w:r>
      <w:r w:rsidR="005315E5">
        <w:rPr>
          <w:rFonts w:ascii="Calibri" w:eastAsia="Calibri" w:hAnsi="Calibri" w:cs="Calibri"/>
          <w:b/>
          <w:bCs/>
        </w:rPr>
        <w:t xml:space="preserve"> -</w:t>
      </w:r>
      <w:r w:rsidRPr="003151EB">
        <w:rPr>
          <w:rFonts w:ascii="Calibri" w:eastAsia="Calibri" w:hAnsi="Calibri" w:cs="Calibri"/>
          <w:b/>
          <w:bCs/>
        </w:rPr>
        <w:t xml:space="preserve"> więcej niż w handlu i usługach.</w:t>
      </w:r>
    </w:p>
    <w:p w14:paraId="045464AC" w14:textId="77777777" w:rsidR="00EA6BCF" w:rsidRDefault="00EA6BCF">
      <w:pPr>
        <w:jc w:val="both"/>
        <w:rPr>
          <w:rFonts w:ascii="Calibri" w:eastAsia="Calibri" w:hAnsi="Calibri" w:cs="Calibri"/>
        </w:rPr>
      </w:pPr>
    </w:p>
    <w:p w14:paraId="34A6D96D" w14:textId="1D911C31" w:rsidR="00EA6BCF" w:rsidRDefault="00441D4F">
      <w:pPr>
        <w:jc w:val="both"/>
        <w:rPr>
          <w:rFonts w:ascii="Calibri" w:eastAsia="Calibri" w:hAnsi="Calibri" w:cs="Calibri"/>
        </w:rPr>
      </w:pPr>
      <w:r>
        <w:rPr>
          <w:rFonts w:ascii="Calibri" w:eastAsia="Calibri" w:hAnsi="Calibri" w:cs="Calibri"/>
        </w:rPr>
        <w:t>Przemysł to jeden z najważniejszych segmentów polskiej gospodarki. W 2025 r. produkcja sprzedana przemysłu zwiększyła się realnie o 3,1 proc., a w samym przetwórstwie przemysłowym, czyli głównej części sektora, wzrosła o 3,4 proc.</w:t>
      </w:r>
      <w:r>
        <w:rPr>
          <w:rFonts w:ascii="Calibri" w:eastAsia="Calibri" w:hAnsi="Calibri" w:cs="Calibri"/>
          <w:vertAlign w:val="superscript"/>
        </w:rPr>
        <w:footnoteReference w:id="1"/>
      </w:r>
      <w:r>
        <w:rPr>
          <w:rFonts w:ascii="Calibri" w:eastAsia="Calibri" w:hAnsi="Calibri" w:cs="Calibri"/>
        </w:rPr>
        <w:t xml:space="preserve"> Skala rynku jest duża także pod względem liczby przedsiębiorstw. Pod koniec </w:t>
      </w:r>
      <w:r w:rsidR="005315E5">
        <w:rPr>
          <w:rFonts w:ascii="Calibri" w:eastAsia="Calibri" w:hAnsi="Calibri" w:cs="Calibri"/>
        </w:rPr>
        <w:t>ubiegłego roku</w:t>
      </w:r>
      <w:r>
        <w:rPr>
          <w:rFonts w:ascii="Calibri" w:eastAsia="Calibri" w:hAnsi="Calibri" w:cs="Calibri"/>
        </w:rPr>
        <w:t xml:space="preserve"> w Polsce działało około 239 tys. aktywnych firm przetwórstwa </w:t>
      </w:r>
      <w:r>
        <w:rPr>
          <w:rFonts w:ascii="Calibri" w:eastAsia="Calibri" w:hAnsi="Calibri" w:cs="Calibri"/>
        </w:rPr>
        <w:lastRenderedPageBreak/>
        <w:t>przemysłowego.</w:t>
      </w:r>
      <w:r>
        <w:rPr>
          <w:rFonts w:ascii="Calibri" w:eastAsia="Calibri" w:hAnsi="Calibri" w:cs="Calibri"/>
          <w:vertAlign w:val="superscript"/>
        </w:rPr>
        <w:footnoteReference w:id="2"/>
      </w:r>
      <w:r>
        <w:rPr>
          <w:rFonts w:ascii="Calibri" w:eastAsia="Calibri" w:hAnsi="Calibri" w:cs="Calibri"/>
        </w:rPr>
        <w:t xml:space="preserve"> To właśnie w tym sektorze skupia się duża część działalności produkcyjnej, a jego kondycja przekłada się na sytuację wielu firm współpracujących ze sobą w łańcuchach dostaw. </w:t>
      </w:r>
      <w:r w:rsidR="005315E5">
        <w:rPr>
          <w:rFonts w:ascii="Calibri" w:eastAsia="Calibri" w:hAnsi="Calibri" w:cs="Calibri"/>
        </w:rPr>
        <w:t>Z</w:t>
      </w:r>
      <w:r>
        <w:rPr>
          <w:rFonts w:ascii="Calibri" w:eastAsia="Calibri" w:hAnsi="Calibri" w:cs="Calibri"/>
        </w:rPr>
        <w:t xml:space="preserve">aległości płatnicze </w:t>
      </w:r>
      <w:r w:rsidR="005315E5">
        <w:rPr>
          <w:rFonts w:ascii="Calibri" w:eastAsia="Calibri" w:hAnsi="Calibri" w:cs="Calibri"/>
        </w:rPr>
        <w:t xml:space="preserve">tego sektora </w:t>
      </w:r>
      <w:r w:rsidR="009C7EE5">
        <w:rPr>
          <w:rFonts w:ascii="Calibri" w:eastAsia="Calibri" w:hAnsi="Calibri" w:cs="Calibri"/>
        </w:rPr>
        <w:t xml:space="preserve">widoczne </w:t>
      </w:r>
      <w:r>
        <w:rPr>
          <w:rFonts w:ascii="Calibri" w:eastAsia="Calibri" w:hAnsi="Calibri" w:cs="Calibri"/>
        </w:rPr>
        <w:t xml:space="preserve">w Rejestrze Dłużników BIG InfoMonitor </w:t>
      </w:r>
      <w:r w:rsidR="001C076C">
        <w:rPr>
          <w:rFonts w:ascii="Calibri" w:eastAsia="Calibri" w:hAnsi="Calibri" w:cs="Calibri"/>
        </w:rPr>
        <w:t>i bazie</w:t>
      </w:r>
      <w:r w:rsidR="001F4488">
        <w:rPr>
          <w:rFonts w:ascii="Calibri" w:eastAsia="Calibri" w:hAnsi="Calibri" w:cs="Calibri"/>
        </w:rPr>
        <w:t xml:space="preserve"> </w:t>
      </w:r>
      <w:r>
        <w:rPr>
          <w:rFonts w:ascii="Calibri" w:eastAsia="Calibri" w:hAnsi="Calibri" w:cs="Calibri"/>
        </w:rPr>
        <w:t xml:space="preserve">BIK na koniec lipca 2026 r. </w:t>
      </w:r>
      <w:r w:rsidR="001F4488">
        <w:rPr>
          <w:rFonts w:ascii="Calibri" w:eastAsia="Calibri" w:hAnsi="Calibri" w:cs="Calibri"/>
        </w:rPr>
        <w:t xml:space="preserve">osiągnęły </w:t>
      </w:r>
      <w:r w:rsidR="00E4467C">
        <w:rPr>
          <w:rFonts w:ascii="Calibri" w:eastAsia="Calibri" w:hAnsi="Calibri" w:cs="Calibri"/>
        </w:rPr>
        <w:t>poziom blisko</w:t>
      </w:r>
      <w:r w:rsidR="001F4488">
        <w:rPr>
          <w:rFonts w:ascii="Calibri" w:eastAsia="Calibri" w:hAnsi="Calibri" w:cs="Calibri"/>
        </w:rPr>
        <w:t xml:space="preserve"> </w:t>
      </w:r>
      <w:r>
        <w:rPr>
          <w:rFonts w:ascii="Calibri" w:eastAsia="Calibri" w:hAnsi="Calibri" w:cs="Calibri"/>
        </w:rPr>
        <w:t>8,</w:t>
      </w:r>
      <w:r w:rsidR="001F4488">
        <w:rPr>
          <w:rFonts w:ascii="Calibri" w:eastAsia="Calibri" w:hAnsi="Calibri" w:cs="Calibri"/>
        </w:rPr>
        <w:t>9</w:t>
      </w:r>
      <w:r>
        <w:rPr>
          <w:rFonts w:ascii="Calibri" w:eastAsia="Calibri" w:hAnsi="Calibri" w:cs="Calibri"/>
        </w:rPr>
        <w:t xml:space="preserve"> mld zł</w:t>
      </w:r>
      <w:r w:rsidR="001F4488">
        <w:rPr>
          <w:rFonts w:ascii="Calibri" w:eastAsia="Calibri" w:hAnsi="Calibri" w:cs="Calibri"/>
        </w:rPr>
        <w:t xml:space="preserve"> i należały do</w:t>
      </w:r>
      <w:r w:rsidR="001F4488" w:rsidRPr="001F4488">
        <w:t xml:space="preserve"> </w:t>
      </w:r>
      <w:r w:rsidR="001F4488" w:rsidRPr="001F4488">
        <w:rPr>
          <w:rFonts w:ascii="Calibri" w:eastAsia="Calibri" w:hAnsi="Calibri" w:cs="Calibri"/>
        </w:rPr>
        <w:t>26</w:t>
      </w:r>
      <w:r w:rsidR="001F4488">
        <w:rPr>
          <w:rFonts w:ascii="Calibri" w:eastAsia="Calibri" w:hAnsi="Calibri" w:cs="Calibri"/>
        </w:rPr>
        <w:t> </w:t>
      </w:r>
      <w:r w:rsidR="001F4488" w:rsidRPr="001F4488">
        <w:rPr>
          <w:rFonts w:ascii="Calibri" w:eastAsia="Calibri" w:hAnsi="Calibri" w:cs="Calibri"/>
        </w:rPr>
        <w:t>771</w:t>
      </w:r>
      <w:r w:rsidR="001F4488">
        <w:rPr>
          <w:rFonts w:ascii="Calibri" w:eastAsia="Calibri" w:hAnsi="Calibri" w:cs="Calibri"/>
        </w:rPr>
        <w:t xml:space="preserve"> przedsiębiorstw. </w:t>
      </w:r>
    </w:p>
    <w:p w14:paraId="7D5CBCE3" w14:textId="77777777" w:rsidR="001F4488" w:rsidRDefault="001F4488">
      <w:pPr>
        <w:jc w:val="both"/>
        <w:rPr>
          <w:rFonts w:ascii="Calibri" w:eastAsia="Calibri" w:hAnsi="Calibri" w:cs="Calibri"/>
        </w:rPr>
      </w:pPr>
    </w:p>
    <w:p w14:paraId="45F3A7AC" w14:textId="6A892C93" w:rsidR="001F4488" w:rsidRPr="003D4651" w:rsidRDefault="001F4488">
      <w:pPr>
        <w:jc w:val="both"/>
        <w:rPr>
          <w:rFonts w:ascii="Calibri" w:eastAsia="Calibri" w:hAnsi="Calibri" w:cs="Calibri"/>
          <w:b/>
          <w:bCs/>
        </w:rPr>
      </w:pPr>
      <w:r>
        <w:rPr>
          <w:rFonts w:ascii="Calibri" w:eastAsia="Calibri" w:hAnsi="Calibri" w:cs="Calibri"/>
        </w:rPr>
        <w:t xml:space="preserve"> </w:t>
      </w:r>
      <w:r w:rsidR="00907B85">
        <w:rPr>
          <w:rFonts w:ascii="Calibri" w:eastAsia="Calibri" w:hAnsi="Calibri" w:cs="Calibri"/>
        </w:rPr>
        <w:t>–</w:t>
      </w:r>
      <w:r>
        <w:rPr>
          <w:rFonts w:ascii="Calibri" w:eastAsia="Calibri" w:hAnsi="Calibri" w:cs="Calibri"/>
        </w:rPr>
        <w:t xml:space="preserve"> </w:t>
      </w:r>
      <w:r w:rsidRPr="003D4651">
        <w:rPr>
          <w:rFonts w:ascii="Calibri" w:eastAsia="Calibri" w:hAnsi="Calibri" w:cs="Calibri"/>
          <w:i/>
          <w:iCs/>
        </w:rPr>
        <w:t xml:space="preserve">Dane o zaległościach płatniczych pokazują, że w przemyśle problem z płatnościami nie </w:t>
      </w:r>
      <w:r w:rsidR="005315E5">
        <w:rPr>
          <w:rFonts w:ascii="Calibri" w:eastAsia="Calibri" w:hAnsi="Calibri" w:cs="Calibri"/>
          <w:i/>
          <w:iCs/>
        </w:rPr>
        <w:t>wynika dziś z gwałtownego wzrostu</w:t>
      </w:r>
      <w:r w:rsidRPr="003D4651">
        <w:rPr>
          <w:rFonts w:ascii="Calibri" w:eastAsia="Calibri" w:hAnsi="Calibri" w:cs="Calibri"/>
          <w:i/>
          <w:iCs/>
        </w:rPr>
        <w:t xml:space="preserve"> liczby </w:t>
      </w:r>
      <w:r w:rsidR="00803FB8">
        <w:rPr>
          <w:rFonts w:ascii="Calibri" w:eastAsia="Calibri" w:hAnsi="Calibri" w:cs="Calibri"/>
          <w:i/>
          <w:iCs/>
        </w:rPr>
        <w:t>przedsiębiorstw nie regulujących w terminie swoich zobowiązań</w:t>
      </w:r>
      <w:r w:rsidR="005315E5">
        <w:rPr>
          <w:rFonts w:ascii="Calibri" w:eastAsia="Calibri" w:hAnsi="Calibri" w:cs="Calibri"/>
          <w:i/>
          <w:iCs/>
        </w:rPr>
        <w:t xml:space="preserve">. Coraz szybciej </w:t>
      </w:r>
      <w:r w:rsidRPr="003D4651">
        <w:rPr>
          <w:rFonts w:ascii="Calibri" w:eastAsia="Calibri" w:hAnsi="Calibri" w:cs="Calibri"/>
          <w:i/>
          <w:iCs/>
        </w:rPr>
        <w:t xml:space="preserve">rośnie natomiast wartość zaległych zobowiązań przedsiębiorstw, które już </w:t>
      </w:r>
      <w:r w:rsidR="005315E5">
        <w:rPr>
          <w:rFonts w:ascii="Calibri" w:eastAsia="Calibri" w:hAnsi="Calibri" w:cs="Calibri"/>
          <w:i/>
          <w:iCs/>
        </w:rPr>
        <w:t xml:space="preserve">wcześniej miały </w:t>
      </w:r>
      <w:r w:rsidRPr="003D4651">
        <w:rPr>
          <w:rFonts w:ascii="Calibri" w:eastAsia="Calibri" w:hAnsi="Calibri" w:cs="Calibri"/>
          <w:i/>
          <w:iCs/>
        </w:rPr>
        <w:t>problemy z terminowym regulowaniem płatności. Przy słabszym popycie i utrzymującej się presji koszt</w:t>
      </w:r>
      <w:r w:rsidR="005315E5">
        <w:rPr>
          <w:rFonts w:ascii="Calibri" w:eastAsia="Calibri" w:hAnsi="Calibri" w:cs="Calibri"/>
          <w:i/>
          <w:iCs/>
        </w:rPr>
        <w:t>owej</w:t>
      </w:r>
      <w:r w:rsidRPr="003D4651">
        <w:rPr>
          <w:rFonts w:ascii="Calibri" w:eastAsia="Calibri" w:hAnsi="Calibri" w:cs="Calibri"/>
          <w:i/>
          <w:iCs/>
        </w:rPr>
        <w:t xml:space="preserve"> oznacza to większe ryzyko</w:t>
      </w:r>
      <w:r w:rsidR="005315E5">
        <w:rPr>
          <w:rFonts w:ascii="Calibri" w:eastAsia="Calibri" w:hAnsi="Calibri" w:cs="Calibri"/>
          <w:i/>
          <w:iCs/>
        </w:rPr>
        <w:t xml:space="preserve"> utraty</w:t>
      </w:r>
      <w:r w:rsidRPr="003D4651">
        <w:rPr>
          <w:rFonts w:ascii="Calibri" w:eastAsia="Calibri" w:hAnsi="Calibri" w:cs="Calibri"/>
          <w:i/>
          <w:iCs/>
        </w:rPr>
        <w:t xml:space="preserve"> płynności </w:t>
      </w:r>
      <w:r w:rsidR="00803FB8">
        <w:rPr>
          <w:rFonts w:ascii="Calibri" w:eastAsia="Calibri" w:hAnsi="Calibri" w:cs="Calibri"/>
          <w:i/>
          <w:iCs/>
        </w:rPr>
        <w:t xml:space="preserve">finansowej </w:t>
      </w:r>
      <w:r w:rsidR="005315E5">
        <w:rPr>
          <w:rFonts w:ascii="Calibri" w:eastAsia="Calibri" w:hAnsi="Calibri" w:cs="Calibri"/>
          <w:i/>
          <w:iCs/>
        </w:rPr>
        <w:t xml:space="preserve">nie tylko samych producentów, ale również </w:t>
      </w:r>
      <w:r w:rsidRPr="003D4651">
        <w:rPr>
          <w:rFonts w:ascii="Calibri" w:eastAsia="Calibri" w:hAnsi="Calibri" w:cs="Calibri"/>
          <w:i/>
          <w:iCs/>
        </w:rPr>
        <w:t>ich kontrahentów</w:t>
      </w:r>
      <w:r>
        <w:rPr>
          <w:rFonts w:ascii="Calibri" w:eastAsia="Calibri" w:hAnsi="Calibri" w:cs="Calibri"/>
        </w:rPr>
        <w:t xml:space="preserve"> – wskazuje </w:t>
      </w:r>
      <w:r w:rsidRPr="003D4651">
        <w:rPr>
          <w:rFonts w:ascii="Calibri" w:eastAsia="Calibri" w:hAnsi="Calibri" w:cs="Calibri"/>
          <w:b/>
          <w:bCs/>
        </w:rPr>
        <w:t>Paweł Szarkowski, prezes BIG InfoMonitor.</w:t>
      </w:r>
      <w:r w:rsidR="00907B85">
        <w:rPr>
          <w:rFonts w:ascii="Calibri" w:eastAsia="Calibri" w:hAnsi="Calibri" w:cs="Calibri"/>
          <w:b/>
          <w:bCs/>
        </w:rPr>
        <w:t xml:space="preserve"> </w:t>
      </w:r>
    </w:p>
    <w:p w14:paraId="7FEFF440" w14:textId="77777777" w:rsidR="00EA6BCF" w:rsidRDefault="00EA6BCF">
      <w:pPr>
        <w:jc w:val="both"/>
        <w:rPr>
          <w:rFonts w:ascii="Calibri" w:eastAsia="Calibri" w:hAnsi="Calibri" w:cs="Calibri"/>
        </w:rPr>
      </w:pPr>
    </w:p>
    <w:p w14:paraId="337A2A4B" w14:textId="5135F5B0" w:rsidR="00EA6BCF" w:rsidRDefault="00441D4F">
      <w:pPr>
        <w:jc w:val="both"/>
        <w:rPr>
          <w:rFonts w:ascii="Calibri" w:eastAsia="Calibri" w:hAnsi="Calibri" w:cs="Calibri"/>
        </w:rPr>
      </w:pPr>
      <w:r>
        <w:rPr>
          <w:rFonts w:ascii="Calibri" w:eastAsia="Calibri" w:hAnsi="Calibri" w:cs="Calibri"/>
        </w:rPr>
        <w:t>Średni</w:t>
      </w:r>
      <w:r w:rsidR="00531F0A">
        <w:rPr>
          <w:rFonts w:ascii="Calibri" w:eastAsia="Calibri" w:hAnsi="Calibri" w:cs="Calibri"/>
        </w:rPr>
        <w:t>a</w:t>
      </w:r>
      <w:r>
        <w:rPr>
          <w:rFonts w:ascii="Calibri" w:eastAsia="Calibri" w:hAnsi="Calibri" w:cs="Calibri"/>
        </w:rPr>
        <w:t xml:space="preserve"> </w:t>
      </w:r>
      <w:r w:rsidR="00531F0A">
        <w:rPr>
          <w:rFonts w:ascii="Calibri" w:eastAsia="Calibri" w:hAnsi="Calibri" w:cs="Calibri"/>
        </w:rPr>
        <w:t xml:space="preserve">wartość zaległości przypadającej na jedno przedsiębiorstwo </w:t>
      </w:r>
      <w:r>
        <w:rPr>
          <w:rFonts w:ascii="Calibri" w:eastAsia="Calibri" w:hAnsi="Calibri" w:cs="Calibri"/>
        </w:rPr>
        <w:t>wzrosł</w:t>
      </w:r>
      <w:r w:rsidR="00531F0A">
        <w:rPr>
          <w:rFonts w:ascii="Calibri" w:eastAsia="Calibri" w:hAnsi="Calibri" w:cs="Calibri"/>
        </w:rPr>
        <w:t>a</w:t>
      </w:r>
      <w:r>
        <w:rPr>
          <w:rFonts w:ascii="Calibri" w:eastAsia="Calibri" w:hAnsi="Calibri" w:cs="Calibri"/>
        </w:rPr>
        <w:t xml:space="preserve"> z około 284 tys. zł do 331 tys. zł. Dane </w:t>
      </w:r>
      <w:r w:rsidR="00531F0A">
        <w:rPr>
          <w:rFonts w:ascii="Calibri" w:eastAsia="Calibri" w:hAnsi="Calibri" w:cs="Calibri"/>
        </w:rPr>
        <w:t xml:space="preserve">te </w:t>
      </w:r>
      <w:r>
        <w:rPr>
          <w:rFonts w:ascii="Calibri" w:eastAsia="Calibri" w:hAnsi="Calibri" w:cs="Calibri"/>
        </w:rPr>
        <w:t xml:space="preserve">wpisują się w okres słabszej koniunktury w przemyśle. Sierpniowy odczyt PMI dla polskiego sektora wytwórczego wyniósł 48,3 pkt, wobec 49 pkt miesiąc wcześniej. Wynik </w:t>
      </w:r>
      <w:r w:rsidR="00531F0A">
        <w:rPr>
          <w:rFonts w:ascii="Calibri" w:eastAsia="Calibri" w:hAnsi="Calibri" w:cs="Calibri"/>
        </w:rPr>
        <w:t xml:space="preserve">pozostaje </w:t>
      </w:r>
      <w:r>
        <w:rPr>
          <w:rFonts w:ascii="Calibri" w:eastAsia="Calibri" w:hAnsi="Calibri" w:cs="Calibri"/>
        </w:rPr>
        <w:t xml:space="preserve">poniżej </w:t>
      </w:r>
      <w:r w:rsidR="00531F0A">
        <w:rPr>
          <w:rFonts w:ascii="Calibri" w:eastAsia="Calibri" w:hAnsi="Calibri" w:cs="Calibri"/>
        </w:rPr>
        <w:t xml:space="preserve">granicy </w:t>
      </w:r>
      <w:r>
        <w:rPr>
          <w:rFonts w:ascii="Calibri" w:eastAsia="Calibri" w:hAnsi="Calibri" w:cs="Calibri"/>
        </w:rPr>
        <w:t>50 pkt</w:t>
      </w:r>
      <w:r w:rsidR="00531F0A">
        <w:rPr>
          <w:rFonts w:ascii="Calibri" w:eastAsia="Calibri" w:hAnsi="Calibri" w:cs="Calibri"/>
        </w:rPr>
        <w:t xml:space="preserve">, </w:t>
      </w:r>
      <w:r w:rsidR="00E4467C">
        <w:rPr>
          <w:rFonts w:ascii="Calibri" w:eastAsia="Calibri" w:hAnsi="Calibri" w:cs="Calibri"/>
        </w:rPr>
        <w:t>co oznacza</w:t>
      </w:r>
      <w:r>
        <w:rPr>
          <w:rFonts w:ascii="Calibri" w:eastAsia="Calibri" w:hAnsi="Calibri" w:cs="Calibri"/>
        </w:rPr>
        <w:t xml:space="preserve"> pogorszenie </w:t>
      </w:r>
      <w:r w:rsidR="00531F0A">
        <w:rPr>
          <w:rFonts w:ascii="Calibri" w:eastAsia="Calibri" w:hAnsi="Calibri" w:cs="Calibri"/>
        </w:rPr>
        <w:t>koniunktury w sektorze. S</w:t>
      </w:r>
      <w:r>
        <w:rPr>
          <w:rFonts w:ascii="Calibri" w:eastAsia="Calibri" w:hAnsi="Calibri" w:cs="Calibri"/>
        </w:rPr>
        <w:t>ierp</w:t>
      </w:r>
      <w:r w:rsidR="00531F0A">
        <w:rPr>
          <w:rFonts w:ascii="Calibri" w:eastAsia="Calibri" w:hAnsi="Calibri" w:cs="Calibri"/>
        </w:rPr>
        <w:t>ień</w:t>
      </w:r>
      <w:r>
        <w:rPr>
          <w:rFonts w:ascii="Calibri" w:eastAsia="Calibri" w:hAnsi="Calibri" w:cs="Calibri"/>
        </w:rPr>
        <w:t xml:space="preserve"> był już szesnasty</w:t>
      </w:r>
      <w:r w:rsidR="00531F0A">
        <w:rPr>
          <w:rFonts w:ascii="Calibri" w:eastAsia="Calibri" w:hAnsi="Calibri" w:cs="Calibri"/>
        </w:rPr>
        <w:t>m</w:t>
      </w:r>
      <w:r>
        <w:rPr>
          <w:rFonts w:ascii="Calibri" w:eastAsia="Calibri" w:hAnsi="Calibri" w:cs="Calibri"/>
        </w:rPr>
        <w:t xml:space="preserve"> miesiąc</w:t>
      </w:r>
      <w:r w:rsidR="00531F0A">
        <w:rPr>
          <w:rFonts w:ascii="Calibri" w:eastAsia="Calibri" w:hAnsi="Calibri" w:cs="Calibri"/>
        </w:rPr>
        <w:t>em</w:t>
      </w:r>
      <w:r>
        <w:rPr>
          <w:rFonts w:ascii="Calibri" w:eastAsia="Calibri" w:hAnsi="Calibri" w:cs="Calibri"/>
        </w:rPr>
        <w:t xml:space="preserve"> z </w:t>
      </w:r>
      <w:r w:rsidR="00E4467C">
        <w:rPr>
          <w:rFonts w:ascii="Calibri" w:eastAsia="Calibri" w:hAnsi="Calibri" w:cs="Calibri"/>
        </w:rPr>
        <w:t>rzędu,</w:t>
      </w:r>
      <w:r w:rsidR="00531F0A">
        <w:rPr>
          <w:rFonts w:ascii="Calibri" w:eastAsia="Calibri" w:hAnsi="Calibri" w:cs="Calibri"/>
        </w:rPr>
        <w:t xml:space="preserve"> w którym </w:t>
      </w:r>
      <w:r w:rsidR="00E4467C">
        <w:rPr>
          <w:rFonts w:ascii="Calibri" w:eastAsia="Calibri" w:hAnsi="Calibri" w:cs="Calibri"/>
        </w:rPr>
        <w:t>PMJ z</w:t>
      </w:r>
      <w:r>
        <w:rPr>
          <w:rFonts w:ascii="Calibri" w:eastAsia="Calibri" w:hAnsi="Calibri" w:cs="Calibri"/>
        </w:rPr>
        <w:t xml:space="preserve"> odczytem </w:t>
      </w:r>
      <w:r w:rsidR="00531F0A">
        <w:rPr>
          <w:rFonts w:ascii="Calibri" w:eastAsia="Calibri" w:hAnsi="Calibri" w:cs="Calibri"/>
        </w:rPr>
        <w:t>„</w:t>
      </w:r>
      <w:r>
        <w:rPr>
          <w:rFonts w:ascii="Calibri" w:eastAsia="Calibri" w:hAnsi="Calibri" w:cs="Calibri"/>
        </w:rPr>
        <w:t>pod kreską”.</w:t>
      </w:r>
      <w:r>
        <w:rPr>
          <w:rFonts w:ascii="Calibri" w:eastAsia="Calibri" w:hAnsi="Calibri" w:cs="Calibri"/>
          <w:vertAlign w:val="superscript"/>
        </w:rPr>
        <w:footnoteReference w:id="3"/>
      </w:r>
    </w:p>
    <w:p w14:paraId="70B56093" w14:textId="77777777" w:rsidR="00EA6BCF" w:rsidRDefault="00EA6BCF">
      <w:pPr>
        <w:jc w:val="both"/>
        <w:rPr>
          <w:rFonts w:ascii="Calibri" w:eastAsia="Calibri" w:hAnsi="Calibri" w:cs="Calibri"/>
        </w:rPr>
      </w:pPr>
    </w:p>
    <w:p w14:paraId="7946E5BA" w14:textId="06A842E7" w:rsidR="00EA6BCF" w:rsidRDefault="00441D4F">
      <w:pPr>
        <w:jc w:val="both"/>
        <w:rPr>
          <w:rFonts w:ascii="Calibri" w:eastAsia="Calibri" w:hAnsi="Calibri" w:cs="Calibri"/>
        </w:rPr>
      </w:pPr>
      <w:r>
        <w:rPr>
          <w:rFonts w:ascii="Calibri" w:eastAsia="Calibri" w:hAnsi="Calibri" w:cs="Calibri"/>
        </w:rPr>
        <w:t xml:space="preserve">Jeszcze dłużej, bo siedemnasty miesiąc, kurczyły się nowe zamówienia. W sierpniu tempo spadku dodatkowo </w:t>
      </w:r>
      <w:r w:rsidR="00531F0A">
        <w:rPr>
          <w:rFonts w:ascii="Calibri" w:eastAsia="Calibri" w:hAnsi="Calibri" w:cs="Calibri"/>
        </w:rPr>
        <w:t>przyspieszyło</w:t>
      </w:r>
      <w:r>
        <w:rPr>
          <w:rFonts w:ascii="Calibri" w:eastAsia="Calibri" w:hAnsi="Calibri" w:cs="Calibri"/>
        </w:rPr>
        <w:t xml:space="preserve">. W badaniu S&amp;P Global firmy wskazywały m.in. na słabszy popyt ze strony budownictwa oraz rosnącą konkurencję importową z Chin. Do tego dochodzi presja po stronie dostaw. </w:t>
      </w:r>
      <w:r w:rsidR="00531F0A">
        <w:rPr>
          <w:rFonts w:ascii="Calibri" w:eastAsia="Calibri" w:hAnsi="Calibri" w:cs="Calibri"/>
        </w:rPr>
        <w:t>W sierpniu t</w:t>
      </w:r>
      <w:r>
        <w:rPr>
          <w:rFonts w:ascii="Calibri" w:eastAsia="Calibri" w:hAnsi="Calibri" w:cs="Calibri"/>
        </w:rPr>
        <w:t>erminy realizacji zamówień wydłużyły się najbardziej od ponad czterech lat</w:t>
      </w:r>
      <w:r w:rsidR="00531F0A">
        <w:rPr>
          <w:rFonts w:ascii="Calibri" w:eastAsia="Calibri" w:hAnsi="Calibri" w:cs="Calibri"/>
        </w:rPr>
        <w:t>, odwracając poprawę obserwowaną w lipcu. Pozytywnym sygnałem są</w:t>
      </w:r>
      <w:r>
        <w:rPr>
          <w:rFonts w:ascii="Calibri" w:eastAsia="Calibri" w:hAnsi="Calibri" w:cs="Calibri"/>
        </w:rPr>
        <w:t xml:space="preserve"> </w:t>
      </w:r>
      <w:r w:rsidR="00531F0A">
        <w:rPr>
          <w:rFonts w:ascii="Calibri" w:eastAsia="Calibri" w:hAnsi="Calibri" w:cs="Calibri"/>
        </w:rPr>
        <w:t xml:space="preserve">natomiast </w:t>
      </w:r>
      <w:r>
        <w:rPr>
          <w:rFonts w:ascii="Calibri" w:eastAsia="Calibri" w:hAnsi="Calibri" w:cs="Calibri"/>
        </w:rPr>
        <w:t>prognozy produkcji na najbliższe 12 miesięcy</w:t>
      </w:r>
      <w:r w:rsidR="00531F0A">
        <w:rPr>
          <w:rFonts w:ascii="Calibri" w:eastAsia="Calibri" w:hAnsi="Calibri" w:cs="Calibri"/>
        </w:rPr>
        <w:t xml:space="preserve">. </w:t>
      </w:r>
      <w:r>
        <w:rPr>
          <w:rFonts w:ascii="Calibri" w:eastAsia="Calibri" w:hAnsi="Calibri" w:cs="Calibri"/>
        </w:rPr>
        <w:t>Na razie przedsiębiorstwa działają jednak w warunkach słabszego popytu i utrzymującej się presji na działalność operacyjną.</w:t>
      </w:r>
    </w:p>
    <w:p w14:paraId="2FE81A5D" w14:textId="77777777" w:rsidR="00EA6BCF" w:rsidRDefault="00EA6BCF">
      <w:pPr>
        <w:jc w:val="both"/>
        <w:rPr>
          <w:rFonts w:ascii="Calibri" w:eastAsia="Calibri" w:hAnsi="Calibri" w:cs="Calibri"/>
        </w:rPr>
      </w:pPr>
    </w:p>
    <w:p w14:paraId="76483D1F" w14:textId="77777777" w:rsidR="00EA6BCF" w:rsidRDefault="00441D4F">
      <w:pPr>
        <w:jc w:val="both"/>
        <w:rPr>
          <w:rFonts w:ascii="Calibri" w:eastAsia="Calibri" w:hAnsi="Calibri" w:cs="Calibri"/>
          <w:b/>
          <w:bCs/>
        </w:rPr>
      </w:pPr>
      <w:r>
        <w:rPr>
          <w:rFonts w:ascii="Calibri" w:eastAsia="Calibri" w:hAnsi="Calibri" w:cs="Calibri"/>
          <w:b/>
          <w:bCs/>
        </w:rPr>
        <w:t>Gdzie zaległości rosną najszybciej</w:t>
      </w:r>
    </w:p>
    <w:p w14:paraId="4C5DB836" w14:textId="77777777" w:rsidR="00EA6BCF" w:rsidRDefault="00EA6BCF">
      <w:pPr>
        <w:jc w:val="both"/>
        <w:rPr>
          <w:rFonts w:ascii="Calibri" w:eastAsia="Calibri" w:hAnsi="Calibri" w:cs="Calibri"/>
        </w:rPr>
      </w:pPr>
    </w:p>
    <w:p w14:paraId="404EF435" w14:textId="584C0D8B" w:rsidR="009D3CBE" w:rsidRDefault="00441D4F">
      <w:pPr>
        <w:jc w:val="both"/>
        <w:rPr>
          <w:rFonts w:ascii="Calibri" w:eastAsia="Calibri" w:hAnsi="Calibri" w:cs="Calibri"/>
        </w:rPr>
      </w:pPr>
      <w:r>
        <w:rPr>
          <w:rFonts w:ascii="Calibri" w:eastAsia="Calibri" w:hAnsi="Calibri" w:cs="Calibri"/>
        </w:rPr>
        <w:t xml:space="preserve">Przetwórstwo przemysłowe to sektor bardzo niejednorodny, a finansowa presja rozkłada się na branże bardzo nierówno. </w:t>
      </w:r>
      <w:r w:rsidR="001637C7" w:rsidRPr="001637C7">
        <w:rPr>
          <w:rFonts w:ascii="Calibri" w:eastAsia="Calibri" w:hAnsi="Calibri" w:cs="Calibri"/>
        </w:rPr>
        <w:t>Dane z Rejestru Dłużników BIG InfoMonitor i informacje o opóźnionych zobowiązaniach kredytowych z BIK pokazują</w:t>
      </w:r>
      <w:r w:rsidR="001637C7">
        <w:rPr>
          <w:rFonts w:ascii="Calibri" w:eastAsia="Calibri" w:hAnsi="Calibri" w:cs="Calibri"/>
        </w:rPr>
        <w:t>, że</w:t>
      </w:r>
      <w:r>
        <w:rPr>
          <w:rFonts w:ascii="Calibri" w:eastAsia="Calibri" w:hAnsi="Calibri" w:cs="Calibri"/>
        </w:rPr>
        <w:t xml:space="preserve"> </w:t>
      </w:r>
      <w:r w:rsidR="009D3CBE">
        <w:rPr>
          <w:rFonts w:ascii="Calibri" w:eastAsia="Calibri" w:hAnsi="Calibri" w:cs="Calibri"/>
        </w:rPr>
        <w:t>najszybciej rosną zaległości</w:t>
      </w:r>
      <w:r>
        <w:rPr>
          <w:rFonts w:ascii="Calibri" w:eastAsia="Calibri" w:hAnsi="Calibri" w:cs="Calibri"/>
        </w:rPr>
        <w:t xml:space="preserve"> produ</w:t>
      </w:r>
      <w:r w:rsidR="009D3CBE">
        <w:rPr>
          <w:rFonts w:ascii="Calibri" w:eastAsia="Calibri" w:hAnsi="Calibri" w:cs="Calibri"/>
        </w:rPr>
        <w:t>centów</w:t>
      </w:r>
      <w:r>
        <w:rPr>
          <w:rFonts w:ascii="Calibri" w:eastAsia="Calibri" w:hAnsi="Calibri" w:cs="Calibri"/>
        </w:rPr>
        <w:t xml:space="preserve"> chemikaliów i wyrobów chemicznych </w:t>
      </w:r>
      <w:r w:rsidR="00907B85">
        <w:rPr>
          <w:rFonts w:ascii="Calibri" w:eastAsia="Calibri" w:hAnsi="Calibri" w:cs="Calibri"/>
        </w:rPr>
        <w:t>–</w:t>
      </w:r>
      <w:r w:rsidR="009D3CBE">
        <w:rPr>
          <w:rFonts w:ascii="Calibri" w:eastAsia="Calibri" w:hAnsi="Calibri" w:cs="Calibri"/>
        </w:rPr>
        <w:t xml:space="preserve"> </w:t>
      </w:r>
      <w:r>
        <w:rPr>
          <w:rFonts w:ascii="Calibri" w:eastAsia="Calibri" w:hAnsi="Calibri" w:cs="Calibri"/>
        </w:rPr>
        <w:t xml:space="preserve">wzrost o 38,9 proc. do 123,3 mln zł. Skok przeterminowanych zobowiązań dotyczy też producentów wyrobów tekstylnych </w:t>
      </w:r>
      <w:r w:rsidR="00907B85">
        <w:rPr>
          <w:rFonts w:ascii="Calibri" w:eastAsia="Calibri" w:hAnsi="Calibri" w:cs="Calibri"/>
        </w:rPr>
        <w:t>–</w:t>
      </w:r>
      <w:r w:rsidR="009D3CBE">
        <w:rPr>
          <w:rFonts w:ascii="Calibri" w:eastAsia="Calibri" w:hAnsi="Calibri" w:cs="Calibri"/>
        </w:rPr>
        <w:t xml:space="preserve"> </w:t>
      </w:r>
      <w:r>
        <w:rPr>
          <w:rFonts w:ascii="Calibri" w:eastAsia="Calibri" w:hAnsi="Calibri" w:cs="Calibri"/>
        </w:rPr>
        <w:t xml:space="preserve">o 25,1 proc. do 130,6 mln zł. Podobny wynik mają producenci wyrobów z gumy i tworzyw sztucznych </w:t>
      </w:r>
      <w:r w:rsidR="00044B11">
        <w:rPr>
          <w:rFonts w:ascii="Calibri" w:eastAsia="Calibri" w:hAnsi="Calibri" w:cs="Calibri"/>
        </w:rPr>
        <w:t>–</w:t>
      </w:r>
      <w:r>
        <w:rPr>
          <w:rFonts w:ascii="Calibri" w:eastAsia="Calibri" w:hAnsi="Calibri" w:cs="Calibri"/>
        </w:rPr>
        <w:t xml:space="preserve"> </w:t>
      </w:r>
      <w:r w:rsidR="001F4488">
        <w:rPr>
          <w:rFonts w:ascii="Calibri" w:eastAsia="Calibri" w:hAnsi="Calibri" w:cs="Calibri"/>
        </w:rPr>
        <w:t>o</w:t>
      </w:r>
      <w:r w:rsidR="00044B11">
        <w:rPr>
          <w:rFonts w:ascii="Calibri" w:eastAsia="Calibri" w:hAnsi="Calibri" w:cs="Calibri"/>
        </w:rPr>
        <w:t xml:space="preserve"> </w:t>
      </w:r>
      <w:r>
        <w:rPr>
          <w:rFonts w:ascii="Calibri" w:eastAsia="Calibri" w:hAnsi="Calibri" w:cs="Calibri"/>
        </w:rPr>
        <w:t xml:space="preserve">24,5 proc. do 479,1 mln zł. Wśród </w:t>
      </w:r>
      <w:r w:rsidR="009D3CBE">
        <w:rPr>
          <w:rFonts w:ascii="Calibri" w:eastAsia="Calibri" w:hAnsi="Calibri" w:cs="Calibri"/>
        </w:rPr>
        <w:t>branż</w:t>
      </w:r>
      <w:r>
        <w:rPr>
          <w:rFonts w:ascii="Calibri" w:eastAsia="Calibri" w:hAnsi="Calibri" w:cs="Calibri"/>
        </w:rPr>
        <w:t xml:space="preserve"> z dużym przyrostem zaległości tradycyjnie już znajdują się producenci mebli, ze wzrostem o 21,1 proc. do 413,3 mln zł. </w:t>
      </w:r>
    </w:p>
    <w:p w14:paraId="4270C376" w14:textId="351AEC2C" w:rsidR="00EA6BCF" w:rsidRDefault="00FA6E7F">
      <w:pPr>
        <w:jc w:val="both"/>
        <w:rPr>
          <w:rFonts w:ascii="Calibri" w:eastAsia="Calibri" w:hAnsi="Calibri" w:cs="Calibri"/>
        </w:rPr>
      </w:pPr>
      <w:r w:rsidRPr="00FA6E7F">
        <w:rPr>
          <w:rFonts w:ascii="Calibri" w:eastAsia="Calibri" w:hAnsi="Calibri" w:cs="Calibri"/>
        </w:rPr>
        <w:lastRenderedPageBreak/>
        <w:t xml:space="preserve">Inaczej sytuacja wygląda, gdy przyjrzymy się branżom odnotowującym największy przyrost nowych </w:t>
      </w:r>
      <w:r>
        <w:rPr>
          <w:rFonts w:ascii="Calibri" w:eastAsia="Calibri" w:hAnsi="Calibri" w:cs="Calibri"/>
        </w:rPr>
        <w:t xml:space="preserve">niesolidnych </w:t>
      </w:r>
      <w:r w:rsidRPr="00FA6E7F">
        <w:rPr>
          <w:rFonts w:ascii="Calibri" w:eastAsia="Calibri" w:hAnsi="Calibri" w:cs="Calibri"/>
        </w:rPr>
        <w:t>dłużników.</w:t>
      </w:r>
      <w:r>
        <w:rPr>
          <w:rFonts w:ascii="Calibri" w:eastAsia="Calibri" w:hAnsi="Calibri" w:cs="Calibri"/>
        </w:rPr>
        <w:t xml:space="preserve"> N</w:t>
      </w:r>
      <w:r w:rsidR="00441D4F">
        <w:rPr>
          <w:rFonts w:ascii="Calibri" w:eastAsia="Calibri" w:hAnsi="Calibri" w:cs="Calibri"/>
        </w:rPr>
        <w:t>a szczycie znajdują się producenci metalowych wyrobów gotowych ze wzrost</w:t>
      </w:r>
      <w:r w:rsidR="009D3CBE">
        <w:rPr>
          <w:rFonts w:ascii="Calibri" w:eastAsia="Calibri" w:hAnsi="Calibri" w:cs="Calibri"/>
        </w:rPr>
        <w:t>em</w:t>
      </w:r>
      <w:r w:rsidR="00441D4F">
        <w:rPr>
          <w:rFonts w:ascii="Calibri" w:eastAsia="Calibri" w:hAnsi="Calibri" w:cs="Calibri"/>
        </w:rPr>
        <w:t xml:space="preserve"> o 156 firm</w:t>
      </w:r>
      <w:r w:rsidR="001637C7">
        <w:rPr>
          <w:rFonts w:ascii="Calibri" w:eastAsia="Calibri" w:hAnsi="Calibri" w:cs="Calibri"/>
        </w:rPr>
        <w:t xml:space="preserve"> do</w:t>
      </w:r>
      <w:r w:rsidR="001637C7" w:rsidRPr="001637C7">
        <w:t xml:space="preserve"> </w:t>
      </w:r>
      <w:r w:rsidR="001637C7" w:rsidRPr="001637C7">
        <w:rPr>
          <w:rFonts w:ascii="Calibri" w:eastAsia="Calibri" w:hAnsi="Calibri" w:cs="Calibri"/>
        </w:rPr>
        <w:t>5 263</w:t>
      </w:r>
      <w:r w:rsidR="00441D4F">
        <w:rPr>
          <w:rFonts w:ascii="Calibri" w:eastAsia="Calibri" w:hAnsi="Calibri" w:cs="Calibri"/>
        </w:rPr>
        <w:t xml:space="preserve">. Tuż za nimi plasują się producenci mebli </w:t>
      </w:r>
      <w:r w:rsidR="00907B85">
        <w:rPr>
          <w:rFonts w:ascii="Calibri" w:eastAsia="Calibri" w:hAnsi="Calibri" w:cs="Calibri"/>
        </w:rPr>
        <w:t>–</w:t>
      </w:r>
      <w:r w:rsidR="00441D4F">
        <w:rPr>
          <w:rFonts w:ascii="Calibri" w:eastAsia="Calibri" w:hAnsi="Calibri" w:cs="Calibri"/>
        </w:rPr>
        <w:t xml:space="preserve"> wzrost o 104 firm</w:t>
      </w:r>
      <w:r w:rsidR="001637C7">
        <w:rPr>
          <w:rFonts w:ascii="Calibri" w:eastAsia="Calibri" w:hAnsi="Calibri" w:cs="Calibri"/>
        </w:rPr>
        <w:t xml:space="preserve"> do </w:t>
      </w:r>
      <w:r w:rsidR="001637C7" w:rsidRPr="001637C7">
        <w:rPr>
          <w:rFonts w:ascii="Calibri" w:eastAsia="Calibri" w:hAnsi="Calibri" w:cs="Calibri"/>
        </w:rPr>
        <w:t>2 757</w:t>
      </w:r>
      <w:r w:rsidR="00441D4F">
        <w:rPr>
          <w:rFonts w:ascii="Calibri" w:eastAsia="Calibri" w:hAnsi="Calibri" w:cs="Calibri"/>
        </w:rPr>
        <w:t xml:space="preserve">. </w:t>
      </w:r>
      <w:r w:rsidR="003E7670">
        <w:rPr>
          <w:rFonts w:ascii="Calibri" w:eastAsia="Calibri" w:hAnsi="Calibri" w:cs="Calibri"/>
        </w:rPr>
        <w:t>Niechlubne p</w:t>
      </w:r>
      <w:r w:rsidR="00441D4F">
        <w:rPr>
          <w:rFonts w:ascii="Calibri" w:eastAsia="Calibri" w:hAnsi="Calibri" w:cs="Calibri"/>
        </w:rPr>
        <w:t xml:space="preserve">odium zamykają firmy produkujące wyroby z pozostałych mineralnych surowców niemetalicznych </w:t>
      </w:r>
      <w:r w:rsidR="00907B85">
        <w:rPr>
          <w:rFonts w:ascii="Calibri" w:eastAsia="Calibri" w:hAnsi="Calibri" w:cs="Calibri"/>
        </w:rPr>
        <w:t>–</w:t>
      </w:r>
      <w:r w:rsidR="00441D4F">
        <w:rPr>
          <w:rFonts w:ascii="Calibri" w:eastAsia="Calibri" w:hAnsi="Calibri" w:cs="Calibri"/>
        </w:rPr>
        <w:t xml:space="preserve"> wzrost o 66 firm</w:t>
      </w:r>
      <w:r w:rsidR="001637C7">
        <w:rPr>
          <w:rFonts w:ascii="Calibri" w:eastAsia="Calibri" w:hAnsi="Calibri" w:cs="Calibri"/>
        </w:rPr>
        <w:t xml:space="preserve"> do</w:t>
      </w:r>
      <w:r w:rsidR="001637C7" w:rsidRPr="001637C7">
        <w:t xml:space="preserve"> </w:t>
      </w:r>
      <w:r w:rsidR="001637C7" w:rsidRPr="001637C7">
        <w:rPr>
          <w:rFonts w:ascii="Calibri" w:eastAsia="Calibri" w:hAnsi="Calibri" w:cs="Calibri"/>
        </w:rPr>
        <w:t>1 343</w:t>
      </w:r>
      <w:r w:rsidR="00441D4F">
        <w:rPr>
          <w:rFonts w:ascii="Calibri" w:eastAsia="Calibri" w:hAnsi="Calibri" w:cs="Calibri"/>
        </w:rPr>
        <w:t xml:space="preserve">. W żadnej z tych branż </w:t>
      </w:r>
      <w:r w:rsidR="00CF385F">
        <w:rPr>
          <w:rFonts w:ascii="Calibri" w:eastAsia="Calibri" w:hAnsi="Calibri" w:cs="Calibri"/>
        </w:rPr>
        <w:t>zmiana</w:t>
      </w:r>
      <w:r w:rsidR="00441D4F">
        <w:rPr>
          <w:rFonts w:ascii="Calibri" w:eastAsia="Calibri" w:hAnsi="Calibri" w:cs="Calibri"/>
        </w:rPr>
        <w:t xml:space="preserve"> nie przekroczył</w:t>
      </w:r>
      <w:r w:rsidR="00CF385F">
        <w:rPr>
          <w:rFonts w:ascii="Calibri" w:eastAsia="Calibri" w:hAnsi="Calibri" w:cs="Calibri"/>
        </w:rPr>
        <w:t>a</w:t>
      </w:r>
      <w:r w:rsidR="00441D4F">
        <w:rPr>
          <w:rFonts w:ascii="Calibri" w:eastAsia="Calibri" w:hAnsi="Calibri" w:cs="Calibri"/>
        </w:rPr>
        <w:t xml:space="preserve"> jednak nawet 1 procenta</w:t>
      </w:r>
      <w:r w:rsidR="009D3CBE">
        <w:rPr>
          <w:rFonts w:ascii="Calibri" w:eastAsia="Calibri" w:hAnsi="Calibri" w:cs="Calibri"/>
        </w:rPr>
        <w:t xml:space="preserve"> i </w:t>
      </w:r>
      <w:r w:rsidR="005F36BE">
        <w:rPr>
          <w:rFonts w:ascii="Calibri" w:eastAsia="Calibri" w:hAnsi="Calibri" w:cs="Calibri"/>
        </w:rPr>
        <w:t>żadna nie generuje łączenie tak wysokiej wartości zaległych zobowiązań co producenci artykułów spożywczych. Ich zobowiązania stanowią około 17 proc. udział w</w:t>
      </w:r>
      <w:r w:rsidR="00CF385F">
        <w:rPr>
          <w:rFonts w:ascii="Calibri" w:eastAsia="Calibri" w:hAnsi="Calibri" w:cs="Calibri"/>
        </w:rPr>
        <w:t xml:space="preserve"> zadłużeniu całego sektora –</w:t>
      </w:r>
      <w:r w:rsidR="009D3CBE">
        <w:rPr>
          <w:rFonts w:ascii="Calibri" w:eastAsia="Calibri" w:hAnsi="Calibri" w:cs="Calibri"/>
        </w:rPr>
        <w:t xml:space="preserve"> </w:t>
      </w:r>
      <w:r w:rsidR="00CF385F">
        <w:rPr>
          <w:rFonts w:ascii="Calibri" w:eastAsia="Calibri" w:hAnsi="Calibri" w:cs="Calibri"/>
        </w:rPr>
        <w:t xml:space="preserve">na koniec lipca </w:t>
      </w:r>
      <w:r w:rsidR="009D3CBE">
        <w:rPr>
          <w:rFonts w:ascii="Calibri" w:eastAsia="Calibri" w:hAnsi="Calibri" w:cs="Calibri"/>
        </w:rPr>
        <w:t xml:space="preserve">2026 r. wyniosły </w:t>
      </w:r>
      <w:r w:rsidR="00CF385F">
        <w:rPr>
          <w:rFonts w:ascii="Calibri" w:eastAsia="Calibri" w:hAnsi="Calibri" w:cs="Calibri"/>
        </w:rPr>
        <w:t xml:space="preserve">blisko 1,5 mld zł. Bieżących faktur wobec kontrahentów, rachunków oraz kredytów nie płaci </w:t>
      </w:r>
      <w:r w:rsidR="00CF385F" w:rsidRPr="00CF385F">
        <w:rPr>
          <w:rFonts w:ascii="Calibri" w:eastAsia="Calibri" w:hAnsi="Calibri" w:cs="Calibri"/>
        </w:rPr>
        <w:t>2</w:t>
      </w:r>
      <w:r w:rsidR="00CF385F">
        <w:rPr>
          <w:rFonts w:ascii="Calibri" w:eastAsia="Calibri" w:hAnsi="Calibri" w:cs="Calibri"/>
        </w:rPr>
        <w:t> </w:t>
      </w:r>
      <w:r w:rsidR="00CF385F" w:rsidRPr="00CF385F">
        <w:rPr>
          <w:rFonts w:ascii="Calibri" w:eastAsia="Calibri" w:hAnsi="Calibri" w:cs="Calibri"/>
        </w:rPr>
        <w:t>671</w:t>
      </w:r>
      <w:r w:rsidR="00CF385F">
        <w:rPr>
          <w:rFonts w:ascii="Calibri" w:eastAsia="Calibri" w:hAnsi="Calibri" w:cs="Calibri"/>
        </w:rPr>
        <w:t xml:space="preserve"> przedsiębiorstw spożywczych.</w:t>
      </w:r>
    </w:p>
    <w:p w14:paraId="7B076985" w14:textId="77777777" w:rsidR="00EA6BCF" w:rsidRDefault="00EA6BCF">
      <w:pPr>
        <w:jc w:val="both"/>
        <w:rPr>
          <w:rFonts w:ascii="Calibri" w:eastAsia="Calibri" w:hAnsi="Calibri" w:cs="Calibri"/>
        </w:rPr>
      </w:pPr>
    </w:p>
    <w:p w14:paraId="67809C75" w14:textId="77777777" w:rsidR="00050190" w:rsidRDefault="00803FB8" w:rsidP="00063598">
      <w:pPr>
        <w:jc w:val="both"/>
        <w:rPr>
          <w:rFonts w:ascii="Calibri" w:eastAsia="Calibri" w:hAnsi="Calibri" w:cs="Calibri"/>
          <w:i/>
          <w:iCs/>
        </w:rPr>
      </w:pPr>
      <w:r w:rsidRPr="00AA2040">
        <w:rPr>
          <w:rFonts w:ascii="Calibri" w:eastAsia="Calibri" w:hAnsi="Calibri" w:cs="Calibri"/>
        </w:rPr>
        <w:t>Wzrost wartości zaległości przedsiębiorstw przemysłowych przy niemal niezmienionej liczbie przedsiębiorstw z zaległościami, pokazuje, że skala problemu rośnie przede wszystkim tam, gdzie opóźnienia występowały już wcześniej</w:t>
      </w:r>
      <w:r>
        <w:rPr>
          <w:rFonts w:ascii="Calibri" w:eastAsia="Calibri" w:hAnsi="Calibri" w:cs="Calibri"/>
          <w:i/>
          <w:iCs/>
        </w:rPr>
        <w:t xml:space="preserve">. </w:t>
      </w:r>
      <w:r w:rsidR="00AA2040">
        <w:rPr>
          <w:rFonts w:ascii="Calibri" w:eastAsia="Calibri" w:hAnsi="Calibri" w:cs="Calibri"/>
          <w:i/>
          <w:iCs/>
        </w:rPr>
        <w:t xml:space="preserve"> </w:t>
      </w:r>
    </w:p>
    <w:p w14:paraId="15543AEF" w14:textId="77777777" w:rsidR="00050190" w:rsidRDefault="00050190" w:rsidP="00063598">
      <w:pPr>
        <w:jc w:val="both"/>
        <w:rPr>
          <w:rFonts w:ascii="Calibri" w:eastAsia="Calibri" w:hAnsi="Calibri" w:cs="Calibri"/>
          <w:i/>
          <w:iCs/>
        </w:rPr>
      </w:pPr>
    </w:p>
    <w:p w14:paraId="26F487F6" w14:textId="40CF3075" w:rsidR="00063598" w:rsidRPr="00AA2040" w:rsidRDefault="00050190" w:rsidP="00063598">
      <w:pPr>
        <w:jc w:val="both"/>
        <w:rPr>
          <w:rFonts w:ascii="Calibri" w:eastAsia="Calibri" w:hAnsi="Calibri" w:cs="Calibri"/>
          <w:b/>
          <w:bCs/>
          <w:lang w:val="pl-PL"/>
        </w:rPr>
      </w:pPr>
      <w:r>
        <w:rPr>
          <w:rFonts w:ascii="Calibri" w:eastAsia="Calibri" w:hAnsi="Calibri" w:cs="Calibri"/>
        </w:rPr>
        <w:t>–</w:t>
      </w:r>
      <w:r w:rsidR="00AA2040">
        <w:rPr>
          <w:rFonts w:ascii="Calibri" w:eastAsia="Calibri" w:hAnsi="Calibri" w:cs="Calibri"/>
          <w:i/>
          <w:iCs/>
        </w:rPr>
        <w:t xml:space="preserve"> </w:t>
      </w:r>
      <w:r w:rsidR="00803FB8">
        <w:rPr>
          <w:rFonts w:ascii="Calibri" w:eastAsia="Calibri" w:hAnsi="Calibri" w:cs="Calibri"/>
          <w:i/>
          <w:iCs/>
        </w:rPr>
        <w:t xml:space="preserve">W przemyśle ma to szczególne znaczenie, ponieważ firmy są ze sobą silnie powiązane i często działają przy dużym zaangażowaniu kapitału obrotowego. Gdy płatność za wykonaną dostawę lub usługę nie przychodzi na czas, przedsiębiorstwo nadal musi finansować wynagrodzenia, zakup materiałów, energię czy kolejne zamówienia. Im dłużej pieniądze za zrealizowaną sprzedaż pozostają poza przedsiębiorstwem, tym większa presja na jej własną płynność </w:t>
      </w:r>
      <w:r w:rsidR="00803FB8" w:rsidRPr="009D3CBE">
        <w:rPr>
          <w:rFonts w:ascii="Calibri" w:eastAsia="Calibri" w:hAnsi="Calibri" w:cs="Calibri"/>
          <w:i/>
          <w:iCs/>
          <w:lang w:val="pl-PL"/>
        </w:rPr>
        <w:t>finansową i tym większe ryzyko przenoszenia problemów na kolejnych uczestników łańcucha dostaw</w:t>
      </w:r>
      <w:r w:rsidR="00AA2040">
        <w:rPr>
          <w:rFonts w:ascii="Calibri" w:eastAsia="Calibri" w:hAnsi="Calibri" w:cs="Calibri"/>
          <w:i/>
          <w:iCs/>
          <w:lang w:val="pl-PL"/>
        </w:rPr>
        <w:t>,</w:t>
      </w:r>
      <w:r w:rsidR="00803FB8">
        <w:rPr>
          <w:rFonts w:ascii="Calibri" w:eastAsia="Calibri" w:hAnsi="Calibri" w:cs="Calibri"/>
          <w:i/>
          <w:iCs/>
          <w:lang w:val="pl-PL"/>
        </w:rPr>
        <w:t xml:space="preserve"> co generuje i przyśpiesza powstawanie zjawiska zatorów płatniczych</w:t>
      </w:r>
      <w:r w:rsidR="00AA2040">
        <w:rPr>
          <w:rFonts w:ascii="Calibri" w:eastAsia="Calibri" w:hAnsi="Calibri" w:cs="Calibri"/>
          <w:i/>
          <w:iCs/>
          <w:lang w:val="pl-PL"/>
        </w:rPr>
        <w:t xml:space="preserve"> </w:t>
      </w:r>
      <w:r w:rsidR="00AA2040" w:rsidRPr="00AA2040">
        <w:rPr>
          <w:rFonts w:ascii="Calibri" w:eastAsia="Calibri" w:hAnsi="Calibri" w:cs="Calibri"/>
          <w:i/>
          <w:iCs/>
          <w:lang w:val="pl-PL"/>
        </w:rPr>
        <w:t xml:space="preserve">– mówi </w:t>
      </w:r>
      <w:r w:rsidR="00AA2040" w:rsidRPr="00AA2040">
        <w:rPr>
          <w:rFonts w:ascii="Calibri" w:eastAsia="Calibri" w:hAnsi="Calibri" w:cs="Calibri"/>
          <w:b/>
          <w:bCs/>
          <w:lang w:val="pl-PL"/>
        </w:rPr>
        <w:t>dr hab. Waldemar Rogowski, główny analityk BIG InfoMonitor.</w:t>
      </w:r>
      <w:r w:rsidR="00AA2040">
        <w:rPr>
          <w:rFonts w:ascii="Calibri" w:eastAsia="Calibri" w:hAnsi="Calibri" w:cs="Calibri"/>
          <w:b/>
          <w:bCs/>
          <w:lang w:val="pl-PL"/>
        </w:rPr>
        <w:t xml:space="preserve"> </w:t>
      </w:r>
      <w:r>
        <w:rPr>
          <w:rFonts w:ascii="Calibri" w:eastAsia="Calibri" w:hAnsi="Calibri" w:cs="Calibri"/>
        </w:rPr>
        <w:t>–</w:t>
      </w:r>
      <w:r w:rsidR="00AA2040">
        <w:rPr>
          <w:rFonts w:ascii="Calibri" w:eastAsia="Calibri" w:hAnsi="Calibri" w:cs="Calibri"/>
          <w:b/>
          <w:bCs/>
          <w:lang w:val="pl-PL"/>
        </w:rPr>
        <w:t xml:space="preserve"> </w:t>
      </w:r>
      <w:r w:rsidR="00063598" w:rsidRPr="0013109C">
        <w:rPr>
          <w:rFonts w:ascii="Calibri" w:eastAsia="Calibri" w:hAnsi="Calibri" w:cs="Calibri"/>
          <w:i/>
          <w:iCs/>
        </w:rPr>
        <w:t>Dodatkowo sytuację przedsiębiorstw przemysłowych komplikują czynniki zewnętrzne, takie jak spowolnienie gospodarcze</w:t>
      </w:r>
      <w:r w:rsidR="00063598">
        <w:rPr>
          <w:rFonts w:ascii="Calibri" w:eastAsia="Calibri" w:hAnsi="Calibri" w:cs="Calibri"/>
          <w:i/>
          <w:iCs/>
        </w:rPr>
        <w:t xml:space="preserve"> w Niemczech</w:t>
      </w:r>
      <w:r w:rsidR="00063598" w:rsidRPr="0013109C">
        <w:rPr>
          <w:rFonts w:ascii="Calibri" w:eastAsia="Calibri" w:hAnsi="Calibri" w:cs="Calibri"/>
          <w:i/>
          <w:iCs/>
        </w:rPr>
        <w:t xml:space="preserve">, utrzymujące się wysokie koszty finansowania, </w:t>
      </w:r>
      <w:r w:rsidR="00063598">
        <w:rPr>
          <w:rFonts w:ascii="Calibri" w:eastAsia="Calibri" w:hAnsi="Calibri" w:cs="Calibri"/>
          <w:i/>
          <w:iCs/>
        </w:rPr>
        <w:t xml:space="preserve">skokowy </w:t>
      </w:r>
      <w:r w:rsidR="00063598" w:rsidRPr="0013109C">
        <w:rPr>
          <w:rFonts w:ascii="Calibri" w:eastAsia="Calibri" w:hAnsi="Calibri" w:cs="Calibri"/>
          <w:i/>
          <w:iCs/>
        </w:rPr>
        <w:t>wzrost cen energii i surowców</w:t>
      </w:r>
      <w:r w:rsidR="00063598">
        <w:rPr>
          <w:rFonts w:ascii="Calibri" w:eastAsia="Calibri" w:hAnsi="Calibri" w:cs="Calibri"/>
          <w:i/>
          <w:iCs/>
        </w:rPr>
        <w:t xml:space="preserve"> w wyniku konfliktu na Bliskim Wschodzie</w:t>
      </w:r>
      <w:r w:rsidR="00063598" w:rsidRPr="0013109C">
        <w:rPr>
          <w:rFonts w:ascii="Calibri" w:eastAsia="Calibri" w:hAnsi="Calibri" w:cs="Calibri"/>
          <w:i/>
          <w:iCs/>
        </w:rPr>
        <w:t>, zaburzenia w globalnych łańcuchach dostaw czy niepewność geopolityczna. Czynniki te ograniczają zdolność firm do generowania gotówki oraz zwiększają ryzyko opóźnień płatniczych, wzmacniając negatywne skutki problemów z płynnością finansową</w:t>
      </w:r>
      <w:r w:rsidR="00AA2040">
        <w:rPr>
          <w:rFonts w:ascii="Calibri" w:eastAsia="Calibri" w:hAnsi="Calibri" w:cs="Calibri"/>
          <w:i/>
          <w:iCs/>
        </w:rPr>
        <w:t xml:space="preserve"> – </w:t>
      </w:r>
      <w:r w:rsidR="00AA2040" w:rsidRPr="00AA2040">
        <w:rPr>
          <w:rFonts w:ascii="Calibri" w:eastAsia="Calibri" w:hAnsi="Calibri" w:cs="Calibri"/>
        </w:rPr>
        <w:t>dodaje.</w:t>
      </w:r>
    </w:p>
    <w:p w14:paraId="3F5A82BD" w14:textId="77777777" w:rsidR="00EA6BCF" w:rsidRPr="00FA6E7F" w:rsidRDefault="00EA6BCF">
      <w:pPr>
        <w:jc w:val="both"/>
        <w:rPr>
          <w:rFonts w:ascii="Calibri" w:eastAsia="Calibri" w:hAnsi="Calibri" w:cs="Calibri"/>
          <w:b/>
          <w:bCs/>
        </w:rPr>
      </w:pPr>
    </w:p>
    <w:p w14:paraId="3F0BC63A" w14:textId="0A388C28" w:rsidR="00CD2ADA" w:rsidRDefault="00CD2ADA">
      <w:pPr>
        <w:jc w:val="both"/>
        <w:rPr>
          <w:rFonts w:ascii="Calibri" w:eastAsia="Calibri" w:hAnsi="Calibri" w:cs="Calibri"/>
          <w:b/>
          <w:bCs/>
        </w:rPr>
      </w:pPr>
      <w:r w:rsidRPr="00CD2ADA">
        <w:rPr>
          <w:rFonts w:ascii="Calibri" w:eastAsia="Calibri" w:hAnsi="Calibri" w:cs="Calibri"/>
          <w:b/>
          <w:bCs/>
        </w:rPr>
        <w:t>Rosnące długi, malejący margines bezpieczeństwa</w:t>
      </w:r>
    </w:p>
    <w:p w14:paraId="248FE3B3" w14:textId="77777777" w:rsidR="00EA6BCF" w:rsidRDefault="00EA6BCF">
      <w:pPr>
        <w:jc w:val="both"/>
        <w:rPr>
          <w:rFonts w:ascii="Calibri" w:eastAsia="Calibri" w:hAnsi="Calibri" w:cs="Calibri"/>
        </w:rPr>
      </w:pPr>
    </w:p>
    <w:p w14:paraId="7DC36F6A" w14:textId="77777777" w:rsidR="000D7DBB" w:rsidRDefault="00441D4F">
      <w:pPr>
        <w:jc w:val="both"/>
        <w:rPr>
          <w:rFonts w:ascii="Calibri" w:eastAsia="Calibri" w:hAnsi="Calibri" w:cs="Calibri"/>
        </w:rPr>
      </w:pPr>
      <w:r>
        <w:rPr>
          <w:rFonts w:ascii="Calibri" w:eastAsia="Calibri" w:hAnsi="Calibri" w:cs="Calibri"/>
        </w:rPr>
        <w:t xml:space="preserve">Dane </w:t>
      </w:r>
      <w:r w:rsidR="00CF385F">
        <w:rPr>
          <w:rFonts w:ascii="Calibri" w:eastAsia="Calibri" w:hAnsi="Calibri" w:cs="Calibri"/>
        </w:rPr>
        <w:t xml:space="preserve">z baz </w:t>
      </w:r>
      <w:r>
        <w:rPr>
          <w:rFonts w:ascii="Calibri" w:eastAsia="Calibri" w:hAnsi="Calibri" w:cs="Calibri"/>
        </w:rPr>
        <w:t xml:space="preserve">BIG InfoMonitor i BIK pokazują skalę problemu, ale nie mówią, jak firmy odczuwają go w codziennej działalności. Odpowiedzi </w:t>
      </w:r>
      <w:r w:rsidR="00CF385F">
        <w:rPr>
          <w:rFonts w:ascii="Calibri" w:eastAsia="Calibri" w:hAnsi="Calibri" w:cs="Calibri"/>
        </w:rPr>
        <w:t>te przynosi</w:t>
      </w:r>
      <w:r>
        <w:rPr>
          <w:rFonts w:ascii="Calibri" w:eastAsia="Calibri" w:hAnsi="Calibri" w:cs="Calibri"/>
        </w:rPr>
        <w:t xml:space="preserve"> </w:t>
      </w:r>
      <w:r w:rsidR="00CF385F">
        <w:rPr>
          <w:rFonts w:ascii="Calibri" w:eastAsia="Calibri" w:hAnsi="Calibri" w:cs="Calibri"/>
        </w:rPr>
        <w:t xml:space="preserve">badanie </w:t>
      </w:r>
      <w:r>
        <w:rPr>
          <w:rFonts w:ascii="Calibri" w:eastAsia="Calibri" w:hAnsi="Calibri" w:cs="Calibri"/>
        </w:rPr>
        <w:t>Skaner MŚP za 3 kwartał 2026 r.</w:t>
      </w:r>
      <w:r>
        <w:rPr>
          <w:rFonts w:ascii="Calibri" w:eastAsia="Calibri" w:hAnsi="Calibri" w:cs="Calibri"/>
          <w:vertAlign w:val="superscript"/>
        </w:rPr>
        <w:footnoteReference w:id="4"/>
      </w:r>
      <w:r w:rsidR="00FA6E7F">
        <w:rPr>
          <w:rFonts w:ascii="Calibri" w:eastAsia="Calibri" w:hAnsi="Calibri" w:cs="Calibri"/>
        </w:rPr>
        <w:t xml:space="preserve"> </w:t>
      </w:r>
      <w:r w:rsidR="009D3CBE">
        <w:rPr>
          <w:rFonts w:ascii="Calibri" w:eastAsia="Calibri" w:hAnsi="Calibri" w:cs="Calibri"/>
        </w:rPr>
        <w:t>W</w:t>
      </w:r>
      <w:r w:rsidR="00CF385F">
        <w:rPr>
          <w:rFonts w:ascii="Calibri" w:eastAsia="Calibri" w:hAnsi="Calibri" w:cs="Calibri"/>
        </w:rPr>
        <w:t>ynika z niego</w:t>
      </w:r>
      <w:r>
        <w:rPr>
          <w:rFonts w:ascii="Calibri" w:eastAsia="Calibri" w:hAnsi="Calibri" w:cs="Calibri"/>
        </w:rPr>
        <w:t xml:space="preserve">, że w </w:t>
      </w:r>
      <w:r w:rsidR="00CF385F">
        <w:rPr>
          <w:rFonts w:ascii="Calibri" w:eastAsia="Calibri" w:hAnsi="Calibri" w:cs="Calibri"/>
        </w:rPr>
        <w:t xml:space="preserve">sektorze </w:t>
      </w:r>
      <w:r>
        <w:rPr>
          <w:rFonts w:ascii="Calibri" w:eastAsia="Calibri" w:hAnsi="Calibri" w:cs="Calibri"/>
        </w:rPr>
        <w:t xml:space="preserve">produkcji </w:t>
      </w:r>
      <w:r w:rsidR="000F7BEE">
        <w:rPr>
          <w:rFonts w:ascii="Calibri" w:eastAsia="Calibri" w:hAnsi="Calibri" w:cs="Calibri"/>
        </w:rPr>
        <w:t>83 proc. firm ma klientów, którzy płacą po terminie.</w:t>
      </w:r>
      <w:r>
        <w:rPr>
          <w:rFonts w:ascii="Calibri" w:eastAsia="Calibri" w:hAnsi="Calibri" w:cs="Calibri"/>
        </w:rPr>
        <w:t xml:space="preserve"> W ostatnich trzech miesiącach należności przeterminowane o </w:t>
      </w:r>
      <w:r w:rsidR="00CF385F">
        <w:rPr>
          <w:rFonts w:ascii="Calibri" w:eastAsia="Calibri" w:hAnsi="Calibri" w:cs="Calibri"/>
        </w:rPr>
        <w:t>przeszło miesiąc</w:t>
      </w:r>
      <w:r>
        <w:rPr>
          <w:rFonts w:ascii="Calibri" w:eastAsia="Calibri" w:hAnsi="Calibri" w:cs="Calibri"/>
        </w:rPr>
        <w:t xml:space="preserve"> miała ponad połowa badanych firm produkcyjnych. Więcej niż w handlu czy usługach. Przy dłuższych opóźnieniach różnice między sektorami zacierają się, jednak nadal ponad ¼ firm produkcyjnych miała</w:t>
      </w:r>
      <w:r w:rsidR="000F7BEE">
        <w:rPr>
          <w:rFonts w:ascii="Calibri" w:eastAsia="Calibri" w:hAnsi="Calibri" w:cs="Calibri"/>
        </w:rPr>
        <w:t xml:space="preserve"> też</w:t>
      </w:r>
      <w:r>
        <w:rPr>
          <w:rFonts w:ascii="Calibri" w:eastAsia="Calibri" w:hAnsi="Calibri" w:cs="Calibri"/>
        </w:rPr>
        <w:t xml:space="preserve"> należności przeterminowane o ponad 60 dni.</w:t>
      </w:r>
    </w:p>
    <w:p w14:paraId="3F1F0885" w14:textId="33CDEB2A" w:rsidR="00EA6BCF" w:rsidRDefault="00441D4F">
      <w:pPr>
        <w:jc w:val="both"/>
        <w:rPr>
          <w:rFonts w:ascii="Calibri" w:eastAsia="Calibri" w:hAnsi="Calibri" w:cs="Calibri"/>
        </w:rPr>
      </w:pPr>
      <w:r>
        <w:rPr>
          <w:rFonts w:ascii="Calibri" w:eastAsia="Calibri" w:hAnsi="Calibri" w:cs="Calibri"/>
        </w:rPr>
        <w:t xml:space="preserve"> </w:t>
      </w:r>
    </w:p>
    <w:p w14:paraId="24969C87" w14:textId="373230D5" w:rsidR="00EA6BCF" w:rsidRDefault="00441D4F">
      <w:pPr>
        <w:jc w:val="both"/>
        <w:rPr>
          <w:rFonts w:ascii="Calibri" w:eastAsia="Calibri" w:hAnsi="Calibri" w:cs="Calibri"/>
        </w:rPr>
      </w:pPr>
      <w:r>
        <w:rPr>
          <w:rFonts w:ascii="Calibri" w:eastAsia="Calibri" w:hAnsi="Calibri" w:cs="Calibri"/>
        </w:rPr>
        <w:lastRenderedPageBreak/>
        <w:t>Skala samych opóźnień nie pokazuje jednak całego ich kosztu. Spośród firm produkcyjnych, których klienci płacą po terminie, co trzecia zdecydowanie potwierdza, że zamrożone należności wpływają na kondycję przedsiębiorstwa, utrudniając m.in.</w:t>
      </w:r>
      <w:r w:rsidR="0095051F">
        <w:rPr>
          <w:rFonts w:ascii="Calibri" w:eastAsia="Calibri" w:hAnsi="Calibri" w:cs="Calibri"/>
        </w:rPr>
        <w:t xml:space="preserve"> </w:t>
      </w:r>
      <w:r>
        <w:rPr>
          <w:rFonts w:ascii="Calibri" w:eastAsia="Calibri" w:hAnsi="Calibri" w:cs="Calibri"/>
        </w:rPr>
        <w:t xml:space="preserve">utrzymanie płynności, regulowanie własnych zobowiązań czy inwestowanie. Jeśli uwzględnić również odpowiedzi „raczej tak”, wpływ opóźnionych płatności na kondycję firmy deklaruje 58 proc. przedsiębiorstw produkcyjnych. </w:t>
      </w:r>
    </w:p>
    <w:p w14:paraId="3381A5B7" w14:textId="77777777" w:rsidR="00E00C05" w:rsidRDefault="00E00C05">
      <w:pPr>
        <w:jc w:val="both"/>
        <w:rPr>
          <w:rFonts w:ascii="Calibri" w:eastAsia="Calibri" w:hAnsi="Calibri" w:cs="Calibri"/>
        </w:rPr>
      </w:pPr>
    </w:p>
    <w:p w14:paraId="05576A29" w14:textId="10D904FB" w:rsidR="00E00C05" w:rsidRDefault="00E00C05">
      <w:pPr>
        <w:jc w:val="both"/>
        <w:rPr>
          <w:rFonts w:ascii="Calibri" w:eastAsia="Calibri" w:hAnsi="Calibri" w:cs="Calibri"/>
        </w:rPr>
      </w:pPr>
      <w:r>
        <w:rPr>
          <w:rFonts w:ascii="Calibri" w:eastAsia="Calibri" w:hAnsi="Calibri" w:cs="Calibri"/>
        </w:rPr>
        <w:t>T</w:t>
      </w:r>
      <w:r w:rsidRPr="00E00C05">
        <w:rPr>
          <w:rFonts w:ascii="Calibri" w:eastAsia="Calibri" w:hAnsi="Calibri" w:cs="Calibri"/>
        </w:rPr>
        <w:t>o sygnał, żeby uważniej zarządzać należnościami i ryzykiem kontrahenta. Im dłużej pieniądze pozostają poza firmą, tym większe znaczenie ma nie tylko monitoring własnych płatności, ale także wiedza o sytuacji finansowej partnerów biznesowych. W warunkach, w których zaległości rosną szybciej niż liczba firm mających problemy z płatnościami, szybk</w:t>
      </w:r>
      <w:r w:rsidR="00C63FAE">
        <w:rPr>
          <w:rFonts w:ascii="Calibri" w:eastAsia="Calibri" w:hAnsi="Calibri" w:cs="Calibri"/>
        </w:rPr>
        <w:t xml:space="preserve">ie wychwycenie </w:t>
      </w:r>
      <w:r w:rsidRPr="00E00C05">
        <w:rPr>
          <w:rFonts w:ascii="Calibri" w:eastAsia="Calibri" w:hAnsi="Calibri" w:cs="Calibri"/>
        </w:rPr>
        <w:t>pierwsz</w:t>
      </w:r>
      <w:r w:rsidR="00C63FAE">
        <w:rPr>
          <w:rFonts w:ascii="Calibri" w:eastAsia="Calibri" w:hAnsi="Calibri" w:cs="Calibri"/>
        </w:rPr>
        <w:t>ych</w:t>
      </w:r>
      <w:r w:rsidRPr="00E00C05">
        <w:rPr>
          <w:rFonts w:ascii="Calibri" w:eastAsia="Calibri" w:hAnsi="Calibri" w:cs="Calibri"/>
        </w:rPr>
        <w:t xml:space="preserve"> sygnał</w:t>
      </w:r>
      <w:r w:rsidR="00C63FAE">
        <w:rPr>
          <w:rFonts w:ascii="Calibri" w:eastAsia="Calibri" w:hAnsi="Calibri" w:cs="Calibri"/>
        </w:rPr>
        <w:t>ów</w:t>
      </w:r>
      <w:r w:rsidRPr="00E00C05">
        <w:rPr>
          <w:rFonts w:ascii="Calibri" w:eastAsia="Calibri" w:hAnsi="Calibri" w:cs="Calibri"/>
        </w:rPr>
        <w:t xml:space="preserve"> opóźnień może ograniczyć ich wpływ na kolejne ogniwa łańcucha dostaw.</w:t>
      </w:r>
    </w:p>
    <w:p w14:paraId="40FFA216" w14:textId="77777777" w:rsidR="00EA6BCF" w:rsidRDefault="00EA6BCF">
      <w:pPr>
        <w:jc w:val="both"/>
        <w:rPr>
          <w:rFonts w:ascii="Calibri" w:eastAsia="Calibri" w:hAnsi="Calibri" w:cs="Calibri"/>
        </w:rPr>
      </w:pPr>
    </w:p>
    <w:p w14:paraId="29FA04EE" w14:textId="028160C9" w:rsidR="00EA6BCF" w:rsidRDefault="00441D4F">
      <w:pPr>
        <w:jc w:val="both"/>
        <w:rPr>
          <w:rFonts w:ascii="Calibri" w:eastAsia="Calibri" w:hAnsi="Calibri" w:cs="Calibri"/>
          <w:b/>
          <w:bCs/>
        </w:rPr>
      </w:pPr>
      <w:r>
        <w:rPr>
          <w:rFonts w:ascii="Calibri" w:eastAsia="Calibri" w:hAnsi="Calibri" w:cs="Calibri"/>
          <w:b/>
          <w:bCs/>
        </w:rPr>
        <w:t>Firmy chcą wiedzieć z kim zaczynają współpracę</w:t>
      </w:r>
    </w:p>
    <w:p w14:paraId="779BD741" w14:textId="77777777" w:rsidR="00EA6BCF" w:rsidRDefault="00EA6BCF">
      <w:pPr>
        <w:jc w:val="both"/>
        <w:rPr>
          <w:rFonts w:ascii="Calibri" w:eastAsia="Calibri" w:hAnsi="Calibri" w:cs="Calibri"/>
        </w:rPr>
      </w:pPr>
    </w:p>
    <w:p w14:paraId="309DCCAE" w14:textId="6500FDE8" w:rsidR="00EA6BCF" w:rsidRDefault="00441D4F">
      <w:pPr>
        <w:jc w:val="both"/>
        <w:rPr>
          <w:rFonts w:ascii="Calibri" w:eastAsia="Calibri" w:hAnsi="Calibri" w:cs="Calibri"/>
        </w:rPr>
      </w:pPr>
      <w:r>
        <w:rPr>
          <w:rFonts w:ascii="Calibri" w:eastAsia="Calibri" w:hAnsi="Calibri" w:cs="Calibri"/>
        </w:rPr>
        <w:t xml:space="preserve">Producenci nie rezygnują automatycznie ze współpracy z firmami, o których wiedzą, że zdarzają im się opóźnienia w płatnościach. Ponad połowa </w:t>
      </w:r>
      <w:r w:rsidR="00CF385F">
        <w:rPr>
          <w:rFonts w:ascii="Calibri" w:eastAsia="Calibri" w:hAnsi="Calibri" w:cs="Calibri"/>
        </w:rPr>
        <w:t>z nich</w:t>
      </w:r>
      <w:r>
        <w:rPr>
          <w:rFonts w:ascii="Calibri" w:eastAsia="Calibri" w:hAnsi="Calibri" w:cs="Calibri"/>
        </w:rPr>
        <w:t xml:space="preserve"> deklaruje, że jest skłonn</w:t>
      </w:r>
      <w:r w:rsidR="00CF385F">
        <w:rPr>
          <w:rFonts w:ascii="Calibri" w:eastAsia="Calibri" w:hAnsi="Calibri" w:cs="Calibri"/>
        </w:rPr>
        <w:t>a</w:t>
      </w:r>
      <w:r>
        <w:rPr>
          <w:rFonts w:ascii="Calibri" w:eastAsia="Calibri" w:hAnsi="Calibri" w:cs="Calibri"/>
        </w:rPr>
        <w:t xml:space="preserve"> nawiązać współpracę z takim kontrahentem. Deklaracje przedsiębiorców pokazują jednak, że takie decyzje nie zapadają pochopnie. Odsetek firm przemysłowych, które zawsze sprawdzają przed rozpoczęciem współpracy opinie o nowym kontrahencie dostępne w internecie jest najwyższy i wynosi 34 proc. Jeśli uwzględnić również przedsiębiorstwa, które robią to często, odsetek w produkcji sięga 63 proc. To najwyższy wynik spośród trzech badanych sektorów.</w:t>
      </w:r>
    </w:p>
    <w:p w14:paraId="04D27E03" w14:textId="77777777" w:rsidR="003151EB" w:rsidRDefault="003151EB">
      <w:pPr>
        <w:jc w:val="both"/>
        <w:rPr>
          <w:rFonts w:ascii="Calibri" w:eastAsia="Calibri" w:hAnsi="Calibri" w:cs="Calibri"/>
        </w:rPr>
      </w:pPr>
    </w:p>
    <w:p w14:paraId="30C1F0A0" w14:textId="26E1778E" w:rsidR="00EA6BCF" w:rsidRDefault="00050190">
      <w:pPr>
        <w:jc w:val="both"/>
        <w:rPr>
          <w:rFonts w:ascii="Calibri" w:eastAsia="Calibri" w:hAnsi="Calibri" w:cs="Calibri"/>
        </w:rPr>
      </w:pPr>
      <w:r>
        <w:rPr>
          <w:rFonts w:ascii="Calibri" w:eastAsia="Calibri" w:hAnsi="Calibri" w:cs="Calibri"/>
        </w:rPr>
        <w:t>–</w:t>
      </w:r>
      <w:r w:rsidR="00441D4F">
        <w:rPr>
          <w:rFonts w:ascii="Calibri" w:eastAsia="Calibri" w:hAnsi="Calibri" w:cs="Calibri"/>
        </w:rPr>
        <w:t xml:space="preserve"> </w:t>
      </w:r>
      <w:r w:rsidR="00441D4F">
        <w:rPr>
          <w:rFonts w:ascii="Calibri" w:eastAsia="Calibri" w:hAnsi="Calibri" w:cs="Calibri"/>
          <w:i/>
          <w:iCs/>
        </w:rPr>
        <w:t xml:space="preserve">Przy </w:t>
      </w:r>
      <w:r w:rsidR="00110A41">
        <w:rPr>
          <w:rFonts w:ascii="Calibri" w:eastAsia="Calibri" w:hAnsi="Calibri" w:cs="Calibri"/>
          <w:i/>
          <w:iCs/>
        </w:rPr>
        <w:t>takiej skali zatorów płatniczych</w:t>
      </w:r>
      <w:r w:rsidR="00441D4F">
        <w:rPr>
          <w:rFonts w:ascii="Calibri" w:eastAsia="Calibri" w:hAnsi="Calibri" w:cs="Calibri"/>
          <w:i/>
          <w:iCs/>
        </w:rPr>
        <w:t xml:space="preserve"> </w:t>
      </w:r>
      <w:r w:rsidR="00C63FAE">
        <w:rPr>
          <w:rFonts w:ascii="Calibri" w:eastAsia="Calibri" w:hAnsi="Calibri" w:cs="Calibri"/>
          <w:i/>
          <w:iCs/>
        </w:rPr>
        <w:t>weryfikacja</w:t>
      </w:r>
      <w:r w:rsidR="00441D4F">
        <w:rPr>
          <w:rFonts w:ascii="Calibri" w:eastAsia="Calibri" w:hAnsi="Calibri" w:cs="Calibri"/>
          <w:i/>
          <w:iCs/>
        </w:rPr>
        <w:t xml:space="preserve"> kontrahenta staje się ważnym elementem zarządzania ryzykiem. </w:t>
      </w:r>
      <w:r w:rsidR="00EC5A1B">
        <w:rPr>
          <w:rFonts w:ascii="Calibri" w:eastAsia="Calibri" w:hAnsi="Calibri" w:cs="Calibri"/>
          <w:i/>
          <w:iCs/>
        </w:rPr>
        <w:t>B</w:t>
      </w:r>
      <w:r w:rsidR="00441D4F">
        <w:rPr>
          <w:rFonts w:ascii="Calibri" w:eastAsia="Calibri" w:hAnsi="Calibri" w:cs="Calibri"/>
          <w:i/>
          <w:iCs/>
        </w:rPr>
        <w:t xml:space="preserve">rak wiedzy o </w:t>
      </w:r>
      <w:r w:rsidR="00C63FAE">
        <w:rPr>
          <w:rFonts w:ascii="Calibri" w:eastAsia="Calibri" w:hAnsi="Calibri" w:cs="Calibri"/>
          <w:i/>
          <w:iCs/>
        </w:rPr>
        <w:t xml:space="preserve">sytuacji finansowej partnera biznesowego </w:t>
      </w:r>
      <w:r w:rsidR="00441D4F">
        <w:rPr>
          <w:rFonts w:ascii="Calibri" w:eastAsia="Calibri" w:hAnsi="Calibri" w:cs="Calibri"/>
          <w:i/>
          <w:iCs/>
        </w:rPr>
        <w:t xml:space="preserve">oznacza podejmowanie decyzji bez pełnego obrazu </w:t>
      </w:r>
      <w:r w:rsidR="00C63FAE">
        <w:rPr>
          <w:rFonts w:ascii="Calibri" w:eastAsia="Calibri" w:hAnsi="Calibri" w:cs="Calibri"/>
          <w:i/>
          <w:iCs/>
        </w:rPr>
        <w:t>potencjalnego ryzyka</w:t>
      </w:r>
      <w:r w:rsidR="00441D4F">
        <w:rPr>
          <w:rFonts w:ascii="Calibri" w:eastAsia="Calibri" w:hAnsi="Calibri" w:cs="Calibri"/>
          <w:i/>
          <w:iCs/>
        </w:rPr>
        <w:t>. Widać</w:t>
      </w:r>
      <w:r w:rsidR="00110A41">
        <w:rPr>
          <w:rFonts w:ascii="Calibri" w:eastAsia="Calibri" w:hAnsi="Calibri" w:cs="Calibri"/>
          <w:i/>
          <w:iCs/>
        </w:rPr>
        <w:t xml:space="preserve"> jednak</w:t>
      </w:r>
      <w:r w:rsidR="00441D4F">
        <w:rPr>
          <w:rFonts w:ascii="Calibri" w:eastAsia="Calibri" w:hAnsi="Calibri" w:cs="Calibri"/>
          <w:i/>
          <w:iCs/>
        </w:rPr>
        <w:t xml:space="preserve">, że przedsiębiorcy coraz częściej </w:t>
      </w:r>
      <w:r w:rsidR="00C63FAE">
        <w:rPr>
          <w:rFonts w:ascii="Calibri" w:eastAsia="Calibri" w:hAnsi="Calibri" w:cs="Calibri"/>
          <w:i/>
          <w:iCs/>
        </w:rPr>
        <w:t>dostrzegają znaczenie takich działań. W</w:t>
      </w:r>
      <w:r w:rsidR="00110A41">
        <w:rPr>
          <w:rFonts w:ascii="Calibri" w:eastAsia="Calibri" w:hAnsi="Calibri" w:cs="Calibri"/>
          <w:i/>
          <w:iCs/>
        </w:rPr>
        <w:t xml:space="preserve"> sektorze produkcyjnym </w:t>
      </w:r>
      <w:r w:rsidR="00C63FAE">
        <w:rPr>
          <w:rFonts w:ascii="Calibri" w:eastAsia="Calibri" w:hAnsi="Calibri" w:cs="Calibri"/>
          <w:i/>
          <w:iCs/>
        </w:rPr>
        <w:t xml:space="preserve">firmy sprawdzają swoich kontrahentów </w:t>
      </w:r>
      <w:r w:rsidR="00405454">
        <w:rPr>
          <w:rFonts w:ascii="Calibri" w:eastAsia="Calibri" w:hAnsi="Calibri" w:cs="Calibri"/>
          <w:i/>
          <w:iCs/>
        </w:rPr>
        <w:t>zdecydowanie częściej niż</w:t>
      </w:r>
      <w:r w:rsidR="00110A41">
        <w:rPr>
          <w:rFonts w:ascii="Calibri" w:eastAsia="Calibri" w:hAnsi="Calibri" w:cs="Calibri"/>
          <w:i/>
          <w:iCs/>
        </w:rPr>
        <w:t xml:space="preserve"> </w:t>
      </w:r>
      <w:r w:rsidR="00C63FAE">
        <w:rPr>
          <w:rFonts w:ascii="Calibri" w:eastAsia="Calibri" w:hAnsi="Calibri" w:cs="Calibri"/>
          <w:i/>
          <w:iCs/>
        </w:rPr>
        <w:t xml:space="preserve">w </w:t>
      </w:r>
      <w:r w:rsidR="00E4467C">
        <w:rPr>
          <w:rFonts w:ascii="Calibri" w:eastAsia="Calibri" w:hAnsi="Calibri" w:cs="Calibri"/>
          <w:i/>
          <w:iCs/>
        </w:rPr>
        <w:t>budownictwie czy</w:t>
      </w:r>
      <w:r w:rsidR="00405454">
        <w:rPr>
          <w:rFonts w:ascii="Calibri" w:eastAsia="Calibri" w:hAnsi="Calibri" w:cs="Calibri"/>
          <w:i/>
          <w:iCs/>
        </w:rPr>
        <w:t xml:space="preserve"> transpor</w:t>
      </w:r>
      <w:r w:rsidR="00C63FAE">
        <w:rPr>
          <w:rFonts w:ascii="Calibri" w:eastAsia="Calibri" w:hAnsi="Calibri" w:cs="Calibri"/>
          <w:i/>
          <w:iCs/>
        </w:rPr>
        <w:t>cie</w:t>
      </w:r>
      <w:r w:rsidR="00405454">
        <w:rPr>
          <w:rFonts w:ascii="Calibri" w:eastAsia="Calibri" w:hAnsi="Calibri" w:cs="Calibri"/>
          <w:i/>
          <w:iCs/>
        </w:rPr>
        <w:t>.</w:t>
      </w:r>
      <w:r w:rsidR="00110A41">
        <w:rPr>
          <w:rFonts w:ascii="Calibri" w:eastAsia="Calibri" w:hAnsi="Calibri" w:cs="Calibri"/>
          <w:i/>
          <w:iCs/>
        </w:rPr>
        <w:t xml:space="preserve"> </w:t>
      </w:r>
      <w:r w:rsidR="00E632B5">
        <w:rPr>
          <w:rFonts w:ascii="Calibri" w:eastAsia="Calibri" w:hAnsi="Calibri" w:cs="Calibri"/>
          <w:i/>
          <w:iCs/>
        </w:rPr>
        <w:t>Aż 37 proc. firm produkcyjnych deklaruje, że robi to z</w:t>
      </w:r>
      <w:r w:rsidR="00110A41">
        <w:rPr>
          <w:rFonts w:ascii="Calibri" w:eastAsia="Calibri" w:hAnsi="Calibri" w:cs="Calibri"/>
          <w:i/>
          <w:iCs/>
        </w:rPr>
        <w:t>awsze</w:t>
      </w:r>
      <w:r w:rsidR="00E632B5">
        <w:rPr>
          <w:rFonts w:ascii="Calibri" w:eastAsia="Calibri" w:hAnsi="Calibri" w:cs="Calibri"/>
          <w:i/>
          <w:iCs/>
        </w:rPr>
        <w:t xml:space="preserve">, </w:t>
      </w:r>
      <w:r w:rsidR="00110A41">
        <w:rPr>
          <w:rFonts w:ascii="Calibri" w:eastAsia="Calibri" w:hAnsi="Calibri" w:cs="Calibri"/>
          <w:i/>
          <w:iCs/>
        </w:rPr>
        <w:t>podczas gdy w pozostałych</w:t>
      </w:r>
      <w:r w:rsidR="00E632B5">
        <w:rPr>
          <w:rFonts w:ascii="Calibri" w:eastAsia="Calibri" w:hAnsi="Calibri" w:cs="Calibri"/>
          <w:i/>
          <w:iCs/>
        </w:rPr>
        <w:t xml:space="preserve"> branżach odsetek ten wynosi</w:t>
      </w:r>
      <w:r w:rsidR="00110A41">
        <w:rPr>
          <w:rFonts w:ascii="Calibri" w:eastAsia="Calibri" w:hAnsi="Calibri" w:cs="Calibri"/>
          <w:i/>
          <w:iCs/>
        </w:rPr>
        <w:t xml:space="preserve"> średnio 21 proc.</w:t>
      </w:r>
      <w:r w:rsidR="002A6033">
        <w:rPr>
          <w:rFonts w:ascii="Calibri" w:eastAsia="Calibri" w:hAnsi="Calibri" w:cs="Calibri"/>
        </w:rPr>
        <w:t xml:space="preserve"> – podkreśla</w:t>
      </w:r>
      <w:r w:rsidR="00441D4F">
        <w:rPr>
          <w:rFonts w:ascii="Calibri" w:eastAsia="Calibri" w:hAnsi="Calibri" w:cs="Calibri"/>
        </w:rPr>
        <w:t xml:space="preserve"> </w:t>
      </w:r>
      <w:r w:rsidR="00441D4F" w:rsidRPr="002A6033">
        <w:rPr>
          <w:rFonts w:ascii="Calibri" w:eastAsia="Calibri" w:hAnsi="Calibri" w:cs="Calibri"/>
          <w:b/>
          <w:bCs/>
        </w:rPr>
        <w:t>Paweł Szarkowski, prezes BIG InfoMonitor</w:t>
      </w:r>
      <w:r w:rsidR="002A6033">
        <w:rPr>
          <w:rFonts w:ascii="Calibri" w:eastAsia="Calibri" w:hAnsi="Calibri" w:cs="Calibri"/>
          <w:b/>
          <w:bCs/>
        </w:rPr>
        <w:t>.</w:t>
      </w:r>
    </w:p>
    <w:p w14:paraId="1B38F38F" w14:textId="77777777" w:rsidR="00EA6BCF" w:rsidRDefault="00EA6BCF">
      <w:pPr>
        <w:jc w:val="both"/>
        <w:rPr>
          <w:rFonts w:ascii="Calibri" w:eastAsia="Calibri" w:hAnsi="Calibri" w:cs="Calibri"/>
        </w:rPr>
      </w:pPr>
    </w:p>
    <w:p w14:paraId="3F926EC1" w14:textId="77777777" w:rsidR="00EA6BCF" w:rsidRDefault="00EA6BCF">
      <w:pPr>
        <w:jc w:val="both"/>
        <w:rPr>
          <w:rFonts w:ascii="Calibri" w:eastAsia="Calibri" w:hAnsi="Calibri" w:cs="Calibri"/>
          <w:b/>
          <w:bCs/>
        </w:rPr>
      </w:pPr>
    </w:p>
    <w:p w14:paraId="1EA231A3" w14:textId="77777777" w:rsidR="007E6DAC" w:rsidRDefault="007E6DAC">
      <w:pPr>
        <w:jc w:val="both"/>
        <w:rPr>
          <w:rFonts w:ascii="Calibri" w:eastAsia="Calibri" w:hAnsi="Calibri" w:cs="Calibri"/>
        </w:rPr>
      </w:pPr>
    </w:p>
    <w:p w14:paraId="15C435BE" w14:textId="77777777" w:rsidR="009804ED" w:rsidRPr="009804ED" w:rsidRDefault="009804ED" w:rsidP="009804ED">
      <w:pPr>
        <w:spacing w:line="300" w:lineRule="auto"/>
        <w:jc w:val="both"/>
        <w:rPr>
          <w:rFonts w:ascii="Calibri" w:hAnsi="Calibri" w:cs="Calibri"/>
          <w:sz w:val="18"/>
          <w:szCs w:val="18"/>
        </w:rPr>
      </w:pPr>
      <w:r w:rsidRPr="009804ED">
        <w:rPr>
          <w:rFonts w:ascii="Calibri" w:hAnsi="Calibri" w:cs="Calibri"/>
          <w:b/>
          <w:bCs/>
          <w:sz w:val="18"/>
          <w:szCs w:val="18"/>
        </w:rPr>
        <w:t>BIG InfoMonitor</w:t>
      </w:r>
      <w:r w:rsidRPr="009804ED">
        <w:rPr>
          <w:rFonts w:ascii="Calibri" w:hAnsi="Calibri" w:cs="Calibri"/>
          <w:sz w:val="18"/>
          <w:szCs w:val="18"/>
        </w:rPr>
        <w:t xml:space="preserve">, spółka z Grupy BIK, już od 22 lat dostarcza rynkowi wiarygodne informacje o zadłużeniu osób fizycznych i firm. Pomaga w ten sposób w przeciwdziałaniu zatorom płatniczym i odzyskiwaniu należności. Spółka prowadzi rejestr dłużników, do którego na warunkach określonych w Ustawie o BIG, każdy może wpisać dłużnika – firmę lub konsumenta zalegającego z płatnościami. Oprócz zaległych długów BIG InfoMonitor gromadzi i udostępnia pozytywne informacje gospodarcze, czyli dane o terminowych płatnościach. Raporty z BIG InfoMonitor zawierają wiarygodne informacje o kondycji finansowej osób oraz firm i tym samym wspierają podmioty gospodarcze w dbaniu o płynność finansową.  BIG InfoMonitor posiada jedną z największych baz dłużników – zasoby rejestru obejmują ponad 114 mln informacji gospodarczych. Od początku działalności do rejestru dłużników BIG InfoMonitor wpisano blisko 42 mln zaległych zobowiązań o wartości 660 mld zł. Banki, firmy pożyczkowe i inne podmioty z rynku chętnie korzystają z raportów z BIG InfoMonitor w swoich procesach </w:t>
      </w:r>
      <w:r w:rsidRPr="009804ED">
        <w:rPr>
          <w:rFonts w:ascii="Calibri" w:hAnsi="Calibri" w:cs="Calibri"/>
          <w:sz w:val="18"/>
          <w:szCs w:val="18"/>
        </w:rPr>
        <w:lastRenderedPageBreak/>
        <w:t xml:space="preserve">sprzedażowych. Badają w ten sposób wiarygodność płatniczą swoich klientów. Od początku działania BIG InfoMonitor udostępnił 363 mln raportów o wiarygodności płatniczej osób i firm. </w:t>
      </w:r>
    </w:p>
    <w:p w14:paraId="234E89AD" w14:textId="32B450E3" w:rsidR="009804ED" w:rsidRPr="009804ED" w:rsidRDefault="009804ED" w:rsidP="009804ED">
      <w:pPr>
        <w:spacing w:line="300" w:lineRule="auto"/>
        <w:jc w:val="both"/>
        <w:rPr>
          <w:rFonts w:ascii="Calibri" w:hAnsi="Calibri" w:cs="Calibri"/>
          <w:sz w:val="18"/>
          <w:szCs w:val="18"/>
        </w:rPr>
      </w:pPr>
      <w:r w:rsidRPr="009804ED">
        <w:rPr>
          <w:rFonts w:ascii="Calibri" w:hAnsi="Calibri" w:cs="Calibri"/>
          <w:sz w:val="18"/>
          <w:szCs w:val="18"/>
        </w:rPr>
        <w:t xml:space="preserve">Informacje o dłużnikach przekazują do BIG InfoMonitor m.in. dostawcy energii elektrycznej, gazu, wody i inne przedsiębiorstwa użyteczności publicznej, banki, firmy pożyczkowe, operatorzy telefonii stacjonarnej i komórkowej, firmy ubezpieczeniowe, faktoringowe, leasingowe, sektor MŚP i duże firmy, zarządcy nieruchomości, transport publiczny, sądy, gminy i urzędy miasta, a także osoby fizyczne. </w:t>
      </w:r>
    </w:p>
    <w:p w14:paraId="1704688C" w14:textId="77777777" w:rsidR="009804ED" w:rsidRPr="009804ED" w:rsidRDefault="009804ED" w:rsidP="009804ED">
      <w:pPr>
        <w:spacing w:line="300" w:lineRule="auto"/>
        <w:jc w:val="both"/>
        <w:rPr>
          <w:rFonts w:ascii="Calibri" w:hAnsi="Calibri" w:cs="Calibri"/>
          <w:sz w:val="20"/>
          <w:szCs w:val="20"/>
        </w:rPr>
      </w:pPr>
      <w:r w:rsidRPr="009804ED">
        <w:rPr>
          <w:rFonts w:ascii="Calibri" w:hAnsi="Calibri" w:cs="Calibri"/>
          <w:sz w:val="18"/>
          <w:szCs w:val="18"/>
        </w:rPr>
        <w:t xml:space="preserve">BIG InfoMonitor umożliwia dostęp do baz: Biura Informacji Kredytowej i Związku Banków Polskich, dzięki czemu stanowi platformę wymiany informacji pomiędzy sektorem bankowym i pozostałymi sektorami gospodarki. Głównym akcjonariuszem BIG InfoMonitor jest Biuro Informacji Kredytowej. Więcej na </w:t>
      </w:r>
      <w:hyperlink r:id="rId7" w:history="1">
        <w:r w:rsidRPr="009804ED">
          <w:rPr>
            <w:rStyle w:val="Hipercze"/>
            <w:rFonts w:ascii="Calibri" w:hAnsi="Calibri" w:cs="Calibri"/>
            <w:color w:val="0563C1"/>
            <w:sz w:val="18"/>
            <w:szCs w:val="18"/>
          </w:rPr>
          <w:t>www.big.pl</w:t>
        </w:r>
      </w:hyperlink>
    </w:p>
    <w:p w14:paraId="1F2B8D44" w14:textId="77777777" w:rsidR="009804ED" w:rsidRPr="009804ED" w:rsidRDefault="009804ED" w:rsidP="009804ED">
      <w:pPr>
        <w:spacing w:line="300" w:lineRule="auto"/>
        <w:jc w:val="both"/>
        <w:rPr>
          <w:rFonts w:ascii="Calibri" w:hAnsi="Calibri" w:cs="Calibri"/>
          <w:sz w:val="18"/>
          <w:szCs w:val="18"/>
        </w:rPr>
      </w:pPr>
    </w:p>
    <w:p w14:paraId="64D72B57" w14:textId="77777777" w:rsidR="009804ED" w:rsidRPr="009804ED" w:rsidRDefault="009804ED" w:rsidP="009804ED">
      <w:pPr>
        <w:spacing w:line="240" w:lineRule="auto"/>
        <w:jc w:val="both"/>
        <w:rPr>
          <w:rFonts w:ascii="Calibri" w:hAnsi="Calibri" w:cs="Calibri"/>
          <w:b/>
          <w:bCs/>
          <w:sz w:val="18"/>
          <w:szCs w:val="18"/>
        </w:rPr>
      </w:pPr>
      <w:r w:rsidRPr="009804ED">
        <w:rPr>
          <w:rFonts w:ascii="Calibri" w:hAnsi="Calibri" w:cs="Calibri"/>
          <w:b/>
          <w:bCs/>
          <w:sz w:val="18"/>
          <w:szCs w:val="18"/>
        </w:rPr>
        <w:t>Kontakt dla mediów:</w:t>
      </w:r>
    </w:p>
    <w:tbl>
      <w:tblPr>
        <w:tblW w:w="10455" w:type="dxa"/>
        <w:tblLayout w:type="fixed"/>
        <w:tblLook w:val="0400" w:firstRow="0" w:lastRow="0" w:firstColumn="0" w:lastColumn="0" w:noHBand="0" w:noVBand="1"/>
      </w:tblPr>
      <w:tblGrid>
        <w:gridCol w:w="3779"/>
        <w:gridCol w:w="3338"/>
        <w:gridCol w:w="3338"/>
      </w:tblGrid>
      <w:tr w:rsidR="009804ED" w:rsidRPr="009804ED" w14:paraId="5228B332" w14:textId="77777777">
        <w:trPr>
          <w:trHeight w:val="1440"/>
        </w:trPr>
        <w:tc>
          <w:tcPr>
            <w:tcW w:w="3780" w:type="dxa"/>
            <w:hideMark/>
          </w:tcPr>
          <w:p w14:paraId="2DA686F1" w14:textId="77777777" w:rsidR="009804ED" w:rsidRPr="009804ED" w:rsidRDefault="009804ED">
            <w:pPr>
              <w:spacing w:line="240" w:lineRule="auto"/>
              <w:ind w:left="-108"/>
              <w:jc w:val="both"/>
              <w:rPr>
                <w:rFonts w:ascii="Calibri" w:hAnsi="Calibri" w:cs="Calibri"/>
                <w:sz w:val="18"/>
                <w:szCs w:val="18"/>
                <w:lang w:eastAsia="en-US"/>
              </w:rPr>
            </w:pPr>
            <w:r w:rsidRPr="009804ED">
              <w:rPr>
                <w:rFonts w:ascii="Calibri" w:hAnsi="Calibri" w:cs="Calibri"/>
                <w:sz w:val="18"/>
                <w:szCs w:val="18"/>
                <w:lang w:eastAsia="en-US"/>
              </w:rPr>
              <w:t>Diana Borowiecka</w:t>
            </w:r>
          </w:p>
          <w:p w14:paraId="68939953" w14:textId="77777777" w:rsidR="009804ED" w:rsidRPr="009804ED" w:rsidRDefault="009804ED">
            <w:pPr>
              <w:spacing w:line="240" w:lineRule="auto"/>
              <w:ind w:left="-108"/>
              <w:jc w:val="both"/>
              <w:rPr>
                <w:rFonts w:ascii="Calibri" w:hAnsi="Calibri" w:cs="Calibri"/>
                <w:sz w:val="18"/>
                <w:szCs w:val="18"/>
                <w:lang w:eastAsia="en-US"/>
              </w:rPr>
            </w:pPr>
            <w:r w:rsidRPr="009804ED">
              <w:rPr>
                <w:rFonts w:ascii="Calibri" w:hAnsi="Calibri" w:cs="Calibri"/>
                <w:sz w:val="18"/>
                <w:szCs w:val="18"/>
                <w:lang w:eastAsia="en-US"/>
              </w:rPr>
              <w:t>Biuro PR i Komunikacji</w:t>
            </w:r>
          </w:p>
          <w:p w14:paraId="016DF3D3" w14:textId="77777777" w:rsidR="009804ED" w:rsidRPr="009804ED" w:rsidRDefault="009804ED">
            <w:pPr>
              <w:spacing w:line="240" w:lineRule="auto"/>
              <w:ind w:left="-108"/>
              <w:jc w:val="both"/>
              <w:rPr>
                <w:rFonts w:ascii="Calibri" w:hAnsi="Calibri" w:cs="Calibri"/>
                <w:sz w:val="18"/>
                <w:szCs w:val="18"/>
                <w:lang w:eastAsia="en-US"/>
              </w:rPr>
            </w:pPr>
            <w:r w:rsidRPr="009804ED">
              <w:rPr>
                <w:rFonts w:ascii="Calibri" w:hAnsi="Calibri" w:cs="Calibri"/>
                <w:sz w:val="18"/>
                <w:szCs w:val="18"/>
                <w:lang w:eastAsia="en-US"/>
              </w:rPr>
              <w:t>tel.: +48 22 486 56 46</w:t>
            </w:r>
          </w:p>
          <w:p w14:paraId="722FA3FD" w14:textId="77777777" w:rsidR="009804ED" w:rsidRPr="009804ED" w:rsidRDefault="009804ED">
            <w:pPr>
              <w:spacing w:line="240" w:lineRule="auto"/>
              <w:ind w:left="-108"/>
              <w:jc w:val="both"/>
              <w:rPr>
                <w:rFonts w:ascii="Calibri" w:hAnsi="Calibri" w:cs="Calibri"/>
                <w:sz w:val="18"/>
                <w:szCs w:val="18"/>
                <w:lang w:eastAsia="en-US"/>
              </w:rPr>
            </w:pPr>
            <w:r w:rsidRPr="009804ED">
              <w:rPr>
                <w:rFonts w:ascii="Calibri" w:hAnsi="Calibri" w:cs="Calibri"/>
                <w:sz w:val="18"/>
                <w:szCs w:val="18"/>
                <w:lang w:eastAsia="en-US"/>
              </w:rPr>
              <w:t>kom.: + 48 607 146 583</w:t>
            </w:r>
          </w:p>
          <w:p w14:paraId="28B325E9" w14:textId="77777777" w:rsidR="009804ED" w:rsidRPr="009804ED" w:rsidRDefault="009804ED">
            <w:pPr>
              <w:spacing w:line="240" w:lineRule="auto"/>
              <w:ind w:left="-108"/>
              <w:jc w:val="both"/>
              <w:rPr>
                <w:rFonts w:ascii="Calibri" w:hAnsi="Calibri" w:cs="Calibri"/>
                <w:sz w:val="20"/>
                <w:szCs w:val="20"/>
                <w:lang w:eastAsia="en-US"/>
              </w:rPr>
            </w:pPr>
            <w:r w:rsidRPr="009804ED">
              <w:rPr>
                <w:rFonts w:ascii="Calibri" w:hAnsi="Calibri" w:cs="Calibri"/>
                <w:sz w:val="18"/>
                <w:szCs w:val="18"/>
                <w:lang w:eastAsia="en-US"/>
              </w:rPr>
              <w:t>diana.borowiecka@big.pl</w:t>
            </w:r>
          </w:p>
        </w:tc>
        <w:tc>
          <w:tcPr>
            <w:tcW w:w="3340" w:type="dxa"/>
          </w:tcPr>
          <w:p w14:paraId="7BC22A8A" w14:textId="77777777" w:rsidR="009804ED" w:rsidRPr="009804ED" w:rsidRDefault="009804ED">
            <w:pPr>
              <w:spacing w:line="240" w:lineRule="auto"/>
              <w:ind w:left="-108"/>
              <w:jc w:val="both"/>
              <w:rPr>
                <w:rFonts w:ascii="Calibri" w:hAnsi="Calibri" w:cs="Calibri"/>
                <w:sz w:val="18"/>
                <w:szCs w:val="18"/>
                <w:lang w:eastAsia="en-US"/>
              </w:rPr>
            </w:pPr>
          </w:p>
        </w:tc>
        <w:tc>
          <w:tcPr>
            <w:tcW w:w="3340" w:type="dxa"/>
          </w:tcPr>
          <w:p w14:paraId="62E6FA99" w14:textId="77777777" w:rsidR="009804ED" w:rsidRPr="009804ED" w:rsidRDefault="009804ED">
            <w:pPr>
              <w:spacing w:line="240" w:lineRule="auto"/>
              <w:jc w:val="both"/>
              <w:rPr>
                <w:rFonts w:ascii="Calibri" w:hAnsi="Calibri" w:cs="Calibri"/>
                <w:sz w:val="20"/>
                <w:szCs w:val="20"/>
                <w:lang w:eastAsia="en-US"/>
              </w:rPr>
            </w:pPr>
          </w:p>
        </w:tc>
      </w:tr>
    </w:tbl>
    <w:p w14:paraId="41466E48" w14:textId="7555EEB5" w:rsidR="00EA6BCF" w:rsidRPr="009804ED" w:rsidRDefault="00EA6BCF">
      <w:pPr>
        <w:jc w:val="both"/>
        <w:rPr>
          <w:rFonts w:ascii="Calibri" w:eastAsia="Calibri" w:hAnsi="Calibri" w:cs="Calibri"/>
        </w:rPr>
      </w:pPr>
    </w:p>
    <w:sectPr w:rsidR="00EA6BCF" w:rsidRPr="009804ED">
      <w:headerReference w:type="default" r:id="rId8"/>
      <w:footerReference w:type="even" r:id="rId9"/>
      <w:footerReference w:type="default" r:id="rId10"/>
      <w:footerReference w:type="firs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AF27" w14:textId="77777777" w:rsidR="00590058" w:rsidRDefault="00590058">
      <w:pPr>
        <w:spacing w:line="240" w:lineRule="auto"/>
      </w:pPr>
      <w:r>
        <w:separator/>
      </w:r>
    </w:p>
  </w:endnote>
  <w:endnote w:type="continuationSeparator" w:id="0">
    <w:p w14:paraId="183E22FE" w14:textId="77777777" w:rsidR="00590058" w:rsidRDefault="005900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AFCEBFA6-009D-4AB9-94F1-28C8FBB3FAA4}"/>
    <w:embedBold r:id="rId2" w:fontKey="{A67B1D0C-CD48-4487-BF96-772AABB1F03A}"/>
    <w:embedItalic r:id="rId3" w:fontKey="{7A728842-A64F-4321-976C-485209712853}"/>
  </w:font>
  <w:font w:name="Segoe UI">
    <w:panose1 w:val="020B0502040204020203"/>
    <w:charset w:val="EE"/>
    <w:family w:val="swiss"/>
    <w:pitch w:val="variable"/>
    <w:sig w:usb0="E4002EFF" w:usb1="C000E47F" w:usb2="00000009" w:usb3="00000000" w:csb0="000001FF" w:csb1="00000000"/>
    <w:embedRegular r:id="rId4" w:fontKey="{5EEF3F93-2E8A-44E5-8DCF-FE8D0CC54889}"/>
  </w:font>
  <w:font w:name="Aptos">
    <w:charset w:val="00"/>
    <w:family w:val="swiss"/>
    <w:pitch w:val="variable"/>
    <w:sig w:usb0="20000287" w:usb1="00000003" w:usb2="00000000" w:usb3="00000000" w:csb0="0000019F" w:csb1="00000000"/>
    <w:embedRegular r:id="rId5" w:fontKey="{ED9E88EC-BC55-40F2-B0E6-42B9E4DB1437}"/>
  </w:font>
  <w:font w:name="Cambria">
    <w:panose1 w:val="02040503050406030204"/>
    <w:charset w:val="EE"/>
    <w:family w:val="roman"/>
    <w:pitch w:val="variable"/>
    <w:sig w:usb0="E00006FF" w:usb1="420024FF" w:usb2="02000000" w:usb3="00000000" w:csb0="0000019F" w:csb1="00000000"/>
    <w:embedRegular r:id="rId6" w:fontKey="{B44A1872-CFB7-4F54-A48F-7A329E8A85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02E4" w14:textId="74DBA558" w:rsidR="006943B6" w:rsidRDefault="006943B6">
    <w:pPr>
      <w:pStyle w:val="Stopka"/>
    </w:pPr>
    <w:r>
      <w:rPr>
        <w:noProof/>
      </w:rPr>
      <mc:AlternateContent>
        <mc:Choice Requires="wps">
          <w:drawing>
            <wp:anchor distT="0" distB="0" distL="0" distR="0" simplePos="0" relativeHeight="251660288" behindDoc="0" locked="0" layoutInCell="1" allowOverlap="1" wp14:anchorId="29632777" wp14:editId="0F0AB28A">
              <wp:simplePos x="635" y="635"/>
              <wp:positionH relativeFrom="page">
                <wp:align>right</wp:align>
              </wp:positionH>
              <wp:positionV relativeFrom="page">
                <wp:align>bottom</wp:align>
              </wp:positionV>
              <wp:extent cx="1211580" cy="368935"/>
              <wp:effectExtent l="0" t="0" r="0" b="0"/>
              <wp:wrapNone/>
              <wp:docPr id="1494197149" name="Pole tekstowe 2" descr="Informacje Jaw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1580" cy="368935"/>
                      </a:xfrm>
                      <a:prstGeom prst="rect">
                        <a:avLst/>
                      </a:prstGeom>
                      <a:noFill/>
                      <a:ln>
                        <a:noFill/>
                      </a:ln>
                    </wps:spPr>
                    <wps:txbx>
                      <w:txbxContent>
                        <w:p w14:paraId="019BFC63" w14:textId="582E12D1" w:rsidR="006943B6" w:rsidRPr="006943B6" w:rsidRDefault="006943B6" w:rsidP="006943B6">
                          <w:pPr>
                            <w:rPr>
                              <w:rFonts w:ascii="Aptos" w:eastAsia="Aptos" w:hAnsi="Aptos" w:cs="Aptos"/>
                              <w:noProof/>
                              <w:color w:val="008000"/>
                              <w:sz w:val="20"/>
                              <w:szCs w:val="20"/>
                            </w:rPr>
                          </w:pPr>
                          <w:r w:rsidRPr="006943B6">
                            <w:rPr>
                              <w:rFonts w:ascii="Aptos" w:eastAsia="Aptos" w:hAnsi="Aptos" w:cs="Aptos"/>
                              <w:noProof/>
                              <w:color w:val="008000"/>
                              <w:sz w:val="20"/>
                              <w:szCs w:val="20"/>
                            </w:rPr>
                            <w:t>Informacje Jawne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9632777" id="_x0000_t202" coordsize="21600,21600" o:spt="202" path="m,l,21600r21600,l21600,xe">
              <v:stroke joinstyle="miter"/>
              <v:path gradientshapeok="t" o:connecttype="rect"/>
            </v:shapetype>
            <v:shape id="Pole tekstowe 2" o:spid="_x0000_s1026" type="#_x0000_t202" alt="Informacje Jawne" style="position:absolute;margin-left:44.2pt;margin-top:0;width:95.4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" filled="f" stroked="f">
              <v:textbox style="mso-fit-shape-to-text:t" inset="0,0,20pt,15pt">
                <w:txbxContent>
                  <w:p w14:paraId="019BFC63" w14:textId="582E12D1" w:rsidR="006943B6" w:rsidRPr="006943B6" w:rsidRDefault="006943B6" w:rsidP="006943B6">
                    <w:pPr>
                      <w:rPr>
                        <w:rFonts w:ascii="Aptos" w:eastAsia="Aptos" w:hAnsi="Aptos" w:cs="Aptos"/>
                        <w:noProof/>
                        <w:color w:val="008000"/>
                        <w:sz w:val="20"/>
                        <w:szCs w:val="20"/>
                      </w:rPr>
                    </w:pPr>
                    <w:r w:rsidRPr="006943B6">
                      <w:rPr>
                        <w:rFonts w:ascii="Aptos" w:eastAsia="Aptos" w:hAnsi="Aptos" w:cs="Aptos"/>
                        <w:noProof/>
                        <w:color w:val="008000"/>
                        <w:sz w:val="20"/>
                        <w:szCs w:val="20"/>
                      </w:rPr>
                      <w:t>Informacje Jawne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B0AA" w14:textId="6B80481A" w:rsidR="006943B6" w:rsidRDefault="006943B6">
    <w:pPr>
      <w:pStyle w:val="Stopka"/>
    </w:pPr>
    <w:r>
      <w:rPr>
        <w:noProof/>
      </w:rPr>
      <mc:AlternateContent>
        <mc:Choice Requires="wps">
          <w:drawing>
            <wp:anchor distT="0" distB="0" distL="0" distR="0" simplePos="0" relativeHeight="251661312" behindDoc="0" locked="0" layoutInCell="1" allowOverlap="1" wp14:anchorId="335B099A" wp14:editId="7E877C10">
              <wp:simplePos x="914400" y="10071100"/>
              <wp:positionH relativeFrom="page">
                <wp:align>right</wp:align>
              </wp:positionH>
              <wp:positionV relativeFrom="page">
                <wp:align>bottom</wp:align>
              </wp:positionV>
              <wp:extent cx="1211580" cy="368935"/>
              <wp:effectExtent l="0" t="0" r="0" b="0"/>
              <wp:wrapNone/>
              <wp:docPr id="1791247296" name="Pole tekstowe 3" descr="Informacje Jaw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1580" cy="368935"/>
                      </a:xfrm>
                      <a:prstGeom prst="rect">
                        <a:avLst/>
                      </a:prstGeom>
                      <a:noFill/>
                      <a:ln>
                        <a:noFill/>
                      </a:ln>
                    </wps:spPr>
                    <wps:txbx>
                      <w:txbxContent>
                        <w:p w14:paraId="3D9DAEC9" w14:textId="65471F7F" w:rsidR="006943B6" w:rsidRPr="006943B6" w:rsidRDefault="006943B6" w:rsidP="006943B6">
                          <w:pPr>
                            <w:rPr>
                              <w:rFonts w:ascii="Aptos" w:eastAsia="Aptos" w:hAnsi="Aptos" w:cs="Aptos"/>
                              <w:noProof/>
                              <w:color w:val="008000"/>
                              <w:sz w:val="20"/>
                              <w:szCs w:val="20"/>
                            </w:rPr>
                          </w:pPr>
                          <w:r w:rsidRPr="006943B6">
                            <w:rPr>
                              <w:rFonts w:ascii="Aptos" w:eastAsia="Aptos" w:hAnsi="Aptos" w:cs="Aptos"/>
                              <w:noProof/>
                              <w:color w:val="008000"/>
                              <w:sz w:val="20"/>
                              <w:szCs w:val="20"/>
                            </w:rPr>
                            <w:t>Informacje Jawne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35B099A" id="_x0000_t202" coordsize="21600,21600" o:spt="202" path="m,l,21600r21600,l21600,xe">
              <v:stroke joinstyle="miter"/>
              <v:path gradientshapeok="t" o:connecttype="rect"/>
            </v:shapetype>
            <v:shape id="Pole tekstowe 3" o:spid="_x0000_s1027" type="#_x0000_t202" alt="Informacje Jawne" style="position:absolute;margin-left:44.2pt;margin-top:0;width:95.4pt;height:29.0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" filled="f" stroked="f">
              <v:textbox style="mso-fit-shape-to-text:t" inset="0,0,20pt,15pt">
                <w:txbxContent>
                  <w:p w14:paraId="3D9DAEC9" w14:textId="65471F7F" w:rsidR="006943B6" w:rsidRPr="006943B6" w:rsidRDefault="006943B6" w:rsidP="006943B6">
                    <w:pPr>
                      <w:rPr>
                        <w:rFonts w:ascii="Aptos" w:eastAsia="Aptos" w:hAnsi="Aptos" w:cs="Aptos"/>
                        <w:noProof/>
                        <w:color w:val="008000"/>
                        <w:sz w:val="20"/>
                        <w:szCs w:val="20"/>
                      </w:rPr>
                    </w:pPr>
                    <w:r w:rsidRPr="006943B6">
                      <w:rPr>
                        <w:rFonts w:ascii="Aptos" w:eastAsia="Aptos" w:hAnsi="Aptos" w:cs="Aptos"/>
                        <w:noProof/>
                        <w:color w:val="008000"/>
                        <w:sz w:val="20"/>
                        <w:szCs w:val="20"/>
                      </w:rPr>
                      <w:t>Informacje Jawne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3CB9" w14:textId="3D1D7CFA" w:rsidR="006943B6" w:rsidRDefault="006943B6">
    <w:pPr>
      <w:pStyle w:val="Stopka"/>
    </w:pPr>
    <w:r>
      <w:rPr>
        <w:noProof/>
      </w:rPr>
      <mc:AlternateContent>
        <mc:Choice Requires="wps">
          <w:drawing>
            <wp:anchor distT="0" distB="0" distL="0" distR="0" simplePos="0" relativeHeight="251659264" behindDoc="0" locked="0" layoutInCell="1" allowOverlap="1" wp14:anchorId="2F5062F4" wp14:editId="05252E94">
              <wp:simplePos x="635" y="635"/>
              <wp:positionH relativeFrom="page">
                <wp:align>right</wp:align>
              </wp:positionH>
              <wp:positionV relativeFrom="page">
                <wp:align>bottom</wp:align>
              </wp:positionV>
              <wp:extent cx="1211580" cy="368935"/>
              <wp:effectExtent l="0" t="0" r="0" b="0"/>
              <wp:wrapNone/>
              <wp:docPr id="1618479102" name="Pole tekstowe 1" descr="Informacje Jaw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1580" cy="368935"/>
                      </a:xfrm>
                      <a:prstGeom prst="rect">
                        <a:avLst/>
                      </a:prstGeom>
                      <a:noFill/>
                      <a:ln>
                        <a:noFill/>
                      </a:ln>
                    </wps:spPr>
                    <wps:txbx>
                      <w:txbxContent>
                        <w:p w14:paraId="6B7863EE" w14:textId="049E9EAC" w:rsidR="006943B6" w:rsidRPr="006943B6" w:rsidRDefault="006943B6" w:rsidP="006943B6">
                          <w:pPr>
                            <w:rPr>
                              <w:rFonts w:ascii="Aptos" w:eastAsia="Aptos" w:hAnsi="Aptos" w:cs="Aptos"/>
                              <w:noProof/>
                              <w:color w:val="008000"/>
                              <w:sz w:val="20"/>
                              <w:szCs w:val="20"/>
                            </w:rPr>
                          </w:pPr>
                          <w:r w:rsidRPr="006943B6">
                            <w:rPr>
                              <w:rFonts w:ascii="Aptos" w:eastAsia="Aptos" w:hAnsi="Aptos" w:cs="Aptos"/>
                              <w:noProof/>
                              <w:color w:val="008000"/>
                              <w:sz w:val="20"/>
                              <w:szCs w:val="20"/>
                            </w:rPr>
                            <w:t>Informacje Jawne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5062F4" id="_x0000_t202" coordsize="21600,21600" o:spt="202" path="m,l,21600r21600,l21600,xe">
              <v:stroke joinstyle="miter"/>
              <v:path gradientshapeok="t" o:connecttype="rect"/>
            </v:shapetype>
            <v:shape id="Pole tekstowe 1" o:spid="_x0000_s1028" type="#_x0000_t202" alt="Informacje Jawne" style="position:absolute;margin-left:44.2pt;margin-top:0;width:95.4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" filled="f" stroked="f">
              <v:textbox style="mso-fit-shape-to-text:t" inset="0,0,20pt,15pt">
                <w:txbxContent>
                  <w:p w14:paraId="6B7863EE" w14:textId="049E9EAC" w:rsidR="006943B6" w:rsidRPr="006943B6" w:rsidRDefault="006943B6" w:rsidP="006943B6">
                    <w:pPr>
                      <w:rPr>
                        <w:rFonts w:ascii="Aptos" w:eastAsia="Aptos" w:hAnsi="Aptos" w:cs="Aptos"/>
                        <w:noProof/>
                        <w:color w:val="008000"/>
                        <w:sz w:val="20"/>
                        <w:szCs w:val="20"/>
                      </w:rPr>
                    </w:pPr>
                    <w:r w:rsidRPr="006943B6">
                      <w:rPr>
                        <w:rFonts w:ascii="Aptos" w:eastAsia="Aptos" w:hAnsi="Aptos" w:cs="Aptos"/>
                        <w:noProof/>
                        <w:color w:val="008000"/>
                        <w:sz w:val="20"/>
                        <w:szCs w:val="20"/>
                      </w:rPr>
                      <w:t>Informacje Jawne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27A5" w14:textId="77777777" w:rsidR="00590058" w:rsidRDefault="00590058">
      <w:pPr>
        <w:spacing w:line="240" w:lineRule="auto"/>
      </w:pPr>
      <w:r>
        <w:separator/>
      </w:r>
    </w:p>
  </w:footnote>
  <w:footnote w:type="continuationSeparator" w:id="0">
    <w:p w14:paraId="33CE00F8" w14:textId="77777777" w:rsidR="00590058" w:rsidRDefault="00590058">
      <w:pPr>
        <w:spacing w:line="240" w:lineRule="auto"/>
      </w:pPr>
      <w:r>
        <w:continuationSeparator/>
      </w:r>
    </w:p>
  </w:footnote>
  <w:footnote w:id="1">
    <w:p w14:paraId="70D60FA0" w14:textId="77777777" w:rsidR="00EA6BCF" w:rsidRDefault="00441D4F">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hyperlink r:id="rId1">
        <w:r w:rsidR="00EA6BCF">
          <w:rPr>
            <w:rFonts w:ascii="Calibri" w:eastAsia="Calibri" w:hAnsi="Calibri" w:cs="Calibri"/>
            <w:color w:val="1155CC"/>
            <w:sz w:val="20"/>
            <w:szCs w:val="20"/>
            <w:u w:val="single"/>
          </w:rPr>
          <w:t>https://ssgk.stat.gov.pl/01.2026/Przemysl.html</w:t>
        </w:r>
      </w:hyperlink>
      <w:r>
        <w:rPr>
          <w:rFonts w:ascii="Calibri" w:eastAsia="Calibri" w:hAnsi="Calibri" w:cs="Calibri"/>
          <w:sz w:val="20"/>
          <w:szCs w:val="20"/>
        </w:rPr>
        <w:t xml:space="preserve"> </w:t>
      </w:r>
    </w:p>
  </w:footnote>
  <w:footnote w:id="2">
    <w:p w14:paraId="5F225499" w14:textId="77777777" w:rsidR="00EA6BCF" w:rsidRDefault="00441D4F">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hyperlink r:id="rId2">
        <w:r w:rsidR="00EA6BCF">
          <w:rPr>
            <w:rFonts w:ascii="Calibri" w:eastAsia="Calibri" w:hAnsi="Calibri" w:cs="Calibri"/>
            <w:color w:val="1155CC"/>
            <w:sz w:val="20"/>
            <w:szCs w:val="20"/>
            <w:u w:val="single"/>
          </w:rPr>
          <w:t>https://stat.gov.pl/obszary-tematyczne/przemysl-budownictwo-srodki-trwale/przemysl/przemysl-wyniki-dzialalnosci-w-2025-r-%2C9%2C9.html</w:t>
        </w:r>
      </w:hyperlink>
      <w:r>
        <w:rPr>
          <w:rFonts w:ascii="Calibri" w:eastAsia="Calibri" w:hAnsi="Calibri" w:cs="Calibri"/>
          <w:sz w:val="20"/>
          <w:szCs w:val="20"/>
        </w:rPr>
        <w:t xml:space="preserve"> </w:t>
      </w:r>
    </w:p>
  </w:footnote>
  <w:footnote w:id="3">
    <w:p w14:paraId="43146BF1" w14:textId="77777777" w:rsidR="00EA6BCF" w:rsidRDefault="00441D4F">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hyperlink r:id="rId3">
        <w:r w:rsidR="00EA6BCF">
          <w:rPr>
            <w:rFonts w:ascii="Calibri" w:eastAsia="Calibri" w:hAnsi="Calibri" w:cs="Calibri"/>
            <w:color w:val="1155CC"/>
            <w:sz w:val="20"/>
            <w:szCs w:val="20"/>
            <w:u w:val="single"/>
          </w:rPr>
          <w:t>https://www.pmi.spglobal.com/Public/Home/PressRelease/e7747c40209143ed8275ea10e95ebfe8</w:t>
        </w:r>
      </w:hyperlink>
      <w:r>
        <w:rPr>
          <w:rFonts w:ascii="Calibri" w:eastAsia="Calibri" w:hAnsi="Calibri" w:cs="Calibri"/>
          <w:sz w:val="20"/>
          <w:szCs w:val="20"/>
        </w:rPr>
        <w:t xml:space="preserve"> </w:t>
      </w:r>
    </w:p>
  </w:footnote>
  <w:footnote w:id="4">
    <w:p w14:paraId="017DC7C8" w14:textId="519EC313" w:rsidR="00EA6BCF" w:rsidRDefault="00441D4F">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Skaner Sektora MŚP", 3Q2026, zrealizowana przez Instytut Keralla Research dla BIK i BIG </w:t>
      </w:r>
      <w:proofErr w:type="gramStart"/>
      <w:r>
        <w:rPr>
          <w:rFonts w:ascii="Calibri" w:eastAsia="Calibri" w:hAnsi="Calibri" w:cs="Calibri"/>
          <w:sz w:val="20"/>
          <w:szCs w:val="20"/>
        </w:rPr>
        <w:t>InfoMonitor  w</w:t>
      </w:r>
      <w:proofErr w:type="gramEnd"/>
      <w:r>
        <w:rPr>
          <w:rFonts w:ascii="Calibri" w:eastAsia="Calibri" w:hAnsi="Calibri" w:cs="Calibri"/>
          <w:sz w:val="20"/>
          <w:szCs w:val="20"/>
        </w:rPr>
        <w:t xml:space="preserve"> lipcu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4B80" w14:textId="77777777" w:rsidR="00EA6BCF" w:rsidRDefault="00441D4F">
    <w:r>
      <w:rPr>
        <w:noProof/>
      </w:rPr>
      <w:drawing>
        <wp:anchor distT="0" distB="0" distL="0" distR="0" simplePos="0" relativeHeight="251658240" behindDoc="0" locked="0" layoutInCell="1" hidden="0" allowOverlap="1" wp14:anchorId="4ACD0565" wp14:editId="3654DE04">
          <wp:simplePos x="0" y="0"/>
          <wp:positionH relativeFrom="column">
            <wp:posOffset>0</wp:posOffset>
          </wp:positionH>
          <wp:positionV relativeFrom="paragraph">
            <wp:posOffset>0</wp:posOffset>
          </wp:positionV>
          <wp:extent cx="2266950" cy="1197584"/>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66950" cy="119758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66996"/>
    <w:multiLevelType w:val="multilevel"/>
    <w:tmpl w:val="F6E44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9565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CF"/>
    <w:rsid w:val="00044B11"/>
    <w:rsid w:val="00050190"/>
    <w:rsid w:val="00063598"/>
    <w:rsid w:val="000868A0"/>
    <w:rsid w:val="00087A00"/>
    <w:rsid w:val="000A0919"/>
    <w:rsid w:val="000D7DBB"/>
    <w:rsid w:val="000F7BEE"/>
    <w:rsid w:val="00110A41"/>
    <w:rsid w:val="0013109C"/>
    <w:rsid w:val="00161500"/>
    <w:rsid w:val="001637C7"/>
    <w:rsid w:val="001C076C"/>
    <w:rsid w:val="001F4488"/>
    <w:rsid w:val="002161AC"/>
    <w:rsid w:val="002236F8"/>
    <w:rsid w:val="00274B09"/>
    <w:rsid w:val="002A6033"/>
    <w:rsid w:val="002D407C"/>
    <w:rsid w:val="002E4B3F"/>
    <w:rsid w:val="002E603F"/>
    <w:rsid w:val="003151EB"/>
    <w:rsid w:val="00397E71"/>
    <w:rsid w:val="003A04EA"/>
    <w:rsid w:val="003B3D41"/>
    <w:rsid w:val="003D4651"/>
    <w:rsid w:val="003E7505"/>
    <w:rsid w:val="003E7670"/>
    <w:rsid w:val="0040121E"/>
    <w:rsid w:val="00405454"/>
    <w:rsid w:val="00421F6B"/>
    <w:rsid w:val="00441D4F"/>
    <w:rsid w:val="00451232"/>
    <w:rsid w:val="0049737B"/>
    <w:rsid w:val="004F5B65"/>
    <w:rsid w:val="005315E5"/>
    <w:rsid w:val="00531F0A"/>
    <w:rsid w:val="005670D9"/>
    <w:rsid w:val="00590058"/>
    <w:rsid w:val="005A2436"/>
    <w:rsid w:val="005F36BE"/>
    <w:rsid w:val="006943B6"/>
    <w:rsid w:val="006C07A2"/>
    <w:rsid w:val="006C1BC8"/>
    <w:rsid w:val="006D384F"/>
    <w:rsid w:val="007A2B17"/>
    <w:rsid w:val="007E6DAC"/>
    <w:rsid w:val="00803FB8"/>
    <w:rsid w:val="00834028"/>
    <w:rsid w:val="00893BA6"/>
    <w:rsid w:val="008D5AFD"/>
    <w:rsid w:val="00907B85"/>
    <w:rsid w:val="0091655B"/>
    <w:rsid w:val="0095051F"/>
    <w:rsid w:val="00950836"/>
    <w:rsid w:val="00966A7F"/>
    <w:rsid w:val="009804ED"/>
    <w:rsid w:val="0099104A"/>
    <w:rsid w:val="009C7EE5"/>
    <w:rsid w:val="009D3CBE"/>
    <w:rsid w:val="009E1F81"/>
    <w:rsid w:val="00AA2040"/>
    <w:rsid w:val="00AD2409"/>
    <w:rsid w:val="00AF7A75"/>
    <w:rsid w:val="00B07667"/>
    <w:rsid w:val="00B116C5"/>
    <w:rsid w:val="00B17EE6"/>
    <w:rsid w:val="00B256BA"/>
    <w:rsid w:val="00C63FAE"/>
    <w:rsid w:val="00C87254"/>
    <w:rsid w:val="00CD2ADA"/>
    <w:rsid w:val="00CD5E35"/>
    <w:rsid w:val="00CE276B"/>
    <w:rsid w:val="00CF385F"/>
    <w:rsid w:val="00D25E86"/>
    <w:rsid w:val="00D412FD"/>
    <w:rsid w:val="00D834E7"/>
    <w:rsid w:val="00DE5CB9"/>
    <w:rsid w:val="00E00C05"/>
    <w:rsid w:val="00E4467C"/>
    <w:rsid w:val="00E632B5"/>
    <w:rsid w:val="00E97D8B"/>
    <w:rsid w:val="00EA6BCF"/>
    <w:rsid w:val="00EC5A1B"/>
    <w:rsid w:val="00F67B47"/>
    <w:rsid w:val="00FA6E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7F7B"/>
  <w15:docId w15:val="{F19D8D55-DF4D-4396-97D0-FB7F025F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Stopka">
    <w:name w:val="footer"/>
    <w:basedOn w:val="Normalny"/>
    <w:link w:val="StopkaZnak"/>
    <w:uiPriority w:val="99"/>
    <w:unhideWhenUsed/>
    <w:rsid w:val="006943B6"/>
    <w:pPr>
      <w:tabs>
        <w:tab w:val="center" w:pos="4536"/>
        <w:tab w:val="right" w:pos="9072"/>
      </w:tabs>
      <w:spacing w:line="240" w:lineRule="auto"/>
    </w:pPr>
  </w:style>
  <w:style w:type="character" w:customStyle="1" w:styleId="StopkaZnak">
    <w:name w:val="Stopka Znak"/>
    <w:basedOn w:val="Domylnaczcionkaakapitu"/>
    <w:link w:val="Stopka"/>
    <w:uiPriority w:val="99"/>
    <w:rsid w:val="006943B6"/>
  </w:style>
  <w:style w:type="paragraph" w:styleId="Poprawka">
    <w:name w:val="Revision"/>
    <w:hidden/>
    <w:uiPriority w:val="99"/>
    <w:semiHidden/>
    <w:rsid w:val="00D25E86"/>
    <w:pPr>
      <w:spacing w:line="240" w:lineRule="auto"/>
    </w:pPr>
  </w:style>
  <w:style w:type="character" w:styleId="Hipercze">
    <w:name w:val="Hyperlink"/>
    <w:basedOn w:val="Domylnaczcionkaakapitu"/>
    <w:uiPriority w:val="99"/>
    <w:semiHidden/>
    <w:unhideWhenUsed/>
    <w:rsid w:val="009804ED"/>
    <w:rPr>
      <w:color w:val="0000FF" w:themeColor="hyperlink"/>
      <w:u w:val="single"/>
    </w:rPr>
  </w:style>
  <w:style w:type="character" w:styleId="Odwoaniedokomentarza">
    <w:name w:val="annotation reference"/>
    <w:basedOn w:val="Domylnaczcionkaakapitu"/>
    <w:uiPriority w:val="99"/>
    <w:semiHidden/>
    <w:unhideWhenUsed/>
    <w:rsid w:val="003E7670"/>
    <w:rPr>
      <w:sz w:val="16"/>
      <w:szCs w:val="16"/>
    </w:rPr>
  </w:style>
  <w:style w:type="paragraph" w:styleId="Tekstkomentarza">
    <w:name w:val="annotation text"/>
    <w:basedOn w:val="Normalny"/>
    <w:link w:val="TekstkomentarzaZnak"/>
    <w:uiPriority w:val="99"/>
    <w:unhideWhenUsed/>
    <w:rsid w:val="003E7670"/>
    <w:pPr>
      <w:spacing w:line="240" w:lineRule="auto"/>
    </w:pPr>
    <w:rPr>
      <w:sz w:val="20"/>
      <w:szCs w:val="20"/>
    </w:rPr>
  </w:style>
  <w:style w:type="character" w:customStyle="1" w:styleId="TekstkomentarzaZnak">
    <w:name w:val="Tekst komentarza Znak"/>
    <w:basedOn w:val="Domylnaczcionkaakapitu"/>
    <w:link w:val="Tekstkomentarza"/>
    <w:uiPriority w:val="99"/>
    <w:rsid w:val="003E7670"/>
    <w:rPr>
      <w:sz w:val="20"/>
      <w:szCs w:val="20"/>
    </w:rPr>
  </w:style>
  <w:style w:type="paragraph" w:styleId="Tematkomentarza">
    <w:name w:val="annotation subject"/>
    <w:basedOn w:val="Tekstkomentarza"/>
    <w:next w:val="Tekstkomentarza"/>
    <w:link w:val="TematkomentarzaZnak"/>
    <w:uiPriority w:val="99"/>
    <w:semiHidden/>
    <w:unhideWhenUsed/>
    <w:rsid w:val="003E7670"/>
    <w:rPr>
      <w:b/>
      <w:bCs/>
    </w:rPr>
  </w:style>
  <w:style w:type="character" w:customStyle="1" w:styleId="TematkomentarzaZnak">
    <w:name w:val="Temat komentarza Znak"/>
    <w:basedOn w:val="TekstkomentarzaZnak"/>
    <w:link w:val="Tematkomentarza"/>
    <w:uiPriority w:val="99"/>
    <w:semiHidden/>
    <w:rsid w:val="003E76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ig.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pmi.spglobal.com/Public/Home/PressRelease/e7747c40209143ed8275ea10e95ebfe8" TargetMode="External"/><Relationship Id="rId2" Type="http://schemas.openxmlformats.org/officeDocument/2006/relationships/hyperlink" Target="https://stat.gov.pl/obszary-tematyczne/przemysl-budownictwo-srodki-trwale/przemysl/przemysl-wyniki-dzialalnosci-w-2025-r-%2C9%2C9.html" TargetMode="External"/><Relationship Id="rId1" Type="http://schemas.openxmlformats.org/officeDocument/2006/relationships/hyperlink" Target="https://ssgk.stat.gov.pl/01.2026/Przemys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1695</Words>
  <Characters>10173</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Bielińska Małgorzata</dc:creator>
  <cp:lastModifiedBy>Adrianna Smug</cp:lastModifiedBy>
  <cp:revision>14</cp:revision>
  <dcterms:created xsi:type="dcterms:W3CDTF">2026-09-22T10:46:00Z</dcterms:created>
  <dcterms:modified xsi:type="dcterms:W3CDTF">2026-09-23T12:28:00Z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607807fe,590fa39d,6ac443c0</vt:lpwstr>
  </property>
  <property fmtid="{D5CDD505-2E9C-101B-9397-08002B2CF9AE}" pid="3" name="ClassificationContentMarkingFooterFontProps">
    <vt:lpwstr>#008000,10,Aptos</vt:lpwstr>
  </property>
  <property fmtid="{D5CDD505-2E9C-101B-9397-08002B2CF9AE}" pid="4" name="ClassificationContentMarkingFooterText">
    <vt:lpwstr>Informacje Jawne</vt:lpwstr>
  </property>
  <property fmtid="{D5CDD505-2E9C-101B-9397-08002B2CF9AE}" pid="5" name="MSIP_Label_1391a466-f120-4668-a5e5-7af4d8a99d82_Enabled">
    <vt:lpwstr>true</vt:lpwstr>
  </property>
  <property fmtid="{D5CDD505-2E9C-101B-9397-08002B2CF9AE}" pid="6" name="MSIP_Label_1391a466-f120-4668-a5e5-7af4d8a99d82_SetDate">
    <vt:lpwstr>2026-09-17T10:52:36Z</vt:lpwstr>
  </property>
  <property fmtid="{D5CDD505-2E9C-101B-9397-08002B2CF9AE}" pid="7" name="MSIP_Label_1391a466-f120-4668-a5e5-7af4d8a99d82_Method">
    <vt:lpwstr>Privileged</vt:lpwstr>
  </property>
  <property fmtid="{D5CDD505-2E9C-101B-9397-08002B2CF9AE}" pid="8" name="MSIP_Label_1391a466-f120-4668-a5e5-7af4d8a99d82_Name">
    <vt:lpwstr>Grupa BIK-Jawne</vt:lpwstr>
  </property>
  <property fmtid="{D5CDD505-2E9C-101B-9397-08002B2CF9AE}" pid="9" name="MSIP_Label_1391a466-f120-4668-a5e5-7af4d8a99d82_SiteId">
    <vt:lpwstr>f2871815-01ea-45c0-a64b-82e189df602c</vt:lpwstr>
  </property>
  <property fmtid="{D5CDD505-2E9C-101B-9397-08002B2CF9AE}" pid="10" name="MSIP_Label_1391a466-f120-4668-a5e5-7af4d8a99d82_ActionId">
    <vt:lpwstr>bcde0f3d-7706-46be-bae7-87d90a5b03ab</vt:lpwstr>
  </property>
  <property fmtid="{D5CDD505-2E9C-101B-9397-08002B2CF9AE}" pid="11" name="MSIP_Label_1391a466-f120-4668-a5e5-7af4d8a99d82_ContentBits">
    <vt:lpwstr>2</vt:lpwstr>
  </property>
  <property fmtid="{D5CDD505-2E9C-101B-9397-08002B2CF9AE}" pid="12" name="MSIP_Label_1391a466-f120-4668-a5e5-7af4d8a99d82_Tag">
    <vt:lpwstr>10, 0, 1, 1</vt:lpwstr>
  </property>
</Properties>
</file>