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F2B96" w14:textId="77777777" w:rsidR="003622F2" w:rsidRPr="00FB3BAB" w:rsidRDefault="003622F2" w:rsidP="003622F2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bookmarkStart w:id="0" w:name="_Hlk82005360"/>
      <w:bookmarkStart w:id="1" w:name="_Hlk98792970"/>
      <w:r w:rsidRPr="00FB3BAB">
        <w:rPr>
          <w:rFonts w:ascii="Arial" w:hAnsi="Arial" w:cs="Arial"/>
          <w:b/>
          <w:bCs/>
          <w:sz w:val="24"/>
          <w:szCs w:val="24"/>
          <w:lang w:val="en-US"/>
        </w:rPr>
        <w:t>Cushman &amp; Wakefield wspiera polski debiut Dave’s Hot Chicken</w:t>
      </w:r>
    </w:p>
    <w:p w14:paraId="32801F86" w14:textId="19A69D19" w:rsidR="003622F2" w:rsidRPr="003622F2" w:rsidRDefault="003622F2" w:rsidP="003622F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Amerykańska marka fast casual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przygotowuje wejście do Polski, a międzynarodowa firma doradcza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Cushman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&amp; Wakefield wspiera firmę w poszukiwaniu lokalizacji na polskim rynku.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Azzurri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Group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, operator odpowiedzialny za rozwój marki w Europie, zakłada otwarcie około 25 restauracji w ramach początkowego planu rozwoju. </w:t>
      </w:r>
    </w:p>
    <w:p w14:paraId="4EBFBC56" w14:textId="77777777" w:rsidR="003622F2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Azzurri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Group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posiada prawa do rozwoju marki w dziesięciu krajach europejskich i planuje uruchomić co najmniej 180 restauracji na kontynencie. Punktem wyjścia był debiut w Wielkiej Brytanii: pierwszy lokal, otwarty w grudniu 2024 r. przy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Shaftesbury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Avenue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w Londynie, w pobliżu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Piccadilly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Circus. Polska ma być pierwszym rynkiem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w Europie Środkowo-Wschodniej.</w:t>
      </w:r>
    </w:p>
    <w:p w14:paraId="2D7963D1" w14:textId="39F6DE6D" w:rsidR="003622F2" w:rsidRPr="003622F2" w:rsidRDefault="003622F2" w:rsidP="003622F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3622F2">
        <w:rPr>
          <w:rFonts w:ascii="Arial" w:hAnsi="Arial" w:cs="Arial"/>
          <w:sz w:val="20"/>
          <w:szCs w:val="20"/>
          <w:lang w:val="pl-PL"/>
        </w:rPr>
        <w:t xml:space="preserve"> – </w:t>
      </w:r>
      <w:r w:rsidRPr="003622F2">
        <w:rPr>
          <w:rFonts w:ascii="Arial" w:hAnsi="Arial" w:cs="Arial"/>
          <w:i/>
          <w:iCs/>
          <w:sz w:val="20"/>
          <w:szCs w:val="20"/>
          <w:lang w:val="pl-PL"/>
        </w:rPr>
        <w:t>Polska jest obecnie jednym z najciekawszych rynków gastronomicznych w Europie: rośnie szybko, ma młodą bazę konsumentów miejskich i pozostaje otwarta na nowe koncepty. Dania z kurczaka są już silną kategorią, ale widzimy wyraźne miejsce dla marki, która łączy jakość produktu z atmosferą, charakterystycznym designem i doświadczeniem, którym goście chcą dzielić się w mediach społecznościowych. Polska będzie dla nas kolejnym ważnym krokiem i pierwszym wejściem do Europy Środkowo-Wschodniej</w:t>
      </w:r>
      <w:r w:rsidRPr="003622F2">
        <w:rPr>
          <w:rFonts w:ascii="Arial" w:hAnsi="Arial" w:cs="Arial"/>
          <w:sz w:val="20"/>
          <w:szCs w:val="20"/>
          <w:lang w:val="pl-PL"/>
        </w:rPr>
        <w:t xml:space="preserve"> – mówi </w:t>
      </w:r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Lea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Ghanem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,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European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Business Development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Director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w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Azzurri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Group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.</w:t>
      </w:r>
    </w:p>
    <w:p w14:paraId="7587C48B" w14:textId="77777777" w:rsidR="003622F2" w:rsidRPr="003622F2" w:rsidRDefault="003622F2" w:rsidP="003622F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3622F2">
        <w:rPr>
          <w:rFonts w:ascii="Arial" w:hAnsi="Arial" w:cs="Arial"/>
          <w:b/>
          <w:bCs/>
          <w:sz w:val="20"/>
          <w:szCs w:val="20"/>
          <w:lang w:val="pl-PL"/>
        </w:rPr>
        <w:t>C&amp;W buduje portfel lokalizacji</w:t>
      </w:r>
    </w:p>
    <w:p w14:paraId="07F95605" w14:textId="77777777" w:rsidR="0002224C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622F2">
        <w:rPr>
          <w:rFonts w:ascii="Arial" w:hAnsi="Arial" w:cs="Arial"/>
          <w:sz w:val="20"/>
          <w:szCs w:val="20"/>
          <w:lang w:val="pl-PL"/>
        </w:rPr>
        <w:t xml:space="preserve">Zespół reprezentacji najemcy w Retail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Agency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Cushman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&amp; Wakefield wspiera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i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Azzurri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Group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w debiucie w Polsce. </w:t>
      </w:r>
    </w:p>
    <w:p w14:paraId="3C86DD92" w14:textId="620F81F4" w:rsidR="003622F2" w:rsidRPr="003622F2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622F2">
        <w:rPr>
          <w:rFonts w:ascii="Arial" w:hAnsi="Arial" w:cs="Arial"/>
          <w:sz w:val="20"/>
          <w:szCs w:val="20"/>
          <w:lang w:val="pl-PL"/>
        </w:rPr>
        <w:t xml:space="preserve">– </w:t>
      </w:r>
      <w:r w:rsidRPr="003622F2">
        <w:rPr>
          <w:rFonts w:ascii="Arial" w:hAnsi="Arial" w:cs="Arial"/>
          <w:i/>
          <w:iCs/>
          <w:sz w:val="20"/>
          <w:szCs w:val="20"/>
          <w:lang w:val="pl-PL"/>
        </w:rPr>
        <w:t xml:space="preserve">Widzimy duży potencjał dla międzynarodowych konceptów gastronomicznych, które łączą wyrazisty produkt i doświadczenie w biznesie. </w:t>
      </w:r>
      <w:proofErr w:type="spellStart"/>
      <w:r w:rsidRPr="003622F2">
        <w:rPr>
          <w:rFonts w:ascii="Arial" w:hAnsi="Arial" w:cs="Arial"/>
          <w:i/>
          <w:iCs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i/>
          <w:iCs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i/>
          <w:iCs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i/>
          <w:iCs/>
          <w:sz w:val="20"/>
          <w:szCs w:val="20"/>
          <w:lang w:val="pl-PL"/>
        </w:rPr>
        <w:t xml:space="preserve"> może szczególnie dobrze odpowiedzieć na oczekiwania młodych, miejskich konsumentów, a plan rozwoju około 25 restauracji potwierdza długoterminowe podejście do polskiego rynku. W poszukiwaniu lokali będziemy analizować natężenie ruchu, widoczność, dostępność, szerszy kontekst lokalizacji oraz profil grupy docelowej. Naszym celem jest zbudowanie portfela lokalizacji, który umożliwi marce konsekwentny rozwój zgodnie z jej strategią </w:t>
      </w:r>
      <w:r w:rsidRPr="003622F2">
        <w:rPr>
          <w:rFonts w:ascii="Arial" w:hAnsi="Arial" w:cs="Arial"/>
          <w:sz w:val="20"/>
          <w:szCs w:val="20"/>
          <w:lang w:val="pl-PL"/>
        </w:rPr>
        <w:t xml:space="preserve">– mówi </w:t>
      </w:r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Anna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Valcea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,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Tenant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Representation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Manager,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Associate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, Retail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Department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,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Cushman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&amp; Wakefield.</w:t>
      </w:r>
    </w:p>
    <w:p w14:paraId="1CEEEDB4" w14:textId="77777777" w:rsidR="003622F2" w:rsidRPr="003622F2" w:rsidRDefault="003622F2" w:rsidP="003622F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3622F2">
        <w:rPr>
          <w:rFonts w:ascii="Arial" w:hAnsi="Arial" w:cs="Arial"/>
          <w:b/>
          <w:bCs/>
          <w:sz w:val="20"/>
          <w:szCs w:val="20"/>
          <w:lang w:val="pl-PL"/>
        </w:rPr>
        <w:t>Plan obejmuje około 25 restauracji</w:t>
      </w:r>
    </w:p>
    <w:p w14:paraId="0EB60F4C" w14:textId="77777777" w:rsidR="0002224C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Azzurri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Group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zamierza wejść do Polski w modelu joint venture, który ma połączyć doświadczenie operatora w rozwijaniu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w Europie ze znajomością lokalnego rynku i potrzeb lokalnych klientów. </w:t>
      </w:r>
    </w:p>
    <w:p w14:paraId="1521C6B2" w14:textId="6D1D0E2F" w:rsidR="003622F2" w:rsidRPr="003622F2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622F2">
        <w:rPr>
          <w:rFonts w:ascii="Arial" w:hAnsi="Arial" w:cs="Arial"/>
          <w:sz w:val="20"/>
          <w:szCs w:val="20"/>
          <w:lang w:val="pl-PL"/>
        </w:rPr>
        <w:t xml:space="preserve">– </w:t>
      </w:r>
      <w:r w:rsidRPr="003622F2">
        <w:rPr>
          <w:rFonts w:ascii="Arial" w:hAnsi="Arial" w:cs="Arial"/>
          <w:i/>
          <w:iCs/>
          <w:sz w:val="20"/>
          <w:szCs w:val="20"/>
          <w:lang w:val="pl-PL"/>
        </w:rPr>
        <w:t xml:space="preserve">Naszą ambicją jest zbudowanie </w:t>
      </w:r>
      <w:proofErr w:type="spellStart"/>
      <w:r w:rsidRPr="003622F2">
        <w:rPr>
          <w:rFonts w:ascii="Arial" w:hAnsi="Arial" w:cs="Arial"/>
          <w:i/>
          <w:iCs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i/>
          <w:iCs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i/>
          <w:iCs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i/>
          <w:iCs/>
          <w:sz w:val="20"/>
          <w:szCs w:val="20"/>
          <w:lang w:val="pl-PL"/>
        </w:rPr>
        <w:t xml:space="preserve"> jako jednej z wiodących marek fast casual w Polsce. Zaczniemy od zdyscyplinowanego rozwoju około 25 restauracji, wykorzystując podejście test and </w:t>
      </w:r>
      <w:proofErr w:type="spellStart"/>
      <w:r w:rsidRPr="003622F2">
        <w:rPr>
          <w:rFonts w:ascii="Arial" w:hAnsi="Arial" w:cs="Arial"/>
          <w:i/>
          <w:iCs/>
          <w:sz w:val="20"/>
          <w:szCs w:val="20"/>
          <w:lang w:val="pl-PL"/>
        </w:rPr>
        <w:t>learn</w:t>
      </w:r>
      <w:proofErr w:type="spellEnd"/>
      <w:r w:rsidRPr="003622F2">
        <w:rPr>
          <w:rFonts w:ascii="Arial" w:hAnsi="Arial" w:cs="Arial"/>
          <w:i/>
          <w:iCs/>
          <w:sz w:val="20"/>
          <w:szCs w:val="20"/>
          <w:lang w:val="pl-PL"/>
        </w:rPr>
        <w:t>, a następnie będziemy gotowi do dalszego skalowania biznesu. Szukamy partnera, który podziela naszą długoterminową wizję i będzie w pełni zaangażowany w wprowadzenie tego wyrazistego konceptu na polski rynek</w:t>
      </w:r>
      <w:r w:rsidRPr="003622F2">
        <w:rPr>
          <w:rFonts w:ascii="Arial" w:hAnsi="Arial" w:cs="Arial"/>
          <w:sz w:val="20"/>
          <w:szCs w:val="20"/>
          <w:lang w:val="pl-PL"/>
        </w:rPr>
        <w:t xml:space="preserve"> – dodaje </w:t>
      </w:r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Lea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Ghanem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>.</w:t>
      </w:r>
    </w:p>
    <w:p w14:paraId="10165AFB" w14:textId="24F70CF6" w:rsidR="003622F2" w:rsidRPr="003622F2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622F2">
        <w:rPr>
          <w:rFonts w:ascii="Arial" w:hAnsi="Arial" w:cs="Arial"/>
          <w:sz w:val="20"/>
          <w:szCs w:val="20"/>
          <w:lang w:val="pl-PL"/>
        </w:rPr>
        <w:t xml:space="preserve">Menu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opiera się na daniach z kurczaka podanych w stylu Nashville </w:t>
      </w:r>
      <w:r w:rsidRPr="00FB3BAB">
        <w:rPr>
          <w:rFonts w:ascii="Arial" w:hAnsi="Arial" w:cs="Arial"/>
          <w:sz w:val="20"/>
          <w:szCs w:val="20"/>
          <w:lang w:val="pl-PL"/>
        </w:rPr>
        <w:t>(Nashville Hot Chicken)</w:t>
      </w:r>
      <w:r w:rsidRPr="003622F2">
        <w:rPr>
          <w:rFonts w:ascii="Arial" w:hAnsi="Arial" w:cs="Arial"/>
          <w:sz w:val="20"/>
          <w:szCs w:val="20"/>
          <w:lang w:val="pl-PL"/>
        </w:rPr>
        <w:t xml:space="preserve"> i przygotowywanych na zamówienie. Restauracje wyróżniają wnętrza inspirowane Los Angeles, street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artem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i </w:t>
      </w:r>
      <w:r w:rsidRPr="003622F2">
        <w:rPr>
          <w:rFonts w:ascii="Arial" w:hAnsi="Arial" w:cs="Arial"/>
          <w:sz w:val="20"/>
          <w:szCs w:val="20"/>
          <w:lang w:val="pl-PL"/>
        </w:rPr>
        <w:lastRenderedPageBreak/>
        <w:t xml:space="preserve">muzyką.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Azzurri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Group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zakłada zachowanie głównych elementów konceptu w Polsce. Lokalna adaptacja ma koncentrować się przede wszystkim na komunikacji jakości produktu, objaśnieniu skali ostrości i ułatwieniu klientom pierwszego kontaktu z marką.</w:t>
      </w:r>
    </w:p>
    <w:p w14:paraId="44ACFB2B" w14:textId="77777777" w:rsidR="003622F2" w:rsidRPr="003622F2" w:rsidRDefault="003622F2" w:rsidP="003622F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3622F2">
        <w:rPr>
          <w:rFonts w:ascii="Arial" w:hAnsi="Arial" w:cs="Arial"/>
          <w:b/>
          <w:bCs/>
          <w:sz w:val="20"/>
          <w:szCs w:val="20"/>
          <w:lang w:val="pl-PL"/>
        </w:rPr>
        <w:t>Od 900 dolarów do sieci ponad 400 lokali</w:t>
      </w:r>
    </w:p>
    <w:p w14:paraId="3B2C6C00" w14:textId="77777777" w:rsidR="003622F2" w:rsidRPr="003622F2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powstał w 2017 r., gdy czterech przyjaciół uruchomiło pop-up na parkingu w East Hollywood. Dysponowali budżetem 900 dolarów, składanymi stołami i przenośną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frytownicą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. Zainteresowanie lokalnych klientów szybko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zbudowałya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rozpoznawalność konceptu. W 2019 r. założyciele nawiązali współpracę z Billem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Phelpsem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, współzałożycielem i byłym CEO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Wetzel’s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Pretzels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, aby rozwinąć model franczyzowy. W jej wyniku marka sprzedała prawa do ponad 1 000 lokali franczyzowych w Stanach Zjednoczonych, Kanadzie, na Bliskim Wschodzie i w Europie, a ponad 400 restauracji już działa. </w:t>
      </w:r>
    </w:p>
    <w:p w14:paraId="32380B80" w14:textId="77777777" w:rsidR="003622F2" w:rsidRPr="003622F2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3622F2">
        <w:rPr>
          <w:rFonts w:ascii="Arial" w:hAnsi="Arial" w:cs="Arial"/>
          <w:sz w:val="20"/>
          <w:szCs w:val="20"/>
          <w:lang w:val="pl-PL"/>
        </w:rPr>
        <w:t xml:space="preserve">W 2025 r.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został przejęty przez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Roark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Capital w transakcji wycenianej na 1 mld dolarów. Wśród inwestorów związanych z marką znaleźli się także Drake,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Usher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i Samuel L. Jackson.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zgromadził ponad 7 mln obserwujących w mediach społecznościowych.</w:t>
      </w:r>
    </w:p>
    <w:p w14:paraId="2B1DFCA0" w14:textId="77777777" w:rsidR="003622F2" w:rsidRPr="003622F2" w:rsidRDefault="003622F2" w:rsidP="003622F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387158C6" w14:textId="77777777" w:rsidR="003622F2" w:rsidRPr="003622F2" w:rsidRDefault="003622F2" w:rsidP="003622F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 w:rsidRPr="003622F2">
        <w:rPr>
          <w:rFonts w:ascii="Arial" w:hAnsi="Arial" w:cs="Arial"/>
          <w:b/>
          <w:bCs/>
          <w:sz w:val="20"/>
          <w:szCs w:val="20"/>
          <w:lang w:val="pl-PL"/>
        </w:rPr>
        <w:t>Informacje o firmach</w:t>
      </w:r>
    </w:p>
    <w:p w14:paraId="6F6764D1" w14:textId="77777777" w:rsidR="003622F2" w:rsidRPr="003622F2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to amerykańska marka fast casual specjalizująca się w kurczaku w stylu Nashville. Powstała w 2017 r. w East Hollywood i rozwinęła się do ponad 400 restauracji. Koncept łączy krótkie menu przygotowywane na zamówienie z siedmioma poziomami ostrości oraz wnętrzami inspirowanymi kulturą uliczną Los Angeles.</w:t>
      </w:r>
    </w:p>
    <w:p w14:paraId="6C938B4D" w14:textId="77777777" w:rsidR="003622F2" w:rsidRPr="003622F2" w:rsidRDefault="003622F2" w:rsidP="003622F2">
      <w:pPr>
        <w:spacing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Azzurri</w:t>
      </w:r>
      <w:proofErr w:type="spellEnd"/>
      <w:r w:rsidRPr="003622F2">
        <w:rPr>
          <w:rFonts w:ascii="Arial" w:hAnsi="Arial" w:cs="Arial"/>
          <w:b/>
          <w:bCs/>
          <w:sz w:val="20"/>
          <w:szCs w:val="20"/>
          <w:lang w:val="pl-PL"/>
        </w:rPr>
        <w:t xml:space="preserve"> </w:t>
      </w:r>
      <w:proofErr w:type="spellStart"/>
      <w:r w:rsidRPr="003622F2">
        <w:rPr>
          <w:rFonts w:ascii="Arial" w:hAnsi="Arial" w:cs="Arial"/>
          <w:b/>
          <w:bCs/>
          <w:sz w:val="20"/>
          <w:szCs w:val="20"/>
          <w:lang w:val="pl-PL"/>
        </w:rPr>
        <w:t>Group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jest jedną z największych brytyjskich platform gastronomicznych. Zarządza markami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Zizzi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, ASK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Italian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, Coco di Mama,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Boojum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i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Dave’s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 xml:space="preserve"> Hot </w:t>
      </w:r>
      <w:proofErr w:type="spellStart"/>
      <w:r w:rsidRPr="003622F2">
        <w:rPr>
          <w:rFonts w:ascii="Arial" w:hAnsi="Arial" w:cs="Arial"/>
          <w:sz w:val="20"/>
          <w:szCs w:val="20"/>
          <w:lang w:val="pl-PL"/>
        </w:rPr>
        <w:t>Chicken</w:t>
      </w:r>
      <w:proofErr w:type="spellEnd"/>
      <w:r w:rsidRPr="003622F2">
        <w:rPr>
          <w:rFonts w:ascii="Arial" w:hAnsi="Arial" w:cs="Arial"/>
          <w:sz w:val="20"/>
          <w:szCs w:val="20"/>
          <w:lang w:val="pl-PL"/>
        </w:rPr>
        <w:t>. Grupa zatrudnia blisko 6 000 osób, prowadzi ponad 240 restauracji i punktów oraz wydaje ponad 15 mln posiłków rocznie.</w:t>
      </w:r>
    </w:p>
    <w:p w14:paraId="112395CA" w14:textId="77777777" w:rsidR="000108EB" w:rsidRPr="003622F2" w:rsidRDefault="000108EB" w:rsidP="000108EB">
      <w:pPr>
        <w:tabs>
          <w:tab w:val="left" w:pos="5630"/>
        </w:tabs>
        <w:spacing w:after="0"/>
        <w:jc w:val="both"/>
        <w:rPr>
          <w:rFonts w:ascii="Arial" w:hAnsi="Arial" w:cs="Arial"/>
          <w:bCs/>
          <w:sz w:val="20"/>
          <w:szCs w:val="20"/>
          <w:lang w:val="pl-PL"/>
        </w:rPr>
      </w:pPr>
    </w:p>
    <w:p w14:paraId="020F55D3" w14:textId="168358CE" w:rsidR="006B6114" w:rsidRPr="003622F2" w:rsidRDefault="00573968" w:rsidP="00573968">
      <w:pPr>
        <w:tabs>
          <w:tab w:val="left" w:pos="5630"/>
        </w:tabs>
        <w:rPr>
          <w:rFonts w:ascii="Arial" w:hAnsi="Arial" w:cs="Arial"/>
          <w:bCs/>
          <w:sz w:val="20"/>
          <w:szCs w:val="20"/>
          <w:lang w:val="pl-PL"/>
        </w:rPr>
      </w:pPr>
      <w:r w:rsidRPr="003622F2">
        <w:rPr>
          <w:rFonts w:ascii="Arial" w:hAnsi="Arial" w:cs="Arial"/>
          <w:bCs/>
          <w:sz w:val="20"/>
          <w:szCs w:val="20"/>
          <w:lang w:val="pl-PL"/>
        </w:rPr>
        <w:t xml:space="preserve"> </w:t>
      </w:r>
    </w:p>
    <w:bookmarkEnd w:id="0"/>
    <w:bookmarkEnd w:id="1"/>
    <w:p w14:paraId="258EF7D2" w14:textId="383354BB" w:rsidR="008942DD" w:rsidRPr="003622F2" w:rsidRDefault="008942DD" w:rsidP="008942DD">
      <w:pPr>
        <w:spacing w:after="0"/>
        <w:jc w:val="center"/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</w:pPr>
      <w:r w:rsidRPr="003622F2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-</w:t>
      </w:r>
      <w:r w:rsidR="00CF540F" w:rsidRPr="003622F2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KONIEC</w:t>
      </w:r>
      <w:r w:rsidRPr="003622F2">
        <w:rPr>
          <w:rFonts w:ascii="Arial" w:eastAsia="Microsoft JhengHei" w:hAnsi="Arial" w:cs="Arial"/>
          <w:b/>
          <w:color w:val="4E5050"/>
          <w:sz w:val="18"/>
          <w:szCs w:val="18"/>
          <w:lang w:val="pl-PL"/>
        </w:rPr>
        <w:t>-</w:t>
      </w:r>
    </w:p>
    <w:p w14:paraId="0F57C59E" w14:textId="3815DB24" w:rsidR="0065599F" w:rsidRPr="003622F2" w:rsidRDefault="00CF540F" w:rsidP="0065599F">
      <w:pPr>
        <w:pStyle w:val="NormalnyWeb"/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</w:pPr>
      <w:r w:rsidRPr="003622F2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>O</w:t>
      </w:r>
      <w:r w:rsidR="0065599F" w:rsidRPr="003622F2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="0065599F" w:rsidRPr="003622F2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="0065599F" w:rsidRPr="003622F2">
        <w:rPr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&amp; Wakefield</w:t>
      </w:r>
    </w:p>
    <w:p w14:paraId="4AB07F79" w14:textId="3681A03C" w:rsidR="00753BBA" w:rsidRPr="00FB3BAB" w:rsidRDefault="00A31E54" w:rsidP="00FB3BAB">
      <w:pPr>
        <w:pStyle w:val="NormalnyWeb"/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</w:pPr>
      <w:proofErr w:type="spellStart"/>
      <w:r w:rsidRPr="003622F2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Pr="003622F2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&amp; Wakefield (NYSE: CWK) jest wiodącą na świecie firmą świadczącą usługi na rzecz właścicieli i najemców nieruchomości komercyjnych. Zatrudnia ok. 52 tys. pracowników w niemal 400 biurach i 60 krajach na całym świecie. W 2024 roku jej przychody wyniosły 9,4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 </w:t>
      </w:r>
      <w:proofErr w:type="spellStart"/>
      <w:r w:rsidRPr="003622F2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>Better</w:t>
      </w:r>
      <w:proofErr w:type="spellEnd"/>
      <w:r w:rsidRPr="003622F2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3622F2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>never</w:t>
      </w:r>
      <w:proofErr w:type="spellEnd"/>
      <w:r w:rsidRPr="003622F2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3622F2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>settles</w:t>
      </w:r>
      <w:proofErr w:type="spellEnd"/>
      <w:r w:rsidRPr="003622F2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 </w:t>
      </w:r>
      <w:proofErr w:type="spellStart"/>
      <w:r w:rsidRPr="003622F2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Pr="003622F2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&amp; Wakefield otrzymuje wiele wyróżnień oraz nagród w konkursach branżowych i biznesowych. Dodatkowe informacje na stronie </w:t>
      </w:r>
      <w:hyperlink r:id="rId8" w:history="1">
        <w:r w:rsidR="0065599F" w:rsidRPr="003622F2">
          <w:rPr>
            <w:rStyle w:val="Hipercze"/>
            <w:rFonts w:ascii="Arial" w:hAnsi="Arial" w:cs="Arial"/>
            <w:sz w:val="18"/>
            <w:szCs w:val="18"/>
            <w:bdr w:val="none" w:sz="0" w:space="0" w:color="auto" w:frame="1"/>
            <w:shd w:val="clear" w:color="auto" w:fill="FFFFFF"/>
            <w:lang w:val="pl-PL"/>
          </w:rPr>
          <w:t>www.cushmanwakefield.com</w:t>
        </w:r>
      </w:hyperlink>
      <w:r w:rsidR="0065599F" w:rsidRPr="003622F2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</w:p>
    <w:sectPr w:rsidR="00753BBA" w:rsidRPr="00FB3BAB" w:rsidSect="009E1244"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3600" w:right="1008" w:bottom="2880" w:left="1224" w:header="1800" w:footer="2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38AE3" w14:textId="77777777" w:rsidR="005A47AF" w:rsidRDefault="005A47AF" w:rsidP="001E5EDD">
      <w:pPr>
        <w:spacing w:after="0" w:line="240" w:lineRule="auto"/>
      </w:pPr>
      <w:r>
        <w:separator/>
      </w:r>
    </w:p>
  </w:endnote>
  <w:endnote w:type="continuationSeparator" w:id="0">
    <w:p w14:paraId="6A6A7148" w14:textId="77777777" w:rsidR="005A47AF" w:rsidRDefault="005A47AF" w:rsidP="001E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00" w:type="dxa"/>
      <w:tblLayout w:type="fixed"/>
      <w:tblLook w:val="0400" w:firstRow="0" w:lastRow="0" w:firstColumn="0" w:lastColumn="0" w:noHBand="0" w:noVBand="1"/>
    </w:tblPr>
    <w:tblGrid>
      <w:gridCol w:w="9000"/>
    </w:tblGrid>
    <w:tr w:rsidR="00802515" w:rsidRPr="00394677" w14:paraId="338483EC" w14:textId="77777777" w:rsidTr="00940992">
      <w:trPr>
        <w:trHeight w:val="1260"/>
      </w:trPr>
      <w:tc>
        <w:tcPr>
          <w:tcW w:w="9000" w:type="dxa"/>
          <w:tcBorders>
            <w:top w:val="single" w:sz="4" w:space="0" w:color="FFFFFF" w:themeColor="background1"/>
          </w:tcBorders>
        </w:tcPr>
        <w:p w14:paraId="2B4DE995" w14:textId="77777777" w:rsidR="00802515" w:rsidRPr="00394677" w:rsidRDefault="00802515" w:rsidP="0080251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</w:rPr>
          </w:pPr>
        </w:p>
        <w:tbl>
          <w:tblPr>
            <w:tblW w:w="8780" w:type="dxa"/>
            <w:tblLayout w:type="fixed"/>
            <w:tblLook w:val="04A0" w:firstRow="1" w:lastRow="0" w:firstColumn="1" w:lastColumn="0" w:noHBand="0" w:noVBand="1"/>
          </w:tblPr>
          <w:tblGrid>
            <w:gridCol w:w="8544"/>
            <w:gridCol w:w="236"/>
          </w:tblGrid>
          <w:tr w:rsidR="00802515" w:rsidRPr="00802515" w14:paraId="096A0421" w14:textId="77777777" w:rsidTr="00940992">
            <w:trPr>
              <w:trHeight w:val="1164"/>
            </w:trPr>
            <w:tc>
              <w:tcPr>
                <w:tcW w:w="8560" w:type="dxa"/>
              </w:tcPr>
              <w:p w14:paraId="6706C914" w14:textId="77777777" w:rsidR="00802515" w:rsidRPr="00802515" w:rsidRDefault="00802515" w:rsidP="0080251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</w:p>
              <w:tbl>
                <w:tblPr>
                  <w:tblW w:w="11827" w:type="dxa"/>
                  <w:tblLayout w:type="fixed"/>
                  <w:tblLook w:val="0400" w:firstRow="0" w:lastRow="0" w:firstColumn="0" w:lastColumn="0" w:noHBand="0" w:noVBand="1"/>
                </w:tblPr>
                <w:tblGrid>
                  <w:gridCol w:w="4004"/>
                  <w:gridCol w:w="710"/>
                  <w:gridCol w:w="7113"/>
                </w:tblGrid>
                <w:tr w:rsidR="00802515" w:rsidRPr="00802515" w14:paraId="6F070478" w14:textId="77777777" w:rsidTr="00940992">
                  <w:trPr>
                    <w:trHeight w:val="738"/>
                  </w:trPr>
                  <w:tc>
                    <w:tcPr>
                      <w:tcW w:w="1693" w:type="pct"/>
                    </w:tcPr>
                    <w:p w14:paraId="041A4B5E" w14:textId="4274C0C7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Karolina Samczyńska-</w:t>
                      </w:r>
                      <w:proofErr w:type="spellStart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Fiślak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Cushman &amp; Wakefield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Tel: + 48 22 820 20 20; 691 060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 </w:t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202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br/>
                      </w:r>
                      <w:proofErr w:type="spellStart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hyperlink r:id="rId1" w:history="1">
                        <w:r w:rsidRPr="00802515">
                          <w:rPr>
                            <w:rStyle w:val="Hipercze"/>
                            <w:rFonts w:ascii="Arial" w:hAnsi="Arial" w:cs="Arial"/>
                            <w:sz w:val="18"/>
                            <w:szCs w:val="18"/>
                            <w:lang w:val="de-DE"/>
                          </w:rPr>
                          <w:t>karolina.samczynska@cushwake.com</w:t>
                        </w:r>
                      </w:hyperlink>
                      <w:r w:rsidRPr="00802515">
                        <w:rPr>
                          <w:rFonts w:ascii="Arial" w:hAnsi="Arial" w:cs="Arial"/>
                          <w:color w:val="008B98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</w:p>
                  </w:tc>
                  <w:tc>
                    <w:tcPr>
                      <w:tcW w:w="300" w:type="pct"/>
                    </w:tcPr>
                    <w:p w14:paraId="7FCA021A" w14:textId="77777777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</w:pPr>
                    </w:p>
                  </w:tc>
                  <w:tc>
                    <w:tcPr>
                      <w:tcW w:w="3007" w:type="pct"/>
                    </w:tcPr>
                    <w:p w14:paraId="4F5AF21C" w14:textId="6F528CB9" w:rsidR="00802515" w:rsidRPr="00802515" w:rsidRDefault="00802515" w:rsidP="00802515">
                      <w:pPr>
                        <w:spacing w:line="240" w:lineRule="auto"/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</w:pP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 xml:space="preserve">Magdalena Znyk-Ossowska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Linkleaders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Tel: + 48 502 556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 </w:t>
                      </w:r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846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br/>
                      </w:r>
                      <w:proofErr w:type="spellStart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>e-mail</w:t>
                      </w:r>
                      <w:proofErr w:type="spellEnd"/>
                      <w:r w:rsidRPr="00802515">
                        <w:rPr>
                          <w:rFonts w:ascii="Arial" w:hAnsi="Arial" w:cs="Arial"/>
                          <w:sz w:val="18"/>
                          <w:szCs w:val="18"/>
                          <w:lang w:val="de-DE"/>
                        </w:rPr>
                        <w:t xml:space="preserve">: </w:t>
                      </w:r>
                      <w:hyperlink r:id="rId2" w:history="1">
                        <w:r w:rsidRPr="00802515">
                          <w:rPr>
                            <w:rStyle w:val="Hipercze"/>
                            <w:rFonts w:ascii="Arial" w:eastAsia="Calibri" w:hAnsi="Arial" w:cs="Arial"/>
                            <w:b/>
                            <w:bCs/>
                            <w:sz w:val="18"/>
                            <w:szCs w:val="18"/>
                            <w:lang w:val="de-DE"/>
                          </w:rPr>
                          <w:t>magdalena.ossowska@linkleaders.pl</w:t>
                        </w:r>
                      </w:hyperlink>
                    </w:p>
                  </w:tc>
                </w:tr>
              </w:tbl>
              <w:p w14:paraId="7B4369CC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</w:tc>
            <w:tc>
              <w:tcPr>
                <w:tcW w:w="220" w:type="dxa"/>
              </w:tcPr>
              <w:p w14:paraId="643EC133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  <w:p w14:paraId="5686B8BD" w14:textId="77777777" w:rsidR="00802515" w:rsidRPr="00802515" w:rsidRDefault="00802515" w:rsidP="008025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Arial" w:eastAsia="Calibri" w:hAnsi="Arial" w:cs="Arial"/>
                    <w:color w:val="000000"/>
                    <w:sz w:val="18"/>
                    <w:szCs w:val="18"/>
                    <w:lang w:val="de-DE"/>
                  </w:rPr>
                </w:pPr>
              </w:p>
            </w:tc>
          </w:tr>
        </w:tbl>
        <w:p w14:paraId="432D14D2" w14:textId="77777777" w:rsidR="00802515" w:rsidRPr="00394677" w:rsidRDefault="00802515" w:rsidP="00802515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Calibri" w:hAnsi="Arial" w:cs="Arial"/>
              <w:color w:val="000000"/>
              <w:sz w:val="18"/>
              <w:szCs w:val="18"/>
              <w:lang w:val="de-DE"/>
            </w:rPr>
          </w:pPr>
        </w:p>
      </w:tc>
    </w:tr>
  </w:tbl>
  <w:p w14:paraId="3C11815C" w14:textId="77777777" w:rsidR="00104CC1" w:rsidRDefault="00104C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13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5"/>
      <w:gridCol w:w="3065"/>
    </w:tblGrid>
    <w:tr w:rsidR="001E5EDD" w:rsidRPr="001E5EDD" w14:paraId="0D5F9232" w14:textId="77777777" w:rsidTr="00AE6F33">
      <w:trPr>
        <w:trHeight w:val="650"/>
      </w:trPr>
      <w:tc>
        <w:tcPr>
          <w:tcW w:w="6130" w:type="dxa"/>
          <w:gridSpan w:val="2"/>
          <w:vAlign w:val="bottom"/>
        </w:tcPr>
        <w:p w14:paraId="3896D469" w14:textId="34388226" w:rsidR="001E5EDD" w:rsidRPr="001E5EDD" w:rsidRDefault="00CF540F" w:rsidP="001E5EDD">
          <w:pPr>
            <w:keepNext/>
            <w:keepLines/>
            <w:spacing w:after="100" w:line="240" w:lineRule="atLeast"/>
            <w:outlineLvl w:val="1"/>
            <w:rPr>
              <w:rFonts w:ascii="Arial" w:eastAsia="Times New Roman" w:hAnsi="Arial" w:cs="Arial"/>
              <w:b/>
              <w:bCs/>
              <w:caps/>
              <w:color w:val="4E5050"/>
              <w:sz w:val="18"/>
              <w:szCs w:val="26"/>
              <w:lang w:eastAsia="en-GB"/>
            </w:rPr>
          </w:pPr>
          <w:r w:rsidRPr="00CF540F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val="pl-PL" w:eastAsia="en-GB"/>
            </w:rPr>
            <w:t>Dodatkowe informacje</w:t>
          </w:r>
          <w:r w:rsidR="001E5EDD" w:rsidRPr="001E5EDD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eastAsia="en-GB"/>
            </w:rPr>
            <w:t>:</w:t>
          </w:r>
        </w:p>
      </w:tc>
    </w:tr>
    <w:tr w:rsidR="001E5EDD" w:rsidRPr="001E5EDD" w14:paraId="76C3C1CA" w14:textId="77777777" w:rsidTr="00AE6F33">
      <w:trPr>
        <w:trHeight w:val="1300"/>
      </w:trPr>
      <w:tc>
        <w:tcPr>
          <w:tcW w:w="3065" w:type="dxa"/>
          <w:vAlign w:val="bottom"/>
        </w:tcPr>
        <w:p w14:paraId="267837AC" w14:textId="7B6642F0" w:rsidR="001E5EDD" w:rsidRPr="001E5EDD" w:rsidRDefault="00AE6F33" w:rsidP="001E5EDD">
          <w:pPr>
            <w:keepNext/>
            <w:keepLines/>
            <w:spacing w:after="0" w:line="216" w:lineRule="atLeast"/>
            <w:outlineLvl w:val="2"/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Lauren</w:t>
          </w:r>
          <w:r w:rsidR="001E5EDD" w:rsidRPr="001E5EDD"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Joselyn</w:t>
          </w:r>
        </w:p>
        <w:p w14:paraId="6CFC7B1A" w14:textId="331BBF84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>Associate Director,</w:t>
          </w:r>
          <w:r w:rsidR="001E5EDD" w:rsidRPr="001E5EDD"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 xml:space="preserve"> Communications</w:t>
          </w:r>
        </w:p>
        <w:p w14:paraId="2D0B8870" w14:textId="17618848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</w:pPr>
          <w:r w:rsidRPr="001E5EDD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 xml:space="preserve">+44(0)203 296 </w:t>
          </w:r>
          <w:r w:rsidR="00AE6F33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>3034</w:t>
          </w:r>
        </w:p>
        <w:p w14:paraId="2E7DEB0F" w14:textId="2D36CE02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eastAsia="en-GB"/>
            </w:rPr>
          </w:pPr>
          <w:hyperlink r:id="rId1" w:history="1">
            <w:r>
              <w:rPr>
                <w:rFonts w:ascii="Arial" w:eastAsia="Times New Roman" w:hAnsi="Arial" w:cs="Arial"/>
                <w:color w:val="0093B2"/>
                <w:sz w:val="18"/>
                <w:szCs w:val="18"/>
                <w:u w:val="single"/>
                <w:lang w:val="es-ES_tradnl" w:eastAsia="en-GB"/>
              </w:rPr>
              <w:t>lauren.joselyn@cushwake.com</w:t>
            </w:r>
          </w:hyperlink>
        </w:p>
      </w:tc>
      <w:tc>
        <w:tcPr>
          <w:tcW w:w="3065" w:type="dxa"/>
          <w:vAlign w:val="bottom"/>
        </w:tcPr>
        <w:p w14:paraId="2FAF6508" w14:textId="77777777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val="es-ES_tradnl" w:eastAsia="en-GB"/>
            </w:rPr>
          </w:pPr>
        </w:p>
      </w:tc>
    </w:tr>
  </w:tbl>
  <w:p w14:paraId="054AD49B" w14:textId="22808C65" w:rsidR="00104CC1" w:rsidRDefault="00104C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CEF51" w14:textId="77777777" w:rsidR="005A47AF" w:rsidRDefault="005A47AF" w:rsidP="001E5EDD">
      <w:pPr>
        <w:spacing w:after="0" w:line="240" w:lineRule="auto"/>
      </w:pPr>
      <w:r>
        <w:separator/>
      </w:r>
    </w:p>
  </w:footnote>
  <w:footnote w:type="continuationSeparator" w:id="0">
    <w:p w14:paraId="6823BDE2" w14:textId="77777777" w:rsidR="005A47AF" w:rsidRDefault="005A47AF" w:rsidP="001E5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A93B" w14:textId="77777777" w:rsidR="00104CC1" w:rsidRDefault="00104CC1">
    <w:pPr>
      <w:pStyle w:val="Nagwek"/>
    </w:pPr>
    <w:r>
      <w:rPr>
        <w:noProof/>
        <w:lang w:eastAsia="en-GB"/>
      </w:rPr>
      <w:drawing>
        <wp:inline distT="0" distB="0" distL="0" distR="0" wp14:anchorId="60C9C53F" wp14:editId="37A0F607">
          <wp:extent cx="2303780" cy="484505"/>
          <wp:effectExtent l="0" t="0" r="1270" b="0"/>
          <wp:docPr id="1" name="Picture 1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A27B" w14:textId="77777777" w:rsidR="00104CC1" w:rsidRDefault="00104CC1">
    <w:pPr>
      <w:pStyle w:val="Nagwek"/>
    </w:pPr>
    <w:r>
      <w:rPr>
        <w:noProof/>
        <w:lang w:eastAsia="en-GB"/>
      </w:rPr>
      <w:drawing>
        <wp:inline distT="0" distB="0" distL="0" distR="0" wp14:anchorId="350B32DA" wp14:editId="6AEAE4A2">
          <wp:extent cx="2031167" cy="412229"/>
          <wp:effectExtent l="0" t="0" r="1270" b="0"/>
          <wp:docPr id="6" name="Picture 6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6111" cy="417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33614"/>
    <w:multiLevelType w:val="hybridMultilevel"/>
    <w:tmpl w:val="957C1E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D14A10"/>
    <w:multiLevelType w:val="hybridMultilevel"/>
    <w:tmpl w:val="37FC0D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B665F2"/>
    <w:multiLevelType w:val="hybridMultilevel"/>
    <w:tmpl w:val="8918E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7731F"/>
    <w:multiLevelType w:val="hybridMultilevel"/>
    <w:tmpl w:val="712AF0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3299484">
    <w:abstractNumId w:val="1"/>
  </w:num>
  <w:num w:numId="2" w16cid:durableId="1798839421">
    <w:abstractNumId w:val="2"/>
  </w:num>
  <w:num w:numId="3" w16cid:durableId="117797981">
    <w:abstractNumId w:val="3"/>
  </w:num>
  <w:num w:numId="4" w16cid:durableId="99006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DD"/>
    <w:rsid w:val="0001074B"/>
    <w:rsid w:val="000108EB"/>
    <w:rsid w:val="00015F8C"/>
    <w:rsid w:val="0002027B"/>
    <w:rsid w:val="000212B3"/>
    <w:rsid w:val="0002224C"/>
    <w:rsid w:val="0002491F"/>
    <w:rsid w:val="0003069F"/>
    <w:rsid w:val="0003209D"/>
    <w:rsid w:val="00043B30"/>
    <w:rsid w:val="0004779C"/>
    <w:rsid w:val="00050727"/>
    <w:rsid w:val="00054A8D"/>
    <w:rsid w:val="00056F25"/>
    <w:rsid w:val="00065F26"/>
    <w:rsid w:val="00073B6F"/>
    <w:rsid w:val="00085B48"/>
    <w:rsid w:val="000963C3"/>
    <w:rsid w:val="000A052A"/>
    <w:rsid w:val="000A1B60"/>
    <w:rsid w:val="000A3295"/>
    <w:rsid w:val="000A7549"/>
    <w:rsid w:val="000A7731"/>
    <w:rsid w:val="000B13B7"/>
    <w:rsid w:val="000B3AE0"/>
    <w:rsid w:val="000C57AE"/>
    <w:rsid w:val="000D740F"/>
    <w:rsid w:val="000E22D3"/>
    <w:rsid w:val="000E34DA"/>
    <w:rsid w:val="000E4554"/>
    <w:rsid w:val="000F201D"/>
    <w:rsid w:val="000F54BD"/>
    <w:rsid w:val="00103A95"/>
    <w:rsid w:val="00104CC1"/>
    <w:rsid w:val="00106BDF"/>
    <w:rsid w:val="00106F1A"/>
    <w:rsid w:val="00107538"/>
    <w:rsid w:val="001239A3"/>
    <w:rsid w:val="0012426A"/>
    <w:rsid w:val="00124F66"/>
    <w:rsid w:val="0012747D"/>
    <w:rsid w:val="0013021C"/>
    <w:rsid w:val="00133CC5"/>
    <w:rsid w:val="00144931"/>
    <w:rsid w:val="00145035"/>
    <w:rsid w:val="0014627C"/>
    <w:rsid w:val="001464A7"/>
    <w:rsid w:val="0015560A"/>
    <w:rsid w:val="001569DD"/>
    <w:rsid w:val="001611CD"/>
    <w:rsid w:val="00163E7F"/>
    <w:rsid w:val="001678C1"/>
    <w:rsid w:val="00171653"/>
    <w:rsid w:val="00171878"/>
    <w:rsid w:val="00181F57"/>
    <w:rsid w:val="00184B5E"/>
    <w:rsid w:val="00195414"/>
    <w:rsid w:val="001A00E0"/>
    <w:rsid w:val="001A2B7F"/>
    <w:rsid w:val="001A5691"/>
    <w:rsid w:val="001A7F10"/>
    <w:rsid w:val="001B08B9"/>
    <w:rsid w:val="001B4924"/>
    <w:rsid w:val="001C43FD"/>
    <w:rsid w:val="001C6965"/>
    <w:rsid w:val="001D15DB"/>
    <w:rsid w:val="001D20F0"/>
    <w:rsid w:val="001D35D4"/>
    <w:rsid w:val="001D6217"/>
    <w:rsid w:val="001D67D4"/>
    <w:rsid w:val="001E106F"/>
    <w:rsid w:val="001E5EDD"/>
    <w:rsid w:val="001F090C"/>
    <w:rsid w:val="001F2AC6"/>
    <w:rsid w:val="001F6561"/>
    <w:rsid w:val="001F6A93"/>
    <w:rsid w:val="001F6D52"/>
    <w:rsid w:val="002022D9"/>
    <w:rsid w:val="00212C61"/>
    <w:rsid w:val="00212E69"/>
    <w:rsid w:val="00215F32"/>
    <w:rsid w:val="00220E3E"/>
    <w:rsid w:val="002222E7"/>
    <w:rsid w:val="0023061F"/>
    <w:rsid w:val="00231CA5"/>
    <w:rsid w:val="00233C62"/>
    <w:rsid w:val="00234AD2"/>
    <w:rsid w:val="002361A1"/>
    <w:rsid w:val="002462B6"/>
    <w:rsid w:val="0024757B"/>
    <w:rsid w:val="002511FB"/>
    <w:rsid w:val="00251B6E"/>
    <w:rsid w:val="00251E8A"/>
    <w:rsid w:val="00253F83"/>
    <w:rsid w:val="00255D1D"/>
    <w:rsid w:val="0025717C"/>
    <w:rsid w:val="002623AE"/>
    <w:rsid w:val="00262EA4"/>
    <w:rsid w:val="00265F4C"/>
    <w:rsid w:val="00270E7E"/>
    <w:rsid w:val="00275A3D"/>
    <w:rsid w:val="0028128F"/>
    <w:rsid w:val="00282D2D"/>
    <w:rsid w:val="002902B4"/>
    <w:rsid w:val="00293778"/>
    <w:rsid w:val="002A02D1"/>
    <w:rsid w:val="002A217D"/>
    <w:rsid w:val="002A6017"/>
    <w:rsid w:val="002A6A26"/>
    <w:rsid w:val="002A6D47"/>
    <w:rsid w:val="002B1149"/>
    <w:rsid w:val="002B4862"/>
    <w:rsid w:val="002C0B55"/>
    <w:rsid w:val="002E130B"/>
    <w:rsid w:val="002E31B3"/>
    <w:rsid w:val="002E406E"/>
    <w:rsid w:val="002E484E"/>
    <w:rsid w:val="002E77BB"/>
    <w:rsid w:val="002E79F5"/>
    <w:rsid w:val="0030508F"/>
    <w:rsid w:val="00305E12"/>
    <w:rsid w:val="0030762E"/>
    <w:rsid w:val="00311CDD"/>
    <w:rsid w:val="00311ED5"/>
    <w:rsid w:val="00330BE4"/>
    <w:rsid w:val="003328C9"/>
    <w:rsid w:val="00334C7F"/>
    <w:rsid w:val="00334FFA"/>
    <w:rsid w:val="00342214"/>
    <w:rsid w:val="003428AD"/>
    <w:rsid w:val="003476F5"/>
    <w:rsid w:val="00350A08"/>
    <w:rsid w:val="003524FB"/>
    <w:rsid w:val="00352F50"/>
    <w:rsid w:val="003568BF"/>
    <w:rsid w:val="0036057E"/>
    <w:rsid w:val="0036096F"/>
    <w:rsid w:val="003622F2"/>
    <w:rsid w:val="0036300F"/>
    <w:rsid w:val="00364595"/>
    <w:rsid w:val="00373C4A"/>
    <w:rsid w:val="00376DC5"/>
    <w:rsid w:val="00384618"/>
    <w:rsid w:val="003856A6"/>
    <w:rsid w:val="00392671"/>
    <w:rsid w:val="003926DD"/>
    <w:rsid w:val="00393076"/>
    <w:rsid w:val="0039531D"/>
    <w:rsid w:val="00397E70"/>
    <w:rsid w:val="003A015B"/>
    <w:rsid w:val="003A1210"/>
    <w:rsid w:val="003A33F6"/>
    <w:rsid w:val="003B175A"/>
    <w:rsid w:val="003C0B24"/>
    <w:rsid w:val="003C296D"/>
    <w:rsid w:val="003C3194"/>
    <w:rsid w:val="003C4037"/>
    <w:rsid w:val="003C52CD"/>
    <w:rsid w:val="003C6EE2"/>
    <w:rsid w:val="003D2BAF"/>
    <w:rsid w:val="003D3E99"/>
    <w:rsid w:val="003D4EC8"/>
    <w:rsid w:val="003D55DF"/>
    <w:rsid w:val="003E1027"/>
    <w:rsid w:val="003E5345"/>
    <w:rsid w:val="003F0FC5"/>
    <w:rsid w:val="004003B9"/>
    <w:rsid w:val="00401DE2"/>
    <w:rsid w:val="00406858"/>
    <w:rsid w:val="00423C3D"/>
    <w:rsid w:val="004270C7"/>
    <w:rsid w:val="0042769A"/>
    <w:rsid w:val="004277BF"/>
    <w:rsid w:val="004306F2"/>
    <w:rsid w:val="0044367D"/>
    <w:rsid w:val="004464E4"/>
    <w:rsid w:val="00455933"/>
    <w:rsid w:val="0047106D"/>
    <w:rsid w:val="00473673"/>
    <w:rsid w:val="0047475F"/>
    <w:rsid w:val="0048015C"/>
    <w:rsid w:val="0048123A"/>
    <w:rsid w:val="00483155"/>
    <w:rsid w:val="004832B8"/>
    <w:rsid w:val="004867EC"/>
    <w:rsid w:val="004869A2"/>
    <w:rsid w:val="004878C4"/>
    <w:rsid w:val="004929C2"/>
    <w:rsid w:val="0049457C"/>
    <w:rsid w:val="004A0E1F"/>
    <w:rsid w:val="004A184E"/>
    <w:rsid w:val="004B0C40"/>
    <w:rsid w:val="004D0D62"/>
    <w:rsid w:val="004E2F4A"/>
    <w:rsid w:val="004F29B7"/>
    <w:rsid w:val="004F5383"/>
    <w:rsid w:val="004F6381"/>
    <w:rsid w:val="004F68D4"/>
    <w:rsid w:val="00501FDE"/>
    <w:rsid w:val="0050654A"/>
    <w:rsid w:val="005078C0"/>
    <w:rsid w:val="00513283"/>
    <w:rsid w:val="00520179"/>
    <w:rsid w:val="00523121"/>
    <w:rsid w:val="00523854"/>
    <w:rsid w:val="0053060C"/>
    <w:rsid w:val="0053080E"/>
    <w:rsid w:val="00530E91"/>
    <w:rsid w:val="00532D88"/>
    <w:rsid w:val="00535236"/>
    <w:rsid w:val="00550C32"/>
    <w:rsid w:val="00560EE8"/>
    <w:rsid w:val="005624DA"/>
    <w:rsid w:val="00572245"/>
    <w:rsid w:val="00573968"/>
    <w:rsid w:val="00575F56"/>
    <w:rsid w:val="005872E3"/>
    <w:rsid w:val="005A17C7"/>
    <w:rsid w:val="005A47AF"/>
    <w:rsid w:val="005B5DC6"/>
    <w:rsid w:val="005C1C47"/>
    <w:rsid w:val="005C5D90"/>
    <w:rsid w:val="005D1286"/>
    <w:rsid w:val="005D7557"/>
    <w:rsid w:val="005F59FB"/>
    <w:rsid w:val="006001FD"/>
    <w:rsid w:val="00605ADC"/>
    <w:rsid w:val="006116AA"/>
    <w:rsid w:val="006176E6"/>
    <w:rsid w:val="00617ACD"/>
    <w:rsid w:val="00621D84"/>
    <w:rsid w:val="00623527"/>
    <w:rsid w:val="00634891"/>
    <w:rsid w:val="00636A3D"/>
    <w:rsid w:val="00637EA3"/>
    <w:rsid w:val="00643A5C"/>
    <w:rsid w:val="006466F2"/>
    <w:rsid w:val="00651362"/>
    <w:rsid w:val="0065599F"/>
    <w:rsid w:val="0065761F"/>
    <w:rsid w:val="006578F1"/>
    <w:rsid w:val="00657F01"/>
    <w:rsid w:val="00666EC8"/>
    <w:rsid w:val="00667E57"/>
    <w:rsid w:val="00670BAE"/>
    <w:rsid w:val="00674C62"/>
    <w:rsid w:val="00685E75"/>
    <w:rsid w:val="0068736C"/>
    <w:rsid w:val="00696EC6"/>
    <w:rsid w:val="006B21C6"/>
    <w:rsid w:val="006B6114"/>
    <w:rsid w:val="006C207B"/>
    <w:rsid w:val="006C2215"/>
    <w:rsid w:val="006C689B"/>
    <w:rsid w:val="006D2071"/>
    <w:rsid w:val="006E3140"/>
    <w:rsid w:val="006E3C1B"/>
    <w:rsid w:val="006E3CD9"/>
    <w:rsid w:val="006E47DB"/>
    <w:rsid w:val="006F7F0A"/>
    <w:rsid w:val="007016B2"/>
    <w:rsid w:val="0070379F"/>
    <w:rsid w:val="0071349E"/>
    <w:rsid w:val="007209C0"/>
    <w:rsid w:val="007230F7"/>
    <w:rsid w:val="00730236"/>
    <w:rsid w:val="0073187D"/>
    <w:rsid w:val="00731ECB"/>
    <w:rsid w:val="007326B6"/>
    <w:rsid w:val="0073562B"/>
    <w:rsid w:val="00740783"/>
    <w:rsid w:val="00740C98"/>
    <w:rsid w:val="0074498C"/>
    <w:rsid w:val="00746213"/>
    <w:rsid w:val="00746CB9"/>
    <w:rsid w:val="0075021B"/>
    <w:rsid w:val="00753BBA"/>
    <w:rsid w:val="007555D8"/>
    <w:rsid w:val="007561AC"/>
    <w:rsid w:val="0075656D"/>
    <w:rsid w:val="00765B80"/>
    <w:rsid w:val="007726C6"/>
    <w:rsid w:val="0077366C"/>
    <w:rsid w:val="00776D2C"/>
    <w:rsid w:val="00784D28"/>
    <w:rsid w:val="00785400"/>
    <w:rsid w:val="0079246E"/>
    <w:rsid w:val="00793174"/>
    <w:rsid w:val="007A0475"/>
    <w:rsid w:val="007A0873"/>
    <w:rsid w:val="007A5BF5"/>
    <w:rsid w:val="007A5D86"/>
    <w:rsid w:val="007A7A66"/>
    <w:rsid w:val="007B0966"/>
    <w:rsid w:val="007B3E09"/>
    <w:rsid w:val="007B5BAB"/>
    <w:rsid w:val="007B7066"/>
    <w:rsid w:val="007C7C31"/>
    <w:rsid w:val="007D7276"/>
    <w:rsid w:val="007E5480"/>
    <w:rsid w:val="007E655F"/>
    <w:rsid w:val="007E65BC"/>
    <w:rsid w:val="007E7808"/>
    <w:rsid w:val="007F75D4"/>
    <w:rsid w:val="00802515"/>
    <w:rsid w:val="00804C2E"/>
    <w:rsid w:val="008075A9"/>
    <w:rsid w:val="00821C32"/>
    <w:rsid w:val="008230EA"/>
    <w:rsid w:val="0084065B"/>
    <w:rsid w:val="00857607"/>
    <w:rsid w:val="00860B09"/>
    <w:rsid w:val="008871B9"/>
    <w:rsid w:val="00893433"/>
    <w:rsid w:val="008942DD"/>
    <w:rsid w:val="008A1306"/>
    <w:rsid w:val="008B3B7C"/>
    <w:rsid w:val="008B4F75"/>
    <w:rsid w:val="008C24C1"/>
    <w:rsid w:val="008C6487"/>
    <w:rsid w:val="008D0E65"/>
    <w:rsid w:val="008D73C5"/>
    <w:rsid w:val="008E0A34"/>
    <w:rsid w:val="008E75B1"/>
    <w:rsid w:val="008F2E56"/>
    <w:rsid w:val="008F4926"/>
    <w:rsid w:val="008F6803"/>
    <w:rsid w:val="00913231"/>
    <w:rsid w:val="00917A70"/>
    <w:rsid w:val="00921D12"/>
    <w:rsid w:val="00922A32"/>
    <w:rsid w:val="00930DE1"/>
    <w:rsid w:val="00932377"/>
    <w:rsid w:val="009362BB"/>
    <w:rsid w:val="0095039F"/>
    <w:rsid w:val="00955879"/>
    <w:rsid w:val="009608BD"/>
    <w:rsid w:val="00964630"/>
    <w:rsid w:val="0096636D"/>
    <w:rsid w:val="0097642E"/>
    <w:rsid w:val="00983470"/>
    <w:rsid w:val="00983BF9"/>
    <w:rsid w:val="0099648B"/>
    <w:rsid w:val="009A282F"/>
    <w:rsid w:val="009A6D11"/>
    <w:rsid w:val="009B02ED"/>
    <w:rsid w:val="009B2ECF"/>
    <w:rsid w:val="009B503A"/>
    <w:rsid w:val="009B6A9B"/>
    <w:rsid w:val="009C0D31"/>
    <w:rsid w:val="009C323E"/>
    <w:rsid w:val="009C44B6"/>
    <w:rsid w:val="009D3944"/>
    <w:rsid w:val="009D64EF"/>
    <w:rsid w:val="009D7E4B"/>
    <w:rsid w:val="009D7EBB"/>
    <w:rsid w:val="009E1244"/>
    <w:rsid w:val="009E1335"/>
    <w:rsid w:val="009E1B00"/>
    <w:rsid w:val="009E2D72"/>
    <w:rsid w:val="009F06AB"/>
    <w:rsid w:val="009F6B4C"/>
    <w:rsid w:val="009F6D5F"/>
    <w:rsid w:val="009F7D5B"/>
    <w:rsid w:val="00A00113"/>
    <w:rsid w:val="00A03E81"/>
    <w:rsid w:val="00A10546"/>
    <w:rsid w:val="00A1134C"/>
    <w:rsid w:val="00A17394"/>
    <w:rsid w:val="00A31E54"/>
    <w:rsid w:val="00A31FE8"/>
    <w:rsid w:val="00A45C59"/>
    <w:rsid w:val="00A46B01"/>
    <w:rsid w:val="00A53608"/>
    <w:rsid w:val="00A5642F"/>
    <w:rsid w:val="00A61D2F"/>
    <w:rsid w:val="00A63A12"/>
    <w:rsid w:val="00A66148"/>
    <w:rsid w:val="00A71D5A"/>
    <w:rsid w:val="00A73013"/>
    <w:rsid w:val="00A803A8"/>
    <w:rsid w:val="00A84F29"/>
    <w:rsid w:val="00A85F3E"/>
    <w:rsid w:val="00A872BA"/>
    <w:rsid w:val="00A92675"/>
    <w:rsid w:val="00A94FA3"/>
    <w:rsid w:val="00A96A48"/>
    <w:rsid w:val="00A96E83"/>
    <w:rsid w:val="00AA622E"/>
    <w:rsid w:val="00AB193F"/>
    <w:rsid w:val="00AB30BE"/>
    <w:rsid w:val="00AD03C2"/>
    <w:rsid w:val="00AD2692"/>
    <w:rsid w:val="00AD70F5"/>
    <w:rsid w:val="00AE3136"/>
    <w:rsid w:val="00AE637D"/>
    <w:rsid w:val="00AE6F33"/>
    <w:rsid w:val="00AF3769"/>
    <w:rsid w:val="00AF5887"/>
    <w:rsid w:val="00B0310F"/>
    <w:rsid w:val="00B03FFB"/>
    <w:rsid w:val="00B05A0A"/>
    <w:rsid w:val="00B21A38"/>
    <w:rsid w:val="00B2349B"/>
    <w:rsid w:val="00B30EC3"/>
    <w:rsid w:val="00B35B50"/>
    <w:rsid w:val="00B46F72"/>
    <w:rsid w:val="00B52676"/>
    <w:rsid w:val="00B54040"/>
    <w:rsid w:val="00B67C68"/>
    <w:rsid w:val="00B72FA2"/>
    <w:rsid w:val="00B8347D"/>
    <w:rsid w:val="00B92EBE"/>
    <w:rsid w:val="00B93FDF"/>
    <w:rsid w:val="00B96AE7"/>
    <w:rsid w:val="00B977A4"/>
    <w:rsid w:val="00BB304B"/>
    <w:rsid w:val="00BB395B"/>
    <w:rsid w:val="00BB3CE0"/>
    <w:rsid w:val="00BB497A"/>
    <w:rsid w:val="00BB5CEA"/>
    <w:rsid w:val="00BD0CDB"/>
    <w:rsid w:val="00BD27F8"/>
    <w:rsid w:val="00BD3630"/>
    <w:rsid w:val="00BD5DB5"/>
    <w:rsid w:val="00BE01E6"/>
    <w:rsid w:val="00BE12C9"/>
    <w:rsid w:val="00BE2EA2"/>
    <w:rsid w:val="00BF4B31"/>
    <w:rsid w:val="00BF4EF9"/>
    <w:rsid w:val="00C00009"/>
    <w:rsid w:val="00C02A83"/>
    <w:rsid w:val="00C04C31"/>
    <w:rsid w:val="00C05CA1"/>
    <w:rsid w:val="00C06933"/>
    <w:rsid w:val="00C0756C"/>
    <w:rsid w:val="00C07A0B"/>
    <w:rsid w:val="00C121E4"/>
    <w:rsid w:val="00C13536"/>
    <w:rsid w:val="00C15653"/>
    <w:rsid w:val="00C20D0D"/>
    <w:rsid w:val="00C25164"/>
    <w:rsid w:val="00C33B98"/>
    <w:rsid w:val="00C3451A"/>
    <w:rsid w:val="00C35B5F"/>
    <w:rsid w:val="00C4237E"/>
    <w:rsid w:val="00C44E24"/>
    <w:rsid w:val="00C51A6E"/>
    <w:rsid w:val="00C52A16"/>
    <w:rsid w:val="00C54341"/>
    <w:rsid w:val="00C56965"/>
    <w:rsid w:val="00C57F59"/>
    <w:rsid w:val="00C601A4"/>
    <w:rsid w:val="00C760B8"/>
    <w:rsid w:val="00C81199"/>
    <w:rsid w:val="00C85FB0"/>
    <w:rsid w:val="00C91793"/>
    <w:rsid w:val="00C92048"/>
    <w:rsid w:val="00C939A3"/>
    <w:rsid w:val="00C96A00"/>
    <w:rsid w:val="00CB57AA"/>
    <w:rsid w:val="00CC14BA"/>
    <w:rsid w:val="00CC1F5C"/>
    <w:rsid w:val="00CC2BD6"/>
    <w:rsid w:val="00CC2D8D"/>
    <w:rsid w:val="00CC5830"/>
    <w:rsid w:val="00CE7B5F"/>
    <w:rsid w:val="00CF2D41"/>
    <w:rsid w:val="00CF442C"/>
    <w:rsid w:val="00CF540F"/>
    <w:rsid w:val="00D01C44"/>
    <w:rsid w:val="00D02471"/>
    <w:rsid w:val="00D13625"/>
    <w:rsid w:val="00D14B54"/>
    <w:rsid w:val="00D22C80"/>
    <w:rsid w:val="00D24DB2"/>
    <w:rsid w:val="00D316D1"/>
    <w:rsid w:val="00D32374"/>
    <w:rsid w:val="00D33745"/>
    <w:rsid w:val="00D373A8"/>
    <w:rsid w:val="00D44288"/>
    <w:rsid w:val="00D47D39"/>
    <w:rsid w:val="00D506D1"/>
    <w:rsid w:val="00D516BD"/>
    <w:rsid w:val="00D64919"/>
    <w:rsid w:val="00D732DF"/>
    <w:rsid w:val="00D73891"/>
    <w:rsid w:val="00D7467F"/>
    <w:rsid w:val="00D80B6A"/>
    <w:rsid w:val="00D80EC6"/>
    <w:rsid w:val="00D84EDD"/>
    <w:rsid w:val="00D858B8"/>
    <w:rsid w:val="00D87024"/>
    <w:rsid w:val="00D90962"/>
    <w:rsid w:val="00D931CB"/>
    <w:rsid w:val="00D946BF"/>
    <w:rsid w:val="00DA62C9"/>
    <w:rsid w:val="00DA6C52"/>
    <w:rsid w:val="00DC1616"/>
    <w:rsid w:val="00DC4C86"/>
    <w:rsid w:val="00DD0966"/>
    <w:rsid w:val="00DD1045"/>
    <w:rsid w:val="00DE1ACE"/>
    <w:rsid w:val="00DE4704"/>
    <w:rsid w:val="00DF20C2"/>
    <w:rsid w:val="00DF4A2A"/>
    <w:rsid w:val="00DF5939"/>
    <w:rsid w:val="00DF655A"/>
    <w:rsid w:val="00DF73D8"/>
    <w:rsid w:val="00E02536"/>
    <w:rsid w:val="00E03552"/>
    <w:rsid w:val="00E07F19"/>
    <w:rsid w:val="00E136AF"/>
    <w:rsid w:val="00E13D5A"/>
    <w:rsid w:val="00E164DA"/>
    <w:rsid w:val="00E20A98"/>
    <w:rsid w:val="00E20D76"/>
    <w:rsid w:val="00E25482"/>
    <w:rsid w:val="00E25BF6"/>
    <w:rsid w:val="00E26939"/>
    <w:rsid w:val="00E274C2"/>
    <w:rsid w:val="00E27FA4"/>
    <w:rsid w:val="00E3591A"/>
    <w:rsid w:val="00E35A97"/>
    <w:rsid w:val="00E437F0"/>
    <w:rsid w:val="00E438D6"/>
    <w:rsid w:val="00E64E4A"/>
    <w:rsid w:val="00E6658E"/>
    <w:rsid w:val="00E67AD0"/>
    <w:rsid w:val="00E77BE9"/>
    <w:rsid w:val="00E82CE2"/>
    <w:rsid w:val="00E83F98"/>
    <w:rsid w:val="00E92107"/>
    <w:rsid w:val="00E964AF"/>
    <w:rsid w:val="00E96986"/>
    <w:rsid w:val="00EA6B30"/>
    <w:rsid w:val="00EB69C7"/>
    <w:rsid w:val="00EC4D82"/>
    <w:rsid w:val="00ED64A6"/>
    <w:rsid w:val="00EE1539"/>
    <w:rsid w:val="00EE5970"/>
    <w:rsid w:val="00EE6453"/>
    <w:rsid w:val="00F02314"/>
    <w:rsid w:val="00F05CA0"/>
    <w:rsid w:val="00F10F58"/>
    <w:rsid w:val="00F1332E"/>
    <w:rsid w:val="00F32D87"/>
    <w:rsid w:val="00F32FEC"/>
    <w:rsid w:val="00F34A2F"/>
    <w:rsid w:val="00F3577F"/>
    <w:rsid w:val="00F35834"/>
    <w:rsid w:val="00F46CCC"/>
    <w:rsid w:val="00F47988"/>
    <w:rsid w:val="00F542F8"/>
    <w:rsid w:val="00F545C7"/>
    <w:rsid w:val="00F54CA2"/>
    <w:rsid w:val="00F54EEA"/>
    <w:rsid w:val="00F650DB"/>
    <w:rsid w:val="00F80663"/>
    <w:rsid w:val="00F82D54"/>
    <w:rsid w:val="00F84AE3"/>
    <w:rsid w:val="00FA2878"/>
    <w:rsid w:val="00FA45CC"/>
    <w:rsid w:val="00FA6197"/>
    <w:rsid w:val="00FB3BAB"/>
    <w:rsid w:val="00FD109B"/>
    <w:rsid w:val="00FD657A"/>
    <w:rsid w:val="00FD722D"/>
    <w:rsid w:val="00FD7777"/>
    <w:rsid w:val="00FE097A"/>
    <w:rsid w:val="00FE0FE3"/>
    <w:rsid w:val="00FE2833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7787F3"/>
  <w15:chartTrackingRefBased/>
  <w15:docId w15:val="{286C76C1-C9D3-47F0-BFF5-9B5F0515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D5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5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E5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5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5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5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5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5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5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5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5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1E5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5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5E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5E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5E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5E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5E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5E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5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5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5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5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5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5E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5E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5E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5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5E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5ED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ipercze">
    <w:name w:val="Hyperlink"/>
    <w:basedOn w:val="Domylnaczcionkaakapitu"/>
    <w:unhideWhenUsed/>
    <w:qFormat/>
    <w:rsid w:val="001E5EDD"/>
    <w:rPr>
      <w:color w:val="156082" w:themeColor="accent1"/>
      <w:u w:val="single"/>
    </w:rPr>
  </w:style>
  <w:style w:type="table" w:styleId="Tabela-Siatka">
    <w:name w:val="Table Grid"/>
    <w:basedOn w:val="Standardowy"/>
    <w:uiPriority w:val="59"/>
    <w:rsid w:val="001E5ED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E5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Name">
    <w:name w:val="ContactName"/>
    <w:basedOn w:val="Nagwek3"/>
    <w:qFormat/>
    <w:rsid w:val="001E5EDD"/>
    <w:pPr>
      <w:spacing w:before="0" w:after="0" w:line="216" w:lineRule="atLeast"/>
    </w:pPr>
    <w:rPr>
      <w:rFonts w:ascii="Calibri" w:eastAsia="Times New Roman" w:hAnsi="Calibri" w:cs="Times New Roman"/>
      <w:b/>
      <w:bCs/>
      <w:color w:val="008B98"/>
      <w:sz w:val="18"/>
      <w:szCs w:val="24"/>
      <w:lang w:eastAsia="en-GB"/>
    </w:rPr>
  </w:style>
  <w:style w:type="paragraph" w:customStyle="1" w:styleId="ContactDetail">
    <w:name w:val="ContactDetail"/>
    <w:basedOn w:val="Normalny"/>
    <w:rsid w:val="001E5EDD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70379F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379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A6D4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Body">
    <w:name w:val="Body"/>
    <w:rsid w:val="009D7E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5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5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5E12"/>
    <w:rPr>
      <w:rFonts w:eastAsiaTheme="minorEastAsia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E12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customStyle="1" w:styleId="cf01">
    <w:name w:val="cf01"/>
    <w:basedOn w:val="Domylnaczcionkaakapitu"/>
    <w:rsid w:val="00DC1616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omylnaczcionkaakapitu"/>
    <w:rsid w:val="009E2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shmanwakefield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gdalena.ossowska@linkleaders.pl" TargetMode="External"/><Relationship Id="rId1" Type="http://schemas.openxmlformats.org/officeDocument/2006/relationships/hyperlink" Target="mailto:karolina.samczynska@cushwake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auren.joselyn@cushwak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84ED6-5338-4EDC-BA78-B49C4D404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807</Words>
  <Characters>4847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 Wheeler</dc:creator>
  <cp:keywords/>
  <dc:description/>
  <cp:lastModifiedBy>Link Leaders</cp:lastModifiedBy>
  <cp:revision>2</cp:revision>
  <cp:lastPrinted>2026-07-08T10:10:00Z</cp:lastPrinted>
  <dcterms:created xsi:type="dcterms:W3CDTF">2026-09-23T08:28:00Z</dcterms:created>
  <dcterms:modified xsi:type="dcterms:W3CDTF">2026-09-23T08:28:00Z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86f961-1d3e-4cfe-b1e9-19b9bcf12554_Enabled">
    <vt:lpwstr>true</vt:lpwstr>
  </property>
  <property fmtid="{D5CDD505-2E9C-101B-9397-08002B2CF9AE}" pid="3" name="MSIP_Label_b086f961-1d3e-4cfe-b1e9-19b9bcf12554_SetDate">
    <vt:lpwstr>2024-08-09T12:49:32Z</vt:lpwstr>
  </property>
  <property fmtid="{D5CDD505-2E9C-101B-9397-08002B2CF9AE}" pid="4" name="MSIP_Label_b086f961-1d3e-4cfe-b1e9-19b9bcf12554_Method">
    <vt:lpwstr>Standard</vt:lpwstr>
  </property>
  <property fmtid="{D5CDD505-2E9C-101B-9397-08002B2CF9AE}" pid="5" name="MSIP_Label_b086f961-1d3e-4cfe-b1e9-19b9bcf12554_Name">
    <vt:lpwstr>Private</vt:lpwstr>
  </property>
  <property fmtid="{D5CDD505-2E9C-101B-9397-08002B2CF9AE}" pid="6" name="MSIP_Label_b086f961-1d3e-4cfe-b1e9-19b9bcf12554_SiteId">
    <vt:lpwstr>6facebd9-e318-4ea6-a98b-e892ee55070f</vt:lpwstr>
  </property>
  <property fmtid="{D5CDD505-2E9C-101B-9397-08002B2CF9AE}" pid="7" name="MSIP_Label_b086f961-1d3e-4cfe-b1e9-19b9bcf12554_ActionId">
    <vt:lpwstr>60c3cb59-3795-42a8-af48-43117dcbee96</vt:lpwstr>
  </property>
  <property fmtid="{D5CDD505-2E9C-101B-9397-08002B2CF9AE}" pid="8" name="MSIP_Label_b086f961-1d3e-4cfe-b1e9-19b9bcf12554_ContentBits">
    <vt:lpwstr>0</vt:lpwstr>
  </property>
  <property fmtid="{D5CDD505-2E9C-101B-9397-08002B2CF9AE}" pid="9" name="GrammarlyDocumentId">
    <vt:lpwstr>341a8607d4d2d5ce3fbf3503c2f967ea1e4ce5daa8426167cb97b41905428e1a</vt:lpwstr>
  </property>
</Properties>
</file>