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5464F" w14:textId="50DB0BBC" w:rsidR="0072682B" w:rsidRDefault="0072682B" w:rsidP="00FD5C7B">
      <w:pPr>
        <w:tabs>
          <w:tab w:val="left" w:pos="7560"/>
        </w:tabs>
      </w:pPr>
    </w:p>
    <w:tbl>
      <w:tblPr>
        <w:tblStyle w:val="a7"/>
        <w:tblW w:w="9781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81"/>
      </w:tblGrid>
      <w:tr w:rsidR="0072682B" w14:paraId="76D4A5D5" w14:textId="77777777" w:rsidTr="2414EBC3">
        <w:trPr>
          <w:trHeight w:val="1715"/>
        </w:trPr>
        <w:tc>
          <w:tcPr>
            <w:tcW w:w="9781" w:type="dxa"/>
            <w:tcBorders>
              <w:top w:val="nil"/>
              <w:left w:val="single" w:sz="12" w:space="0" w:color="E20613"/>
              <w:bottom w:val="nil"/>
              <w:right w:val="nil"/>
            </w:tcBorders>
            <w:tcMar>
              <w:top w:w="213" w:type="dxa"/>
              <w:left w:w="213" w:type="dxa"/>
              <w:bottom w:w="213" w:type="dxa"/>
              <w:right w:w="213" w:type="dxa"/>
            </w:tcMar>
            <w:vAlign w:val="center"/>
          </w:tcPr>
          <w:p w14:paraId="3626FFF8" w14:textId="77777777" w:rsidR="0072682B" w:rsidRDefault="0072682B">
            <w:pPr>
              <w:spacing w:after="240"/>
              <w:rPr>
                <w:b/>
                <w:bCs/>
                <w:sz w:val="26"/>
                <w:szCs w:val="26"/>
              </w:rPr>
            </w:pPr>
          </w:p>
          <w:p w14:paraId="11369A93" w14:textId="61DD2C06" w:rsidR="0072682B" w:rsidRDefault="00A11449">
            <w:pPr>
              <w:spacing w:after="240"/>
              <w:rPr>
                <w:sz w:val="26"/>
                <w:szCs w:val="26"/>
              </w:rPr>
            </w:pPr>
            <w:r w:rsidRPr="2414EBC3">
              <w:rPr>
                <w:b/>
                <w:bCs/>
                <w:sz w:val="26"/>
                <w:szCs w:val="26"/>
              </w:rPr>
              <w:t>Bezpieczeństwo w standardzie. Grupa Bemo zamontowała def</w:t>
            </w:r>
            <w:r w:rsidR="62905232" w:rsidRPr="2414EBC3">
              <w:rPr>
                <w:b/>
                <w:bCs/>
                <w:sz w:val="26"/>
                <w:szCs w:val="26"/>
              </w:rPr>
              <w:t>i</w:t>
            </w:r>
            <w:r w:rsidRPr="2414EBC3">
              <w:rPr>
                <w:b/>
                <w:bCs/>
                <w:sz w:val="26"/>
                <w:szCs w:val="26"/>
              </w:rPr>
              <w:t>brylatory AED w swoich salonach i serwisach w całej Polsce</w:t>
            </w:r>
          </w:p>
        </w:tc>
      </w:tr>
    </w:tbl>
    <w:p w14:paraId="56EAD191" w14:textId="32443759" w:rsidR="0072682B" w:rsidRDefault="0072682B" w:rsidP="00F708C8">
      <w:pPr>
        <w:tabs>
          <w:tab w:val="left" w:pos="2775"/>
        </w:tabs>
        <w:jc w:val="both"/>
        <w:rPr>
          <w:b/>
          <w:bCs/>
        </w:rPr>
      </w:pPr>
      <w:bookmarkStart w:id="0" w:name="_heading=h.fndbno2g2vd" w:colFirst="0" w:colLast="0"/>
      <w:bookmarkEnd w:id="0"/>
    </w:p>
    <w:p w14:paraId="097684D1" w14:textId="38968654" w:rsidR="0072682B" w:rsidRDefault="30259B99">
      <w:pPr>
        <w:jc w:val="both"/>
        <w:rPr>
          <w:b/>
          <w:bCs/>
        </w:rPr>
      </w:pPr>
      <w:r w:rsidRPr="11D6A7D0">
        <w:rPr>
          <w:b/>
          <w:bCs/>
        </w:rPr>
        <w:t>W sytuacji nagłego zatrzymania krążenia o życiu decydują pierwsze minuty, a podjęcie defibrylacji w ciągu 3–5 minut zwiększa szanse na przeżycie nawet do 70%. Aby zapewnić natychmiastowy dostęp do sprzętu ratującego życie, Grupa Bemo z</w:t>
      </w:r>
      <w:r w:rsidR="6EB7E16C" w:rsidRPr="11D6A7D0">
        <w:rPr>
          <w:b/>
          <w:bCs/>
        </w:rPr>
        <w:t>a</w:t>
      </w:r>
      <w:r w:rsidRPr="11D6A7D0">
        <w:rPr>
          <w:b/>
          <w:bCs/>
        </w:rPr>
        <w:t>montowała defibrylatory AED w</w:t>
      </w:r>
      <w:r w:rsidR="00FD5C7B">
        <w:rPr>
          <w:b/>
          <w:bCs/>
        </w:rPr>
        <w:t xml:space="preserve"> </w:t>
      </w:r>
      <w:r w:rsidRPr="11D6A7D0">
        <w:rPr>
          <w:b/>
          <w:bCs/>
        </w:rPr>
        <w:t xml:space="preserve">swoich salonach i serwisach w Polsce. Sprzęt jest ogólnodostępny dla każdego, kto znajdzie się w potrzebie. </w:t>
      </w:r>
    </w:p>
    <w:p w14:paraId="22D1F0F0" w14:textId="77777777" w:rsidR="0072682B" w:rsidRDefault="0072682B">
      <w:pPr>
        <w:jc w:val="both"/>
        <w:rPr>
          <w:b/>
          <w:bCs/>
        </w:rPr>
      </w:pPr>
    </w:p>
    <w:p w14:paraId="6B14E4B4" w14:textId="77777777" w:rsidR="0072682B" w:rsidRDefault="00A11449">
      <w:pPr>
        <w:jc w:val="both"/>
        <w:rPr>
          <w:b/>
          <w:bCs/>
        </w:rPr>
      </w:pPr>
      <w:r>
        <w:t>Głównym celem inicjatywy jest zwiększenie bezpieczeństwa klientów, pracowników oraz wszystkich osób znajdujących się w pobliżu salonów i serwisów Grupy Bemo. Urządzenia zamontowano na terenie całej Polski, m.in. w Warszawie, Poznaniu, Szczecinie, Łodzi, Rzeszowie, Koszalinie oraz Swarzędzu. Dostęp do AED pozwala na podjęcie natychmiastowej akcji ratunkowej jeszcze przed przyjazdem zespołu ratownictwa medycznego.</w:t>
      </w:r>
    </w:p>
    <w:p w14:paraId="1B96AC1A" w14:textId="77777777" w:rsidR="0072682B" w:rsidRDefault="0072682B">
      <w:pPr>
        <w:jc w:val="both"/>
        <w:rPr>
          <w:b/>
          <w:bCs/>
        </w:rPr>
      </w:pPr>
    </w:p>
    <w:p w14:paraId="7E552BB2" w14:textId="77777777" w:rsidR="0072682B" w:rsidRDefault="00A11449">
      <w:pPr>
        <w:jc w:val="both"/>
      </w:pPr>
      <w:r>
        <w:t>W Polsce aż 80% przypadków nagłego zatrzymania krążenia ma miejsce poza szpitalem, czyli podczas zwykłych, codziennych sytuacji – w pracy, w sklepie, na ulicy.  Wykonanie defibrylacji w ciągu pierwszych 3–5 minut od zatrzymania akcji serca zwiększa szanse na przeżycie nawet do 50–70%</w:t>
      </w:r>
      <w:r>
        <w:rPr>
          <w:vertAlign w:val="superscript"/>
        </w:rPr>
        <w:footnoteReference w:id="1"/>
      </w:r>
      <w:r>
        <w:t xml:space="preserve">. </w:t>
      </w:r>
    </w:p>
    <w:p w14:paraId="247A4C18" w14:textId="77777777" w:rsidR="0072682B" w:rsidRDefault="0072682B">
      <w:pPr>
        <w:jc w:val="both"/>
      </w:pPr>
    </w:p>
    <w:p w14:paraId="02C5F516" w14:textId="77777777" w:rsidR="0072682B" w:rsidRDefault="00A11449">
      <w:pPr>
        <w:jc w:val="both"/>
        <w:rPr>
          <w:b/>
          <w:bCs/>
        </w:rPr>
      </w:pPr>
      <w:r>
        <w:t xml:space="preserve">– </w:t>
      </w:r>
      <w:r>
        <w:rPr>
          <w:i/>
          <w:iCs/>
        </w:rPr>
        <w:t>W naszych salonach i serwisach każdego dnia spotykają się setki osób: klienci, pracownicy, dostawcy, partnerzy biznesowi. Zależało nam, aby w sytuacji nagłego zagrożenia zdrowia i życia mieli pod ręką sprzęt, który może pomóc. Dlatego zdecydowaliśmy się zamontować defibrylatory AED we wszystkich naszych lokalizacjach w Polsce</w:t>
      </w:r>
      <w:r>
        <w:rPr>
          <w:b/>
          <w:bCs/>
        </w:rPr>
        <w:t xml:space="preserve"> – mówi Karolina Gajewska, Head of Marketing Grupy Bemo.  </w:t>
      </w:r>
    </w:p>
    <w:p w14:paraId="7F580197" w14:textId="77777777" w:rsidR="0072682B" w:rsidRDefault="0072682B">
      <w:pPr>
        <w:jc w:val="both"/>
      </w:pPr>
    </w:p>
    <w:p w14:paraId="6E41EB53" w14:textId="1354A0C5" w:rsidR="00FD5C7B" w:rsidRDefault="30259B99">
      <w:pPr>
        <w:jc w:val="both"/>
        <w:rPr>
          <w:b/>
          <w:bCs/>
        </w:rPr>
      </w:pPr>
      <w:r>
        <w:t xml:space="preserve">– </w:t>
      </w:r>
      <w:r w:rsidRPr="11D6A7D0">
        <w:rPr>
          <w:i/>
          <w:iCs/>
        </w:rPr>
        <w:t>Chcemy być blisko lokalnych społeczności i dawać im poczucie bezpieczeństwa. Nasze defibrylatory są dobrze oznaczone i ogólnodostępne – urządzenia są gotowe do użycia przez dowolną osobę z ulicy czy sąsiedztwa. W walce o życie nie trzeba niczego zgłaszać ani prosić o zgodę. Wiemy, że wtedy liczy się każda sekunda</w:t>
      </w:r>
      <w:r>
        <w:t xml:space="preserve"> – </w:t>
      </w:r>
      <w:r w:rsidRPr="11D6A7D0">
        <w:rPr>
          <w:b/>
          <w:bCs/>
        </w:rPr>
        <w:t xml:space="preserve">dodaje Karolina Gajewska. </w:t>
      </w:r>
    </w:p>
    <w:p w14:paraId="30A85A9E" w14:textId="77777777" w:rsidR="00FD5C7B" w:rsidRDefault="00FD5C7B">
      <w:pPr>
        <w:rPr>
          <w:b/>
          <w:bCs/>
        </w:rPr>
      </w:pPr>
      <w:r>
        <w:rPr>
          <w:b/>
          <w:bCs/>
        </w:rPr>
        <w:br w:type="page"/>
      </w:r>
    </w:p>
    <w:p w14:paraId="1C05532D" w14:textId="77777777" w:rsidR="0072682B" w:rsidRDefault="0072682B">
      <w:pPr>
        <w:jc w:val="both"/>
      </w:pPr>
    </w:p>
    <w:p w14:paraId="23AA3BC9" w14:textId="17F35465" w:rsidR="11D6A7D0" w:rsidRDefault="11D6A7D0" w:rsidP="11D6A7D0">
      <w:pPr>
        <w:jc w:val="both"/>
        <w:rPr>
          <w:b/>
          <w:bCs/>
        </w:rPr>
      </w:pPr>
    </w:p>
    <w:p w14:paraId="4B16295B" w14:textId="59CCACE0" w:rsidR="0072682B" w:rsidRDefault="0072682B">
      <w:pPr>
        <w:jc w:val="both"/>
        <w:rPr>
          <w:b/>
          <w:bCs/>
        </w:rPr>
      </w:pPr>
    </w:p>
    <w:p w14:paraId="2C3D7395" w14:textId="77777777" w:rsidR="0072682B" w:rsidRDefault="00A11449">
      <w:pPr>
        <w:jc w:val="both"/>
        <w:rPr>
          <w:b/>
          <w:bCs/>
        </w:rPr>
      </w:pPr>
      <w:r>
        <w:rPr>
          <w:b/>
          <w:bCs/>
        </w:rPr>
        <w:t xml:space="preserve">Nie trzeba być ratownikiem, żeby uratować życie  </w:t>
      </w:r>
    </w:p>
    <w:p w14:paraId="4C87E7B5" w14:textId="77777777" w:rsidR="0072682B" w:rsidRDefault="0072682B">
      <w:pPr>
        <w:rPr>
          <w:b/>
          <w:bCs/>
        </w:rPr>
      </w:pPr>
    </w:p>
    <w:p w14:paraId="14D0D6A9" w14:textId="1C10FE5F" w:rsidR="0072682B" w:rsidRDefault="30259B99" w:rsidP="11D6A7D0">
      <w:pPr>
        <w:jc w:val="both"/>
      </w:pPr>
      <w:r>
        <w:t>Samo urządzenie to nie wszystko – kluczowe jest przełamanie obaw przed jego użyciem. Dlatego przy realizacji projektu Grupa Bemo postawiła na połączenie montażu sprzętu z kompleksowym szkoleniem. We współpracy z firmą HelpMed przeszkol</w:t>
      </w:r>
      <w:r w:rsidR="52C48196">
        <w:t>i</w:t>
      </w:r>
      <w:r>
        <w:t xml:space="preserve"> personel salonów i serwisów z obsługi AED, aby w sytuacji zagrożenia potrafili zareagować sprawnie i bez wahania.  </w:t>
      </w:r>
    </w:p>
    <w:p w14:paraId="2AC7C4F2" w14:textId="77777777" w:rsidR="0072682B" w:rsidRDefault="0072682B">
      <w:pPr>
        <w:jc w:val="both"/>
      </w:pPr>
    </w:p>
    <w:p w14:paraId="4CDB508E" w14:textId="09D48247" w:rsidR="0072682B" w:rsidRDefault="30259B99">
      <w:pPr>
        <w:jc w:val="both"/>
        <w:rPr>
          <w:b/>
          <w:bCs/>
        </w:rPr>
      </w:pPr>
      <w:r>
        <w:t>– Obsługa AED jest prosta i nie wymaga wykształcenia medycznego. Po uruchomieniu urządzenie krok po kroku wydaje jasne komunikaty głosowe, które prowadzą przez cały proces ratunkowy. Defibrylator samodzielnie analizuje rytm serca i wyładowuje impuls tylko wtedy, gdy jest to medycznie uzasadnione, co wyklucza ryzyko wyrządzenia krzywdy poszkodowanemu</w:t>
      </w:r>
      <w:r w:rsidRPr="11D6A7D0">
        <w:rPr>
          <w:b/>
          <w:bCs/>
        </w:rPr>
        <w:t xml:space="preserve"> – wyjaśnia </w:t>
      </w:r>
      <w:r w:rsidR="46F948DD" w:rsidRPr="11D6A7D0">
        <w:rPr>
          <w:b/>
          <w:bCs/>
        </w:rPr>
        <w:t xml:space="preserve">Maciej Ziętkiewicz, </w:t>
      </w:r>
      <w:r w:rsidRPr="11D6A7D0">
        <w:rPr>
          <w:b/>
          <w:bCs/>
        </w:rPr>
        <w:t xml:space="preserve">Ekspert HelpMed.  </w:t>
      </w:r>
    </w:p>
    <w:p w14:paraId="14AE2CDB" w14:textId="77777777" w:rsidR="0072682B" w:rsidRDefault="0072682B">
      <w:pPr>
        <w:jc w:val="both"/>
        <w:rPr>
          <w:b/>
          <w:bCs/>
        </w:rPr>
      </w:pPr>
    </w:p>
    <w:p w14:paraId="78FB9C28" w14:textId="77777777" w:rsidR="0072682B" w:rsidRDefault="00A11449">
      <w:pPr>
        <w:jc w:val="both"/>
      </w:pPr>
      <w:r>
        <w:t>Grupa Bemo konsekwentnie angażuje się w inicjatywy związane z bezpieczeństwem. W ostatnim czasie współtworzyła kampanię społeczną „To nie był wypadek. To była decyzja”, zwracającą uwagę na problem prowadzenia pojazdów pod wpływem alkoholu, a także realizowała Akademię Bezpiecznej Jazdy, rozwijającą praktyczne umiejętności kierowców. Montaż defibrylatorów AED to kolejny krok w tym kierunku, który rozszerza działania Grupy Bemo poza bezpieczeństwo na drodze – także na miejsca, w których na co dzień obecni są jej klienci, pracownicy i lokalne społeczności.</w:t>
      </w:r>
    </w:p>
    <w:p w14:paraId="67A29920" w14:textId="77777777" w:rsidR="0072682B" w:rsidRDefault="0072682B">
      <w:pPr>
        <w:jc w:val="both"/>
        <w:rPr>
          <w:b/>
          <w:bCs/>
        </w:rPr>
      </w:pPr>
    </w:p>
    <w:p w14:paraId="77BB2E2A" w14:textId="0A03ADDF" w:rsidR="0072682B" w:rsidRDefault="073A0B78">
      <w:pPr>
        <w:jc w:val="both"/>
      </w:pPr>
      <w:r>
        <w:t>Montaż defibrylatorów to inwestycja Grupy Bemo poczyniona we współpracy z partnerami w zakresie ubezpiecze</w:t>
      </w:r>
      <w:r w:rsidR="00FD5C7B">
        <w:t>ń</w:t>
      </w:r>
      <w:r>
        <w:t xml:space="preserve"> i finansowa</w:t>
      </w:r>
      <w:r w:rsidR="00FD5C7B">
        <w:t>ń</w:t>
      </w:r>
      <w:r>
        <w:t>, z którymi na co dzie</w:t>
      </w:r>
      <w:r w:rsidR="00FD5C7B">
        <w:t>ń</w:t>
      </w:r>
      <w:r>
        <w:t xml:space="preserve"> pracuje firma: PZU, Warta, Generalli i Benefia.</w:t>
      </w:r>
    </w:p>
    <w:p w14:paraId="63D93E5C" w14:textId="7378370C" w:rsidR="0072682B" w:rsidRDefault="0072682B">
      <w:pPr>
        <w:jc w:val="both"/>
        <w:rPr>
          <w:b/>
          <w:bCs/>
        </w:rPr>
      </w:pPr>
    </w:p>
    <w:p w14:paraId="203A322E" w14:textId="77777777" w:rsidR="0072682B" w:rsidRDefault="0072682B">
      <w:pPr>
        <w:jc w:val="both"/>
        <w:rPr>
          <w:b/>
          <w:bCs/>
        </w:rPr>
      </w:pPr>
    </w:p>
    <w:p w14:paraId="73A3D19E" w14:textId="77777777" w:rsidR="0072682B" w:rsidRDefault="0072682B">
      <w:pPr>
        <w:jc w:val="both"/>
        <w:rPr>
          <w:b/>
          <w:bCs/>
        </w:rPr>
      </w:pPr>
    </w:p>
    <w:p w14:paraId="6EADA277" w14:textId="77777777" w:rsidR="0072682B" w:rsidRDefault="0072682B"/>
    <w:p w14:paraId="163EAA0A" w14:textId="77777777" w:rsidR="0072682B" w:rsidRDefault="0072682B"/>
    <w:tbl>
      <w:tblPr>
        <w:tblStyle w:val="a8"/>
        <w:tblW w:w="4388" w:type="dxa"/>
        <w:tblInd w:w="6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88"/>
      </w:tblGrid>
      <w:tr w:rsidR="0072682B" w14:paraId="3DEF94EF" w14:textId="77777777">
        <w:tc>
          <w:tcPr>
            <w:tcW w:w="4388" w:type="dxa"/>
            <w:tcBorders>
              <w:top w:val="nil"/>
              <w:left w:val="single" w:sz="12" w:space="0" w:color="E20613"/>
              <w:bottom w:val="nil"/>
              <w:right w:val="nil"/>
            </w:tcBorders>
          </w:tcPr>
          <w:p w14:paraId="7D0E1061" w14:textId="77777777" w:rsidR="0072682B" w:rsidRDefault="00A11449">
            <w:pPr>
              <w:widowControl w:val="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Kontakt dla mediów</w:t>
            </w:r>
          </w:p>
          <w:p w14:paraId="1F9755C5" w14:textId="77777777" w:rsidR="0072682B" w:rsidRDefault="0072682B">
            <w:pPr>
              <w:widowControl w:val="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0BC23C37" w14:textId="77777777" w:rsidR="0072682B" w:rsidRDefault="00A11449">
            <w:pPr>
              <w:widowControl w:val="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Ilona Rutkowska</w:t>
            </w:r>
          </w:p>
          <w:p w14:paraId="358CAEB2" w14:textId="77777777" w:rsidR="0072682B" w:rsidRDefault="00A11449">
            <w:pPr>
              <w:widowControl w:val="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+48 796 996 259</w:t>
            </w:r>
          </w:p>
          <w:p w14:paraId="7116BCA6" w14:textId="77777777" w:rsidR="0072682B" w:rsidRDefault="00A11449">
            <w:pPr>
              <w:widowControl w:val="0"/>
              <w:rPr>
                <w:rFonts w:ascii="Calibri" w:eastAsia="Calibri" w:hAnsi="Calibri" w:cs="Calibri"/>
                <w:sz w:val="16"/>
                <w:szCs w:val="16"/>
              </w:rPr>
            </w:pPr>
            <w:hyperlink r:id="rId7">
              <w:r>
                <w:rPr>
                  <w:rFonts w:ascii="Calibri" w:eastAsia="Calibri" w:hAnsi="Calibri" w:cs="Calibri"/>
                  <w:color w:val="1155CC"/>
                  <w:sz w:val="16"/>
                  <w:szCs w:val="16"/>
                  <w:u w:val="single"/>
                </w:rPr>
                <w:t>ilona.rutkowska@goodonepr.pl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10503248" w14:textId="77777777" w:rsidR="0072682B" w:rsidRDefault="0072682B">
            <w:pPr>
              <w:widowControl w:val="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6FA59EF0" w14:textId="77777777" w:rsidR="0072682B" w:rsidRDefault="00A11449">
            <w:pPr>
              <w:widowControl w:val="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Kacper Ciok </w:t>
            </w:r>
          </w:p>
          <w:p w14:paraId="3FCF5287" w14:textId="77777777" w:rsidR="0072682B" w:rsidRDefault="00A11449">
            <w:pPr>
              <w:widowControl w:val="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+48 796 996 918</w:t>
            </w:r>
          </w:p>
          <w:p w14:paraId="0F9DC9E8" w14:textId="77777777" w:rsidR="0072682B" w:rsidRDefault="00A11449">
            <w:pPr>
              <w:widowControl w:val="0"/>
              <w:rPr>
                <w:sz w:val="18"/>
                <w:szCs w:val="18"/>
              </w:rPr>
            </w:pPr>
            <w:hyperlink r:id="rId8">
              <w:r>
                <w:rPr>
                  <w:rFonts w:ascii="Calibri" w:eastAsia="Calibri" w:hAnsi="Calibri" w:cs="Calibri"/>
                  <w:color w:val="1155CC"/>
                  <w:sz w:val="16"/>
                  <w:szCs w:val="16"/>
                  <w:u w:val="single"/>
                </w:rPr>
                <w:t>kacper.ciok@goodonepr.pl</w:t>
              </w:r>
            </w:hyperlink>
          </w:p>
          <w:p w14:paraId="335779FC" w14:textId="77777777" w:rsidR="0072682B" w:rsidRDefault="0072682B">
            <w:pPr>
              <w:widowControl w:val="0"/>
              <w:jc w:val="right"/>
              <w:rPr>
                <w:sz w:val="20"/>
                <w:szCs w:val="20"/>
              </w:rPr>
            </w:pPr>
          </w:p>
        </w:tc>
      </w:tr>
    </w:tbl>
    <w:p w14:paraId="2B316D3E" w14:textId="77777777" w:rsidR="0072682B" w:rsidRDefault="0072682B"/>
    <w:p w14:paraId="2238A3E4" w14:textId="77777777" w:rsidR="0072682B" w:rsidRDefault="0072682B"/>
    <w:p w14:paraId="6386118D" w14:textId="77777777" w:rsidR="0072682B" w:rsidRDefault="00A11449">
      <w:pPr>
        <w:jc w:val="both"/>
        <w:rPr>
          <w:sz w:val="14"/>
          <w:szCs w:val="14"/>
        </w:rPr>
      </w:pPr>
      <w:r>
        <w:rPr>
          <w:sz w:val="14"/>
          <w:szCs w:val="14"/>
        </w:rPr>
        <w:t>Grupa Bemo to jedna z największych grup dealerskich w Polsce. W jej skład wchodzą autoryzowane salony sprzedaży samochodów oraz nowoczesne serwisy mechaniczne i blacharsko-lakiernicze marek: Alfa Romeo, Changan, Chery, Citroën, DS Automobiles, Fiat, Ford, Hyundai, JAC, Omoda&amp;Jaecoo, Jeep, Mazda, Mercedes-Benz, MG, Opel, Peugeot i Volvo.</w:t>
      </w:r>
    </w:p>
    <w:p w14:paraId="295C290A" w14:textId="77777777" w:rsidR="0072682B" w:rsidRDefault="0072682B">
      <w:pPr>
        <w:jc w:val="both"/>
        <w:rPr>
          <w:sz w:val="14"/>
          <w:szCs w:val="14"/>
        </w:rPr>
      </w:pPr>
    </w:p>
    <w:p w14:paraId="4F9F1DCD" w14:textId="77777777" w:rsidR="0072682B" w:rsidRDefault="00A11449">
      <w:pPr>
        <w:jc w:val="both"/>
        <w:rPr>
          <w:sz w:val="14"/>
          <w:szCs w:val="14"/>
        </w:rPr>
      </w:pPr>
      <w:r>
        <w:rPr>
          <w:sz w:val="14"/>
          <w:szCs w:val="14"/>
        </w:rPr>
        <w:t>Grupa posiada swoje obiekty w Warszawie, Poznaniu, Szczecinie, Koszalinie, Łodzi i Rzeszowie oraz w miejscowościach zlokalizowanych w obrębie tych aglomeracji. Rozwija również własne projekty związane z szeroko pojętą mobilnością, w tym sieć sprzedaży pojazdów używanych GB Samochody Używane, spółkę GB Rent specjalizującą się w wynajmie samochodów oraz Auto Galerię, zajmującą się projektowaniem, wykonywaniem i montażem specjalistycznych zabudów do samochodów osobowych i dostawczych.</w:t>
      </w:r>
    </w:p>
    <w:sectPr w:rsidR="0072682B">
      <w:headerReference w:type="default" r:id="rId9"/>
      <w:footerReference w:type="default" r:id="rId10"/>
      <w:headerReference w:type="first" r:id="rId11"/>
      <w:footerReference w:type="first" r:id="rId12"/>
      <w:pgSz w:w="11909" w:h="16834"/>
      <w:pgMar w:top="1133" w:right="1133" w:bottom="1133" w:left="1133" w:header="566" w:footer="28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52C40" w14:textId="77777777" w:rsidR="00024EAD" w:rsidRDefault="00024EAD">
      <w:pPr>
        <w:spacing w:line="240" w:lineRule="auto"/>
      </w:pPr>
      <w:r>
        <w:separator/>
      </w:r>
    </w:p>
  </w:endnote>
  <w:endnote w:type="continuationSeparator" w:id="0">
    <w:p w14:paraId="7A08775A" w14:textId="77777777" w:rsidR="00024EAD" w:rsidRDefault="00024E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EE"/>
    <w:family w:val="auto"/>
    <w:pitch w:val="variable"/>
    <w:sig w:usb0="2000020F" w:usb1="00000003" w:usb2="00000000" w:usb3="00000000" w:csb0="00000197" w:csb1="00000000"/>
    <w:embedRegular r:id="rId1" w:fontKey="{0B016C1C-66CF-4B44-8E60-30A35546D5EC}"/>
    <w:embedBold r:id="rId2" w:fontKey="{F3E14E50-F4C2-4BCD-BA88-766C212E27EA}"/>
    <w:embedItalic r:id="rId3" w:fontKey="{ED6E30FE-882E-463D-943D-EEC80C0197A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086373DD-3AC5-47A4-A88C-07D57E434C47}"/>
    <w:embedBold r:id="rId5" w:fontKey="{C842ABC7-3F5A-47FA-BD3F-B6F00890E5A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419C5ED9-5AC2-4206-AA29-C7D5F673225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2B50C" w14:textId="77777777" w:rsidR="0072682B" w:rsidRDefault="0072682B">
    <w:pPr>
      <w:widowControl w:val="0"/>
      <w:pBdr>
        <w:top w:val="nil"/>
        <w:left w:val="nil"/>
        <w:bottom w:val="nil"/>
        <w:right w:val="nil"/>
        <w:between w:val="nil"/>
      </w:pBdr>
    </w:pPr>
  </w:p>
  <w:tbl>
    <w:tblPr>
      <w:tblStyle w:val="aa"/>
      <w:tblW w:w="9630" w:type="dxa"/>
      <w:tblInd w:w="0" w:type="dxa"/>
      <w:tblLayout w:type="fixed"/>
      <w:tblLook w:val="0600" w:firstRow="0" w:lastRow="0" w:firstColumn="0" w:lastColumn="0" w:noHBand="1" w:noVBand="1"/>
    </w:tblPr>
    <w:tblGrid>
      <w:gridCol w:w="3210"/>
      <w:gridCol w:w="3210"/>
      <w:gridCol w:w="3210"/>
    </w:tblGrid>
    <w:tr w:rsidR="0072682B" w14:paraId="43F751EB" w14:textId="77777777">
      <w:trPr>
        <w:trHeight w:val="300"/>
      </w:trPr>
      <w:tc>
        <w:tcPr>
          <w:tcW w:w="3210" w:type="dxa"/>
        </w:tcPr>
        <w:p w14:paraId="0E18651B" w14:textId="77777777" w:rsidR="0072682B" w:rsidRDefault="0072682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-115"/>
            <w:rPr>
              <w:color w:val="000000"/>
            </w:rPr>
          </w:pPr>
        </w:p>
      </w:tc>
      <w:tc>
        <w:tcPr>
          <w:tcW w:w="3210" w:type="dxa"/>
        </w:tcPr>
        <w:p w14:paraId="58EB64D2" w14:textId="77777777" w:rsidR="0072682B" w:rsidRDefault="0072682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jc w:val="center"/>
            <w:rPr>
              <w:color w:val="000000"/>
            </w:rPr>
          </w:pPr>
        </w:p>
      </w:tc>
      <w:tc>
        <w:tcPr>
          <w:tcW w:w="3210" w:type="dxa"/>
        </w:tcPr>
        <w:p w14:paraId="5987A5FA" w14:textId="77777777" w:rsidR="0072682B" w:rsidRDefault="0072682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right="-115"/>
            <w:jc w:val="right"/>
            <w:rPr>
              <w:color w:val="000000"/>
            </w:rPr>
          </w:pPr>
        </w:p>
      </w:tc>
    </w:tr>
  </w:tbl>
  <w:p w14:paraId="020E8602" w14:textId="77777777" w:rsidR="0072682B" w:rsidRDefault="0072682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6BF13" w14:textId="77777777" w:rsidR="0072682B" w:rsidRDefault="0072682B"/>
  <w:p w14:paraId="6ADD0D59" w14:textId="77777777" w:rsidR="0072682B" w:rsidRDefault="00A11449">
    <w:pPr>
      <w:tabs>
        <w:tab w:val="left" w:pos="2655"/>
      </w:tabs>
    </w:pPr>
    <w:bookmarkStart w:id="1" w:name="_heading=h.qvm2akps8we" w:colFirst="0" w:colLast="0"/>
    <w:bookmarkEnd w:id="1"/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069EF" w14:textId="77777777" w:rsidR="00024EAD" w:rsidRDefault="00024EAD">
      <w:pPr>
        <w:spacing w:line="240" w:lineRule="auto"/>
      </w:pPr>
      <w:r>
        <w:separator/>
      </w:r>
    </w:p>
  </w:footnote>
  <w:footnote w:type="continuationSeparator" w:id="0">
    <w:p w14:paraId="3A1C43AA" w14:textId="77777777" w:rsidR="00024EAD" w:rsidRDefault="00024EAD">
      <w:pPr>
        <w:spacing w:line="240" w:lineRule="auto"/>
      </w:pPr>
      <w:r>
        <w:continuationSeparator/>
      </w:r>
    </w:p>
  </w:footnote>
  <w:footnote w:id="1">
    <w:p w14:paraId="5EB9766A" w14:textId="77777777" w:rsidR="0072682B" w:rsidRDefault="00A114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i/>
          <w:iCs/>
          <w:color w:val="000000"/>
          <w:sz w:val="16"/>
          <w:szCs w:val="16"/>
        </w:rPr>
        <w:t>Źródło: Polska Rada Resuscytacji, Wytyczne Resuscytacji 2021, Rozdział 1 i 2, s. 11, 21 (</w:t>
      </w:r>
      <w:hyperlink r:id="rId1">
        <w:r>
          <w:rPr>
            <w:i/>
            <w:iCs/>
            <w:color w:val="0000FF"/>
            <w:sz w:val="16"/>
            <w:szCs w:val="16"/>
            <w:u w:val="single"/>
          </w:rPr>
          <w:t>https://prr.org.pl/wytyczne/</w:t>
        </w:r>
      </w:hyperlink>
      <w:r>
        <w:rPr>
          <w:i/>
          <w:iCs/>
          <w:color w:val="000000"/>
          <w:sz w:val="16"/>
          <w:szCs w:val="16"/>
        </w:rPr>
        <w:t>), [Ostatni dostęp: 09.09.2026 r.].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52ECB" w14:textId="77777777" w:rsidR="0072682B" w:rsidRDefault="00A1144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  <w:color w:val="000000"/>
        <w:sz w:val="14"/>
        <w:szCs w:val="14"/>
      </w:rPr>
      <w:drawing>
        <wp:anchor distT="0" distB="0" distL="114300" distR="114300" simplePos="0" relativeHeight="251658240" behindDoc="0" locked="0" layoutInCell="1" hidden="0" allowOverlap="1" wp14:anchorId="07B7C159" wp14:editId="2F811B45">
          <wp:simplePos x="0" y="0"/>
          <wp:positionH relativeFrom="margin">
            <wp:align>left</wp:align>
          </wp:positionH>
          <wp:positionV relativeFrom="topMargin">
            <wp:posOffset>328930</wp:posOffset>
          </wp:positionV>
          <wp:extent cx="1304925" cy="466725"/>
          <wp:effectExtent l="0" t="0" r="0" b="0"/>
          <wp:wrapSquare wrapText="bothSides" distT="0" distB="0" distL="114300" distR="114300"/>
          <wp:docPr id="607111596" name="image2.png" descr="Obraz zawierający Czcionka, tekst, Grafika, logo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Obraz zawierający Czcionka, tekst, Grafika, logo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4925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887E8" w14:textId="77777777" w:rsidR="0072682B" w:rsidRDefault="00A11449">
    <w:r>
      <w:rPr>
        <w:noProof/>
        <w:sz w:val="14"/>
        <w:szCs w:val="14"/>
      </w:rPr>
      <w:drawing>
        <wp:anchor distT="0" distB="0" distL="114300" distR="114300" simplePos="0" relativeHeight="251659264" behindDoc="0" locked="0" layoutInCell="1" hidden="0" allowOverlap="1" wp14:anchorId="06FFF8CB" wp14:editId="24F8253E">
          <wp:simplePos x="0" y="0"/>
          <wp:positionH relativeFrom="margin">
            <wp:posOffset>49530</wp:posOffset>
          </wp:positionH>
          <wp:positionV relativeFrom="topMargin">
            <wp:align>bottom</wp:align>
          </wp:positionV>
          <wp:extent cx="1166495" cy="466725"/>
          <wp:effectExtent l="0" t="0" r="0" b="0"/>
          <wp:wrapSquare wrapText="bothSides" distT="0" distB="0" distL="114300" distR="114300"/>
          <wp:docPr id="60711159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6495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9"/>
      <w:tblW w:w="9797" w:type="dxa"/>
      <w:tblInd w:w="592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663"/>
      <w:gridCol w:w="3134"/>
    </w:tblGrid>
    <w:tr w:rsidR="0072682B" w14:paraId="0941AF1C" w14:textId="77777777">
      <w:trPr>
        <w:trHeight w:val="343"/>
      </w:trPr>
      <w:tc>
        <w:tcPr>
          <w:tcW w:w="6663" w:type="dxa"/>
          <w:tcBorders>
            <w:top w:val="nil"/>
            <w:left w:val="nil"/>
            <w:bottom w:val="nil"/>
            <w:right w:val="single" w:sz="12" w:space="0" w:color="E20613"/>
          </w:tcBorders>
          <w:tcMar>
            <w:top w:w="43" w:type="dxa"/>
            <w:left w:w="43" w:type="dxa"/>
            <w:bottom w:w="43" w:type="dxa"/>
            <w:right w:w="43" w:type="dxa"/>
          </w:tcMar>
          <w:vAlign w:val="center"/>
        </w:tcPr>
        <w:p w14:paraId="18928EBE" w14:textId="77777777" w:rsidR="0072682B" w:rsidRDefault="00A11449">
          <w:pPr>
            <w:widowControl w:val="0"/>
            <w:tabs>
              <w:tab w:val="left" w:pos="4500"/>
            </w:tabs>
            <w:spacing w:line="240" w:lineRule="auto"/>
            <w:ind w:right="-4839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</w:t>
          </w:r>
        </w:p>
      </w:tc>
      <w:tc>
        <w:tcPr>
          <w:tcW w:w="3134" w:type="dxa"/>
          <w:tcBorders>
            <w:top w:val="nil"/>
            <w:left w:val="single" w:sz="12" w:space="0" w:color="E20613"/>
            <w:bottom w:val="nil"/>
            <w:right w:val="nil"/>
          </w:tcBorders>
          <w:tcMar>
            <w:top w:w="43" w:type="dxa"/>
            <w:left w:w="43" w:type="dxa"/>
            <w:bottom w:w="43" w:type="dxa"/>
            <w:right w:w="43" w:type="dxa"/>
          </w:tcMar>
          <w:vAlign w:val="center"/>
        </w:tcPr>
        <w:p w14:paraId="497ADB73" w14:textId="39130378" w:rsidR="0072682B" w:rsidRDefault="00A11449">
          <w:pPr>
            <w:widowControl w:val="0"/>
            <w:spacing w:line="24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 </w:t>
          </w:r>
          <w:r w:rsidR="00FD5C7B">
            <w:rPr>
              <w:sz w:val="20"/>
              <w:szCs w:val="20"/>
            </w:rPr>
            <w:t>23</w:t>
          </w:r>
          <w:r>
            <w:rPr>
              <w:sz w:val="20"/>
              <w:szCs w:val="20"/>
            </w:rPr>
            <w:t>.09.2026</w:t>
          </w:r>
        </w:p>
      </w:tc>
    </w:tr>
  </w:tbl>
  <w:p w14:paraId="37E780F7" w14:textId="77777777" w:rsidR="0072682B" w:rsidRDefault="0072682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82B"/>
    <w:rsid w:val="00024EAD"/>
    <w:rsid w:val="0066A49F"/>
    <w:rsid w:val="00684C54"/>
    <w:rsid w:val="0072682B"/>
    <w:rsid w:val="009B0133"/>
    <w:rsid w:val="00A11449"/>
    <w:rsid w:val="00F708C8"/>
    <w:rsid w:val="00FD5C7B"/>
    <w:rsid w:val="073A0B78"/>
    <w:rsid w:val="09DFABD5"/>
    <w:rsid w:val="11D6A7D0"/>
    <w:rsid w:val="15C4771E"/>
    <w:rsid w:val="1BFC5A6F"/>
    <w:rsid w:val="21BC3F7E"/>
    <w:rsid w:val="2414EBC3"/>
    <w:rsid w:val="293D19BB"/>
    <w:rsid w:val="2A702C0B"/>
    <w:rsid w:val="30259B99"/>
    <w:rsid w:val="46F948DD"/>
    <w:rsid w:val="4F90BA09"/>
    <w:rsid w:val="4FA773CD"/>
    <w:rsid w:val="52C48196"/>
    <w:rsid w:val="62905232"/>
    <w:rsid w:val="6EB7E16C"/>
    <w:rsid w:val="75E5A3CD"/>
    <w:rsid w:val="794885EE"/>
    <w:rsid w:val="7CE58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4373C"/>
  <w15:docId w15:val="{50F53728-0974-430C-BD43-147D28A4E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Montserrat" w:hAnsi="Montserrat" w:cs="Montserrat"/>
        <w:sz w:val="22"/>
        <w:szCs w:val="22"/>
        <w:lang w:val="pl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gwek">
    <w:name w:val="header"/>
    <w:link w:val="NagwekZnak"/>
    <w:uiPriority w:val="99"/>
    <w:unhideWhenUsed/>
    <w:rsid w:val="00DD27B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7B1"/>
  </w:style>
  <w:style w:type="paragraph" w:styleId="Stopka">
    <w:name w:val="footer"/>
    <w:link w:val="StopkaZnak"/>
    <w:uiPriority w:val="99"/>
    <w:unhideWhenUsed/>
    <w:rsid w:val="00DD27B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7B1"/>
  </w:style>
  <w:style w:type="table" w:styleId="Tabela-Siatka">
    <w:name w:val="Table Grid"/>
    <w:basedOn w:val="Standardowy"/>
    <w:uiPriority w:val="39"/>
    <w:rsid w:val="00C458A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uiPriority w:val="34"/>
    <w:qFormat/>
    <w:rsid w:val="00C458A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458A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58A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34102"/>
    <w:pPr>
      <w:spacing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34102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4341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41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41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4102"/>
    <w:rPr>
      <w:b/>
      <w:bCs/>
      <w:sz w:val="20"/>
      <w:szCs w:val="20"/>
    </w:r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przypisudolnego">
    <w:name w:val="footnote text"/>
    <w:link w:val="TekstprzypisudolnegoZnak"/>
    <w:uiPriority w:val="99"/>
    <w:semiHidden/>
    <w:unhideWhenUsed/>
    <w:rsid w:val="00C649AE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49A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49AE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C649AE"/>
    <w:rPr>
      <w:color w:val="800080" w:themeColor="followedHyperlink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</w:pPr>
    <w:rPr>
      <w:sz w:val="18"/>
      <w:szCs w:val="18"/>
    </w:r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cper.ciok@goodonepr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lona.rutkowska@goodonepr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ogle.com/search?q=https://prr.org.pl/wytyczn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rZ1bphy0/LhuRZZnfyEqtHi8VA==">CgMxLjAyDWguZm5kYm5vMmcydmQyDWgucXZtMmFrcHM4d2U4AHIhMUpfb2Zzb2NLNWFXRnRyNTBEcjR6elIzZG1wTjdUbU1w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654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Kacper</dc:creator>
  <cp:lastModifiedBy>Kacper</cp:lastModifiedBy>
  <cp:revision>4</cp:revision>
  <dcterms:created xsi:type="dcterms:W3CDTF">2026-09-15T12:14:00Z</dcterms:created>
  <dcterms:modified xsi:type="dcterms:W3CDTF">2026-09-22T13:35:00Z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0x01010068D5CA9819A71D49BED685B9B0202CE7</vt:lpwstr>
  </property>
  <property fmtid="{D5CDD505-2E9C-101B-9397-08002B2CF9AE}" pid="3" name="MediaServiceImageTags">
    <vt:lpwstr/>
  </property>
</Properties>
</file>