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1B4CD" w14:textId="77777777" w:rsidR="00AF6E2C" w:rsidRDefault="00AF6E2C">
      <w:pPr>
        <w:rPr>
          <w:rFonts w:ascii="Aptos" w:eastAsia="Aptos" w:hAnsi="Aptos" w:cs="Aptos"/>
        </w:rPr>
      </w:pPr>
    </w:p>
    <w:p w14:paraId="1171FC4F" w14:textId="77777777" w:rsidR="00AF6E2C" w:rsidRDefault="00000000">
      <w:pPr>
        <w:rPr>
          <w:rFonts w:ascii="Aptos" w:eastAsia="Aptos" w:hAnsi="Aptos" w:cs="Aptos"/>
        </w:rPr>
      </w:pPr>
      <w:r>
        <w:rPr>
          <w:rFonts w:ascii="Aptos" w:eastAsia="Aptos" w:hAnsi="Aptos" w:cs="Aptos"/>
        </w:rPr>
        <w:t>INFORMACJA PRASOWA</w:t>
      </w:r>
    </w:p>
    <w:p w14:paraId="5CE92263" w14:textId="7E9D763F" w:rsidR="00AF6E2C" w:rsidRDefault="00000000">
      <w:pPr>
        <w:jc w:val="right"/>
        <w:rPr>
          <w:rFonts w:ascii="Aptos" w:eastAsia="Aptos" w:hAnsi="Aptos" w:cs="Aptos"/>
        </w:rPr>
      </w:pPr>
      <w:r>
        <w:rPr>
          <w:rFonts w:ascii="Aptos" w:eastAsia="Aptos" w:hAnsi="Aptos" w:cs="Aptos"/>
        </w:rPr>
        <w:t xml:space="preserve">Warszawa, </w:t>
      </w:r>
      <w:r w:rsidRPr="00D66E16">
        <w:rPr>
          <w:rFonts w:ascii="Aptos" w:eastAsia="Aptos" w:hAnsi="Aptos" w:cs="Aptos"/>
        </w:rPr>
        <w:t>2</w:t>
      </w:r>
      <w:r w:rsidR="00F001CF" w:rsidRPr="00D66E16">
        <w:rPr>
          <w:rFonts w:ascii="Aptos" w:eastAsia="Aptos" w:hAnsi="Aptos" w:cs="Aptos"/>
        </w:rPr>
        <w:t>2</w:t>
      </w:r>
      <w:r w:rsidRPr="00D66E16">
        <w:rPr>
          <w:rFonts w:ascii="Aptos" w:eastAsia="Aptos" w:hAnsi="Aptos" w:cs="Aptos"/>
        </w:rPr>
        <w:t xml:space="preserve"> września 2026 r.</w:t>
      </w:r>
    </w:p>
    <w:p w14:paraId="76D918F0" w14:textId="77777777" w:rsidR="00AF6E2C" w:rsidRDefault="00AF6E2C">
      <w:pPr>
        <w:jc w:val="right"/>
        <w:rPr>
          <w:rFonts w:ascii="Aptos" w:eastAsia="Aptos" w:hAnsi="Aptos" w:cs="Aptos"/>
          <w:sz w:val="10"/>
          <w:szCs w:val="10"/>
        </w:rPr>
      </w:pPr>
    </w:p>
    <w:p w14:paraId="019E9B63" w14:textId="77777777" w:rsidR="00AF6E2C" w:rsidRDefault="00000000">
      <w:pPr>
        <w:spacing w:line="276" w:lineRule="auto"/>
        <w:jc w:val="center"/>
        <w:rPr>
          <w:rFonts w:ascii="Aptos" w:eastAsia="Aptos" w:hAnsi="Aptos" w:cs="Aptos"/>
          <w:b/>
          <w:bCs/>
          <w:sz w:val="28"/>
          <w:szCs w:val="28"/>
        </w:rPr>
      </w:pPr>
      <w:r>
        <w:rPr>
          <w:rFonts w:ascii="Aptos" w:eastAsia="Aptos" w:hAnsi="Aptos" w:cs="Aptos"/>
          <w:b/>
          <w:bCs/>
          <w:sz w:val="28"/>
          <w:szCs w:val="28"/>
        </w:rPr>
        <w:t>Jak chronić siebie i bliskich przed Podszywaczem? BLIK rozwija kampanię edukacyjną</w:t>
      </w:r>
    </w:p>
    <w:p w14:paraId="3CBBE388" w14:textId="77777777" w:rsidR="00AF6E2C" w:rsidRDefault="00000000">
      <w:pPr>
        <w:spacing w:line="276" w:lineRule="auto"/>
        <w:jc w:val="both"/>
        <w:rPr>
          <w:rFonts w:ascii="Aptos" w:eastAsia="Aptos" w:hAnsi="Aptos" w:cs="Aptos"/>
          <w:b/>
          <w:bCs/>
        </w:rPr>
      </w:pPr>
      <w:r>
        <w:rPr>
          <w:rFonts w:ascii="Aptos" w:eastAsia="Aptos" w:hAnsi="Aptos" w:cs="Aptos"/>
          <w:b/>
          <w:bCs/>
        </w:rPr>
        <w:t>BLIK rusza z drugim etapem kampanii edukacyjnej „Metoda na Podszywacza”, który koncentruje się na tym, co może zrobić sam użytkownik, aby przerwać schemat działań Podszywaczy i lepiej chronić siebie oraz swoich bliskich. W nowych materiałach edukacyjnych przygotowanych z udziałem znanych twórców i osób publicznych BLIK przybliża wiedzę na temat podstawowych narzędzi i metod przeciwdziałania atakom oszustów. Kampania została objęta patronatem honorowym Urzędu Ochrony Konkurencji i Konsumentów. Partnerem kampanii jest Meta, a partnerem wspierającym Fundacja Uniwersytet Dzieci.</w:t>
      </w:r>
    </w:p>
    <w:p w14:paraId="0F14A596" w14:textId="77777777" w:rsidR="00AF6E2C" w:rsidRDefault="00000000">
      <w:pPr>
        <w:spacing w:line="276" w:lineRule="auto"/>
        <w:jc w:val="both"/>
        <w:rPr>
          <w:rFonts w:ascii="Aptos" w:eastAsia="Aptos" w:hAnsi="Aptos" w:cs="Aptos"/>
          <w:b/>
          <w:bCs/>
        </w:rPr>
      </w:pPr>
      <w:r>
        <w:rPr>
          <w:rFonts w:ascii="Aptos" w:eastAsia="Aptos" w:hAnsi="Aptos" w:cs="Aptos"/>
          <w:b/>
          <w:bCs/>
        </w:rPr>
        <w:t>Metoda na Podszywacza – tym razem po stronie użytkownika</w:t>
      </w:r>
    </w:p>
    <w:p w14:paraId="26212DE1" w14:textId="77777777" w:rsidR="00AF6E2C" w:rsidRDefault="00000000">
      <w:pPr>
        <w:spacing w:line="276" w:lineRule="auto"/>
        <w:jc w:val="both"/>
        <w:rPr>
          <w:rFonts w:ascii="Aptos" w:eastAsia="Aptos" w:hAnsi="Aptos" w:cs="Aptos"/>
        </w:rPr>
      </w:pPr>
      <w:r>
        <w:rPr>
          <w:rFonts w:ascii="Aptos" w:eastAsia="Aptos" w:hAnsi="Aptos" w:cs="Aptos"/>
        </w:rPr>
        <w:t>Druga odsłona kampanii #StopPodszywaczom skupia się na narzędziach, które użytkownicy internetu – a więc osoby, które są narażone na ataki Podszywaczy – mają do dyspozycji, by powstrzymać działania oszustów. Pokazuje, co zrobić, żeby utrudnić przejęcie profilu, a także jak zareagować, gdy wiadomość od znajomego wzbudza podejrzenia.</w:t>
      </w:r>
    </w:p>
    <w:p w14:paraId="61E9E807" w14:textId="77777777" w:rsidR="00AF6E2C" w:rsidRDefault="00000000">
      <w:pPr>
        <w:spacing w:line="276" w:lineRule="auto"/>
        <w:jc w:val="both"/>
        <w:rPr>
          <w:rFonts w:ascii="Aptos" w:eastAsia="Aptos" w:hAnsi="Aptos" w:cs="Aptos"/>
        </w:rPr>
      </w:pPr>
      <w:r>
        <w:rPr>
          <w:rFonts w:ascii="Aptos" w:eastAsia="Aptos" w:hAnsi="Aptos" w:cs="Aptos"/>
        </w:rPr>
        <w:t xml:space="preserve">– </w:t>
      </w:r>
      <w:r>
        <w:rPr>
          <w:rFonts w:ascii="Aptos" w:eastAsia="Aptos" w:hAnsi="Aptos" w:cs="Aptos"/>
          <w:i/>
          <w:iCs/>
        </w:rPr>
        <w:t>Od samego startu tego projektu skupiamy się na źródle problemu, czyli przejęciu konta i manipulacjach, które oszuści stosują, by ostatecznie wyłudzić pieniądze. W drugim etapie chcemy pokazać, co każdy z nas może zrobić, żeby lepiej zabezpieczyć swoje konto, albo odpowiednio zareagować na podejrzaną wiadomość. W gronie patronów i partnerów kampanii znalazły się podmioty, z którymi dzielimy ten sam cel: chcemy zwiększać świadomość zagrożeń i utrwalać dobre nawyki, które powstrzymają działania Podszywaczy</w:t>
      </w:r>
      <w:r>
        <w:rPr>
          <w:rFonts w:ascii="Aptos" w:eastAsia="Aptos" w:hAnsi="Aptos" w:cs="Aptos"/>
        </w:rPr>
        <w:t xml:space="preserve"> – mówi </w:t>
      </w:r>
      <w:r>
        <w:rPr>
          <w:rFonts w:ascii="Aptos" w:eastAsia="Aptos" w:hAnsi="Aptos" w:cs="Aptos"/>
          <w:b/>
          <w:bCs/>
        </w:rPr>
        <w:t>Krzysztof Ziewiec</w:t>
      </w:r>
      <w:r>
        <w:rPr>
          <w:rFonts w:ascii="Aptos" w:eastAsia="Aptos" w:hAnsi="Aptos" w:cs="Aptos"/>
        </w:rPr>
        <w:t>, dyrektor departamentu marketingu i PR w Polskim Standardzie Płatności, operatorze BLIKA.</w:t>
      </w:r>
    </w:p>
    <w:p w14:paraId="657745D5" w14:textId="77777777" w:rsidR="00AF6E2C" w:rsidRDefault="00000000">
      <w:pPr>
        <w:spacing w:line="276" w:lineRule="auto"/>
        <w:jc w:val="both"/>
        <w:rPr>
          <w:rFonts w:ascii="Aptos" w:eastAsia="Aptos" w:hAnsi="Aptos" w:cs="Aptos"/>
          <w:b/>
          <w:bCs/>
        </w:rPr>
      </w:pPr>
      <w:r>
        <w:rPr>
          <w:rFonts w:ascii="Aptos" w:eastAsia="Aptos" w:hAnsi="Aptos" w:cs="Aptos"/>
          <w:b/>
          <w:bCs/>
        </w:rPr>
        <w:t>W ostrożności jest metoda</w:t>
      </w:r>
    </w:p>
    <w:p w14:paraId="2BBEEECC" w14:textId="77777777" w:rsidR="00AF6E2C" w:rsidRDefault="00000000">
      <w:pPr>
        <w:spacing w:line="276" w:lineRule="auto"/>
        <w:jc w:val="both"/>
        <w:rPr>
          <w:rFonts w:ascii="Aptos" w:eastAsia="Aptos" w:hAnsi="Aptos" w:cs="Aptos"/>
        </w:rPr>
      </w:pPr>
      <w:r>
        <w:rPr>
          <w:rFonts w:ascii="Aptos" w:eastAsia="Aptos" w:hAnsi="Aptos" w:cs="Aptos"/>
        </w:rPr>
        <w:t>Podstawą drugiego etapu kampanii są działania, które można stosować na co dzień, zanim Podszywacz w ogóle rozpocznie rozmowę. Silne hasła, dwuskładnikowe uwierzytelnianie, szczególna ostrożność podczas korzystania z urządzeń w miejscach publicznych – to tylko niektóre z „metod”, które mogą zatrzymać Podszywacza.</w:t>
      </w:r>
    </w:p>
    <w:p w14:paraId="56DBC998" w14:textId="3173DBD1" w:rsidR="00AF6E2C" w:rsidRDefault="00000000">
      <w:pPr>
        <w:spacing w:line="276" w:lineRule="auto"/>
        <w:jc w:val="both"/>
        <w:rPr>
          <w:rFonts w:ascii="Aptos" w:eastAsia="Aptos" w:hAnsi="Aptos" w:cs="Aptos"/>
        </w:rPr>
      </w:pPr>
      <w:r>
        <w:rPr>
          <w:rFonts w:ascii="Aptos" w:eastAsia="Aptos" w:hAnsi="Aptos" w:cs="Aptos"/>
        </w:rPr>
        <w:t xml:space="preserve">– </w:t>
      </w:r>
      <w:r>
        <w:rPr>
          <w:rFonts w:ascii="Aptos" w:eastAsia="Aptos" w:hAnsi="Aptos" w:cs="Aptos"/>
          <w:i/>
          <w:iCs/>
        </w:rPr>
        <w:t>Realizujemy tę kampanię z misją uświadomienia użytkowników, że w ich rękach jest cały szereg różnych narzędzi, które mogą unieszkodliwić oszustów. Wiele można zrobić jeszcze zanim pojawi się prośba o pieniądze. Silne hasło, 2FA, czy odpowiednio ustawione funkcje „Prywatności” na profilach w mediach społecznościowych utrudniają przejęcie konta. Jeśli podejrzewamy</w:t>
      </w:r>
      <w:r w:rsidR="00502A25">
        <w:rPr>
          <w:rFonts w:ascii="Aptos" w:eastAsia="Aptos" w:hAnsi="Aptos" w:cs="Aptos"/>
          <w:i/>
          <w:iCs/>
        </w:rPr>
        <w:t>, że</w:t>
      </w:r>
      <w:r>
        <w:rPr>
          <w:rFonts w:ascii="Aptos" w:eastAsia="Aptos" w:hAnsi="Aptos" w:cs="Aptos"/>
          <w:i/>
          <w:iCs/>
        </w:rPr>
        <w:t xml:space="preserve"> oszust włamał się na profil bliskiej osoby i pisze podszywając się pod nią, powinniśmy skontaktować się z tym znajomym innym kanałem i szybko zweryfikować, kto faktycznie znajduje </w:t>
      </w:r>
      <w:r>
        <w:rPr>
          <w:rFonts w:ascii="Aptos" w:eastAsia="Aptos" w:hAnsi="Aptos" w:cs="Aptos"/>
          <w:i/>
          <w:iCs/>
        </w:rPr>
        <w:lastRenderedPageBreak/>
        <w:t>się po drugiej stronie, a w razie wykrycia włamania – zgłosić to na platformie korzystając z dostępnych funkcji. Musimy mieć świadomość, że nasze podejście chroni nie tylko nasze konta, ale także naszych bliskich i znajomych</w:t>
      </w:r>
      <w:r>
        <w:rPr>
          <w:rFonts w:ascii="Aptos" w:eastAsia="Aptos" w:hAnsi="Aptos" w:cs="Aptos"/>
        </w:rPr>
        <w:t xml:space="preserve"> – podkreśla </w:t>
      </w:r>
      <w:r>
        <w:rPr>
          <w:rFonts w:ascii="Aptos" w:eastAsia="Aptos" w:hAnsi="Aptos" w:cs="Aptos"/>
          <w:b/>
          <w:bCs/>
        </w:rPr>
        <w:t>Anna Koral-Zagórska</w:t>
      </w:r>
      <w:r>
        <w:rPr>
          <w:rFonts w:ascii="Aptos" w:eastAsia="Aptos" w:hAnsi="Aptos" w:cs="Aptos"/>
        </w:rPr>
        <w:t>, zastępca dyrektora departamentu bezpieczeństwa w Polskim Standardzie Płatności, operatorze BLIKA.</w:t>
      </w:r>
    </w:p>
    <w:p w14:paraId="48D1C2FB" w14:textId="77777777" w:rsidR="00AF6E2C" w:rsidRDefault="00000000">
      <w:pPr>
        <w:spacing w:line="276" w:lineRule="auto"/>
        <w:jc w:val="both"/>
        <w:rPr>
          <w:rFonts w:ascii="Aptos" w:eastAsia="Aptos" w:hAnsi="Aptos" w:cs="Aptos"/>
        </w:rPr>
      </w:pPr>
      <w:r>
        <w:rPr>
          <w:rFonts w:ascii="Aptos" w:eastAsia="Aptos" w:hAnsi="Aptos" w:cs="Aptos"/>
        </w:rPr>
        <w:t>Dane z badania agencji YOTTA przeprowadzonego na zlecenie BLIKA po pierwszej odsłonie kampanii wskazują, że komunikacja dotycząca bezpieczeństwa przekłada się na deklarowane zachowania odbiorców. Blisko osiem na dziesięć osób, które miały kontakt z pierwszym etapem kampanii #StopPodszywaczom, wdrożyło co najmniej jedno działanie zwiększające bezpieczeństwo online. Dodatkowo niemal co trzeci badany zaczął uważniej sprawdzać adresy stron i linki, podobny odsetek ostrzegł rodzinę lub znajomych przed metodami oszustw, a ponad jedna czwarta zaczęła korzystać z uwierzytelniania dwuskładnikowego.</w:t>
      </w:r>
    </w:p>
    <w:p w14:paraId="2CC3FC9B" w14:textId="3218818F" w:rsidR="00F001CF" w:rsidRPr="00F001CF" w:rsidRDefault="00BF5C7D" w:rsidP="00F001CF">
      <w:pPr>
        <w:spacing w:line="276" w:lineRule="auto"/>
        <w:jc w:val="both"/>
        <w:rPr>
          <w:rFonts w:ascii="Aptos" w:eastAsia="Aptos" w:hAnsi="Aptos" w:cs="Aptos"/>
          <w:lang w:val="pl-PL"/>
        </w:rPr>
      </w:pPr>
      <w:r>
        <w:rPr>
          <w:rFonts w:ascii="Aptos" w:eastAsia="Aptos" w:hAnsi="Aptos" w:cs="Aptos"/>
        </w:rPr>
        <w:t>–</w:t>
      </w:r>
      <w:r w:rsidR="00F001CF" w:rsidRPr="00F001CF">
        <w:rPr>
          <w:rFonts w:ascii="Aptos" w:eastAsia="Aptos" w:hAnsi="Aptos" w:cs="Aptos"/>
          <w:lang w:val="pl-PL"/>
        </w:rPr>
        <w:t xml:space="preserve"> </w:t>
      </w:r>
      <w:r w:rsidR="00F001CF" w:rsidRPr="00F001CF">
        <w:rPr>
          <w:rFonts w:ascii="Aptos" w:eastAsia="Aptos" w:hAnsi="Aptos" w:cs="Aptos"/>
          <w:i/>
          <w:iCs/>
          <w:lang w:val="pl-PL"/>
        </w:rPr>
        <w:t xml:space="preserve">W sieci pośpiech bywa najlepszym sprzymierzeńcem oszusta. Podszywacz liczy na to, że zadziałamy odruchowo </w:t>
      </w:r>
      <w:r>
        <w:rPr>
          <w:rFonts w:ascii="Aptos" w:eastAsia="Aptos" w:hAnsi="Aptos" w:cs="Aptos"/>
        </w:rPr>
        <w:t>–</w:t>
      </w:r>
      <w:r w:rsidR="00F001CF" w:rsidRPr="00F001CF">
        <w:rPr>
          <w:rFonts w:ascii="Aptos" w:eastAsia="Aptos" w:hAnsi="Aptos" w:cs="Aptos"/>
          <w:i/>
          <w:iCs/>
          <w:lang w:val="pl-PL"/>
        </w:rPr>
        <w:t xml:space="preserve"> bo pisze „ktoś bliski”, bo sprawa jest pilna, bo nie ma czasu na zastanowienie. Dlatego najprostszym bezpiecznikiem jest chwila weryfikacji: sprawdzenie, kto naprawdę jest po drugiej stronie. Do tego dochodzą dobre cyfrowe nawyki </w:t>
      </w:r>
      <w:r w:rsidR="009A0ED7">
        <w:rPr>
          <w:rFonts w:ascii="Aptos" w:eastAsia="Aptos" w:hAnsi="Aptos" w:cs="Aptos"/>
        </w:rPr>
        <w:t>–</w:t>
      </w:r>
      <w:r w:rsidR="00F001CF" w:rsidRPr="00F001CF">
        <w:rPr>
          <w:rFonts w:ascii="Aptos" w:eastAsia="Aptos" w:hAnsi="Aptos" w:cs="Aptos"/>
          <w:i/>
          <w:iCs/>
          <w:lang w:val="pl-PL"/>
        </w:rPr>
        <w:t xml:space="preserve"> silne hasła i uwierzytelnianie dwuskładnikowe. UOKiK objął kampanię #StopPodszywaczom patronatem honorowym, bo w walce z cyberoszustwami wiedza i czujność są równie ważne jak techniczne zabezpieczenia</w:t>
      </w:r>
      <w:r w:rsidR="00F001CF" w:rsidRPr="00F001CF">
        <w:rPr>
          <w:rFonts w:ascii="Aptos" w:eastAsia="Aptos" w:hAnsi="Aptos" w:cs="Aptos"/>
          <w:lang w:val="pl-PL"/>
        </w:rPr>
        <w:t xml:space="preserve"> </w:t>
      </w:r>
      <w:r>
        <w:rPr>
          <w:rFonts w:ascii="Aptos" w:eastAsia="Aptos" w:hAnsi="Aptos" w:cs="Aptos"/>
        </w:rPr>
        <w:t>–</w:t>
      </w:r>
      <w:r w:rsidR="00F001CF" w:rsidRPr="00F001CF">
        <w:rPr>
          <w:rFonts w:ascii="Aptos" w:eastAsia="Aptos" w:hAnsi="Aptos" w:cs="Aptos"/>
          <w:lang w:val="pl-PL"/>
        </w:rPr>
        <w:t xml:space="preserve"> mówi </w:t>
      </w:r>
      <w:r w:rsidR="00F001CF" w:rsidRPr="00F001CF">
        <w:rPr>
          <w:rFonts w:ascii="Aptos" w:eastAsia="Aptos" w:hAnsi="Aptos" w:cs="Aptos"/>
          <w:b/>
          <w:bCs/>
          <w:lang w:val="pl-PL"/>
        </w:rPr>
        <w:t>Tomasz Chróstny</w:t>
      </w:r>
      <w:r w:rsidR="00F001CF" w:rsidRPr="00F001CF">
        <w:rPr>
          <w:rFonts w:ascii="Aptos" w:eastAsia="Aptos" w:hAnsi="Aptos" w:cs="Aptos"/>
          <w:lang w:val="pl-PL"/>
        </w:rPr>
        <w:t>, Prezes UOKiK.</w:t>
      </w:r>
    </w:p>
    <w:p w14:paraId="4065AB73" w14:textId="77777777" w:rsidR="00AF6E2C" w:rsidRDefault="00000000">
      <w:pPr>
        <w:spacing w:line="276" w:lineRule="auto"/>
        <w:jc w:val="both"/>
        <w:rPr>
          <w:rFonts w:ascii="Aptos" w:eastAsia="Aptos" w:hAnsi="Aptos" w:cs="Aptos"/>
          <w:b/>
          <w:bCs/>
        </w:rPr>
      </w:pPr>
      <w:r>
        <w:rPr>
          <w:rFonts w:ascii="Aptos" w:eastAsia="Aptos" w:hAnsi="Aptos" w:cs="Aptos"/>
          <w:b/>
          <w:bCs/>
        </w:rPr>
        <w:t>Chroniąc siebie, chronisz innych</w:t>
      </w:r>
    </w:p>
    <w:p w14:paraId="176F202A" w14:textId="77777777" w:rsidR="00AF6E2C" w:rsidRDefault="00000000">
      <w:pPr>
        <w:spacing w:line="276" w:lineRule="auto"/>
        <w:jc w:val="both"/>
        <w:rPr>
          <w:rFonts w:ascii="Aptos" w:eastAsia="Aptos" w:hAnsi="Aptos" w:cs="Aptos"/>
        </w:rPr>
      </w:pPr>
      <w:r>
        <w:rPr>
          <w:rFonts w:ascii="Aptos" w:eastAsia="Aptos" w:hAnsi="Aptos" w:cs="Aptos"/>
        </w:rPr>
        <w:t>Druga odsłona obejmuje serię krótkich filmów przygotowanych z myślą o różnych grupach użytkowników internetu. BLIK zaprosił do udziału osoby znane ze świata kultury, sportu i mediów społecznościowych: twórczynię internetową Maffashion, aktorki Marię Winiarską i Maję Bohosiewicz oraz byłego piłkarza Jarosława Bieniuka, który występuje razem z synem Janem.</w:t>
      </w:r>
    </w:p>
    <w:p w14:paraId="1D31A661" w14:textId="77777777" w:rsidR="00AF6E2C" w:rsidRDefault="00000000">
      <w:pPr>
        <w:spacing w:line="276" w:lineRule="auto"/>
        <w:jc w:val="both"/>
        <w:rPr>
          <w:rFonts w:ascii="Aptos" w:eastAsia="Aptos" w:hAnsi="Aptos" w:cs="Aptos"/>
        </w:rPr>
      </w:pPr>
      <w:r>
        <w:rPr>
          <w:rFonts w:ascii="Aptos" w:eastAsia="Aptos" w:hAnsi="Aptos" w:cs="Aptos"/>
        </w:rPr>
        <w:t>Każdy z filmów wykorzystuje odmienną konwencję i odwołuje się do innych codziennych sytuacji. Wszystkie zachęcają jednak do tych samych działań: stosowania silnych haseł, włączenia 2FA oraz sprawdzania podejrzanych wiadomości poza komunikatorem. Serię uzupełnia materiał skierowany do osób, które swobodnie poruszają się w internecie i mogą być przekonane, że dobrze radzą sobie z cyfrowymi zagrożeniami. Przypomina on, że doświadczenie w korzystaniu z sieci nie zastępuje odpowiednich zabezpieczeń.</w:t>
      </w:r>
    </w:p>
    <w:p w14:paraId="14C896C8" w14:textId="77777777" w:rsidR="00AF6E2C" w:rsidRDefault="00000000">
      <w:pPr>
        <w:spacing w:line="276" w:lineRule="auto"/>
        <w:jc w:val="both"/>
        <w:rPr>
          <w:rFonts w:ascii="Aptos" w:eastAsia="Aptos" w:hAnsi="Aptos" w:cs="Aptos"/>
        </w:rPr>
      </w:pPr>
      <w:r>
        <w:rPr>
          <w:rFonts w:ascii="Aptos" w:eastAsia="Aptos" w:hAnsi="Aptos" w:cs="Aptos"/>
        </w:rPr>
        <w:t>Materiały łączy hasło „Chroniąc siebie, chronisz innych”, ponieważ przejęcie konta przez oszusta to tylko droga do wyłudzania danych i pieniędzy od bliskich i znajomych – tych, z którymi na co dzień kontaktujemy się przez komunikatory. Dobre zabezpieczenie własnego profilu, szybka reakcja na podejrzaną aktywność i ostrzeganie bliskich mogą utrudnić oszustowi dotarcie do kolejnych osób.</w:t>
      </w:r>
    </w:p>
    <w:p w14:paraId="6E4D2B54" w14:textId="00F8F6A2" w:rsidR="00AF6E2C" w:rsidRDefault="00000000">
      <w:pPr>
        <w:spacing w:line="276" w:lineRule="auto"/>
        <w:jc w:val="both"/>
        <w:rPr>
          <w:rFonts w:ascii="Aptos" w:eastAsia="Aptos" w:hAnsi="Aptos" w:cs="Aptos"/>
        </w:rPr>
      </w:pPr>
      <w:r>
        <w:rPr>
          <w:rFonts w:ascii="Aptos" w:eastAsia="Aptos" w:hAnsi="Aptos" w:cs="Aptos"/>
        </w:rPr>
        <w:t xml:space="preserve">Filmy będą publikowane w digitalu oraz w kanałach własnych BLIKA. Rozbudowane wskazówki dotyczące ochrony kont, korzystania z własnych i obcych urządzeń oraz reagowania na podejrzane wiadomości będą dostępne na stronie </w:t>
      </w:r>
      <w:hyperlink r:id="rId7" w:history="1">
        <w:r w:rsidR="009417C9" w:rsidRPr="009417C9">
          <w:rPr>
            <w:rStyle w:val="Hipercze"/>
            <w:rFonts w:ascii="Aptos" w:eastAsia="Aptos" w:hAnsi="Aptos" w:cs="Aptos"/>
          </w:rPr>
          <w:t>www.podszywacze.pl</w:t>
        </w:r>
      </w:hyperlink>
      <w:r w:rsidR="009417C9">
        <w:rPr>
          <w:rFonts w:ascii="Aptos" w:eastAsia="Aptos" w:hAnsi="Aptos" w:cs="Aptos"/>
        </w:rPr>
        <w:t xml:space="preserve"> </w:t>
      </w:r>
      <w:r>
        <w:rPr>
          <w:rFonts w:ascii="Aptos" w:eastAsia="Aptos" w:hAnsi="Aptos" w:cs="Aptos"/>
        </w:rPr>
        <w:t xml:space="preserve">oraz na blogu BLIKA pod adresem </w:t>
      </w:r>
      <w:hyperlink r:id="rId8" w:history="1">
        <w:r w:rsidR="000F01A1" w:rsidRPr="000F01A1">
          <w:rPr>
            <w:rStyle w:val="Hipercze"/>
            <w:rFonts w:ascii="Aptos" w:eastAsia="Aptos" w:hAnsi="Aptos" w:cs="Aptos"/>
          </w:rPr>
          <w:t>www.blik.com</w:t>
        </w:r>
      </w:hyperlink>
      <w:r w:rsidR="00DA7CB5">
        <w:rPr>
          <w:rFonts w:ascii="Aptos" w:eastAsia="Aptos" w:hAnsi="Aptos" w:cs="Aptos"/>
        </w:rPr>
        <w:t>.</w:t>
      </w:r>
    </w:p>
    <w:p w14:paraId="218429F5" w14:textId="77777777" w:rsidR="00AF6E2C" w:rsidRDefault="00000000">
      <w:pPr>
        <w:spacing w:line="276" w:lineRule="auto"/>
        <w:jc w:val="both"/>
        <w:rPr>
          <w:rFonts w:ascii="Aptos" w:eastAsia="Aptos" w:hAnsi="Aptos" w:cs="Aptos"/>
          <w:b/>
          <w:bCs/>
        </w:rPr>
      </w:pPr>
      <w:r>
        <w:rPr>
          <w:rFonts w:ascii="Aptos" w:eastAsia="Aptos" w:hAnsi="Aptos" w:cs="Aptos"/>
          <w:b/>
          <w:bCs/>
        </w:rPr>
        <w:lastRenderedPageBreak/>
        <w:t>#StopPodszywaczom</w:t>
      </w:r>
    </w:p>
    <w:p w14:paraId="664A59F8" w14:textId="77777777" w:rsidR="00AF6E2C" w:rsidRDefault="00000000">
      <w:pPr>
        <w:spacing w:line="276" w:lineRule="auto"/>
        <w:jc w:val="both"/>
        <w:rPr>
          <w:rFonts w:ascii="Aptos" w:eastAsia="Aptos" w:hAnsi="Aptos" w:cs="Aptos"/>
        </w:rPr>
      </w:pPr>
      <w:r>
        <w:rPr>
          <w:rFonts w:ascii="Aptos" w:eastAsia="Aptos" w:hAnsi="Aptos" w:cs="Aptos"/>
        </w:rPr>
        <w:t>Druga odsłona „Metody na Podszywacza” rozwija również współpracę BLIKA z partnerami, którzy mogą wpływać na bezpieczeństwo użytkowników na różnych etapach scenariusza oszustwa.</w:t>
      </w:r>
    </w:p>
    <w:p w14:paraId="4D6A6140" w14:textId="7BFED228" w:rsidR="00AF6E2C" w:rsidRDefault="00000000">
      <w:pPr>
        <w:spacing w:line="276" w:lineRule="auto"/>
        <w:jc w:val="both"/>
        <w:rPr>
          <w:rFonts w:ascii="Aptos" w:eastAsia="Aptos" w:hAnsi="Aptos" w:cs="Aptos"/>
        </w:rPr>
      </w:pPr>
      <w:r>
        <w:rPr>
          <w:rFonts w:ascii="Aptos" w:eastAsia="Aptos" w:hAnsi="Aptos" w:cs="Aptos"/>
        </w:rPr>
        <w:t xml:space="preserve">Do </w:t>
      </w:r>
      <w:r w:rsidR="00485790">
        <w:rPr>
          <w:rFonts w:ascii="Aptos" w:eastAsia="Aptos" w:hAnsi="Aptos" w:cs="Aptos"/>
        </w:rPr>
        <w:t>tej</w:t>
      </w:r>
      <w:r>
        <w:rPr>
          <w:rFonts w:ascii="Aptos" w:eastAsia="Aptos" w:hAnsi="Aptos" w:cs="Aptos"/>
        </w:rPr>
        <w:t xml:space="preserve"> odsłony kampanii dołącza Meta. Współpraca pozwoli dotrzeć z przekazem edukacyjnym bezpośrednio do użytkowników Facebooka i Instagrama, gdzie na co dzień komunikujemy się ze znajomymi i rodziną oraz powinniśmy wiedzieć jak zgłaszać próby podszywania się. Materiały będą przypominać zarówno o zabezpieczaniu kont, m.in. za pomocą uwierzytelniania dwuskładnikowego, jak i o właściwej reakcji na podejrzane wiadomości lub treści – zgłoszeniu przy użyciu narzędzi dostępnych na platformach Meta.</w:t>
      </w:r>
    </w:p>
    <w:p w14:paraId="5C72E051" w14:textId="1AAD932E" w:rsidR="000E096D" w:rsidRPr="000E096D" w:rsidRDefault="000E096D" w:rsidP="000E096D">
      <w:pPr>
        <w:spacing w:line="276" w:lineRule="auto"/>
        <w:jc w:val="both"/>
        <w:rPr>
          <w:rFonts w:ascii="Aptos" w:eastAsia="Aptos" w:hAnsi="Aptos" w:cs="Aptos"/>
          <w:lang w:val="pl-PL"/>
        </w:rPr>
      </w:pPr>
      <w:r w:rsidRPr="000E096D">
        <w:rPr>
          <w:rFonts w:ascii="Aptos" w:eastAsia="Aptos" w:hAnsi="Aptos" w:cs="Aptos"/>
          <w:lang w:val="pl-PL"/>
        </w:rPr>
        <w:t>–</w:t>
      </w:r>
      <w:r>
        <w:rPr>
          <w:rFonts w:ascii="Aptos" w:eastAsia="Aptos" w:hAnsi="Aptos" w:cs="Aptos"/>
          <w:lang w:val="pl-PL"/>
        </w:rPr>
        <w:t xml:space="preserve"> </w:t>
      </w:r>
      <w:r w:rsidRPr="000E096D">
        <w:rPr>
          <w:rFonts w:ascii="Aptos" w:eastAsia="Aptos" w:hAnsi="Aptos" w:cs="Aptos"/>
          <w:i/>
          <w:iCs/>
          <w:lang w:val="pl-PL"/>
        </w:rPr>
        <w:t>Nieustannie pracujemy nad tym, aby chronić nasze platformy przed oszustami. Inwestujemy w nowe technologie – takie jak udoskonalone zabezpieczenia oparte na sztucznej inteligencji, które niedawno wdrożyliśmy w Polsce – żeby ludzie mogli się czuć bezpiecznie, gdy korzystają z naszych aplikacji. Jesteśmy świadomi ważnej roli, jaką odgrywamy w walce z oszustwami w internecie, ale nie możemy tego robić sami: partnerstwa branżowe są kluczowym elementem tych działań. Łącząc siły z BLIK</w:t>
      </w:r>
      <w:r w:rsidR="00A27F1D">
        <w:rPr>
          <w:rFonts w:ascii="Aptos" w:eastAsia="Aptos" w:hAnsi="Aptos" w:cs="Aptos"/>
          <w:i/>
          <w:iCs/>
          <w:lang w:val="pl-PL"/>
        </w:rPr>
        <w:t>IEM</w:t>
      </w:r>
      <w:r w:rsidRPr="000E096D">
        <w:rPr>
          <w:rFonts w:ascii="Aptos" w:eastAsia="Aptos" w:hAnsi="Aptos" w:cs="Aptos"/>
          <w:i/>
          <w:iCs/>
          <w:lang w:val="pl-PL"/>
        </w:rPr>
        <w:t>, docieramy do ludzi tam, gdzie komunikują się na co dzień – przypominamy im o narzędziach, które pomagają zachować bezpieczeństwo, i znacznie utrudniamy oszustom skuteczne podszywanie się pod inne osoby</w:t>
      </w:r>
      <w:r w:rsidRPr="000E096D">
        <w:rPr>
          <w:rFonts w:ascii="Aptos" w:eastAsia="Aptos" w:hAnsi="Aptos" w:cs="Aptos"/>
          <w:lang w:val="pl-PL"/>
        </w:rPr>
        <w:t xml:space="preserve"> – </w:t>
      </w:r>
      <w:r>
        <w:rPr>
          <w:rFonts w:ascii="Aptos" w:eastAsia="Aptos" w:hAnsi="Aptos" w:cs="Aptos"/>
          <w:lang w:val="pl-PL"/>
        </w:rPr>
        <w:t xml:space="preserve">mówi </w:t>
      </w:r>
      <w:r w:rsidRPr="000E096D">
        <w:rPr>
          <w:rFonts w:ascii="Aptos" w:eastAsia="Aptos" w:hAnsi="Aptos" w:cs="Aptos"/>
          <w:b/>
          <w:bCs/>
          <w:lang w:val="pl-PL"/>
        </w:rPr>
        <w:t>Nathaniel Gleicher</w:t>
      </w:r>
      <w:r w:rsidRPr="000E096D">
        <w:rPr>
          <w:rFonts w:ascii="Aptos" w:eastAsia="Aptos" w:hAnsi="Aptos" w:cs="Aptos"/>
          <w:lang w:val="pl-PL"/>
        </w:rPr>
        <w:t>, globalny szef ds. polityki przeciwdziałania oszustwom i bezpieczeństwa, Meta</w:t>
      </w:r>
      <w:r>
        <w:rPr>
          <w:rFonts w:ascii="Aptos" w:eastAsia="Aptos" w:hAnsi="Aptos" w:cs="Aptos"/>
          <w:lang w:val="pl-PL"/>
        </w:rPr>
        <w:t>.</w:t>
      </w:r>
    </w:p>
    <w:p w14:paraId="77D5BD63" w14:textId="77777777" w:rsidR="00AF6E2C" w:rsidRDefault="00000000">
      <w:pPr>
        <w:spacing w:line="276" w:lineRule="auto"/>
        <w:jc w:val="both"/>
        <w:rPr>
          <w:rFonts w:ascii="Aptos" w:eastAsia="Aptos" w:hAnsi="Aptos" w:cs="Aptos"/>
        </w:rPr>
      </w:pPr>
      <w:r>
        <w:rPr>
          <w:rFonts w:ascii="Aptos" w:eastAsia="Aptos" w:hAnsi="Aptos" w:cs="Aptos"/>
        </w:rPr>
        <w:t>Za koncepcję kreatywną kampanii odpowiada Change Serviceplan, a za planowanie i zakup mediów Spark Foundry. Współpracę z influencerami koordynuje LiquidThread, natomiast działania komunikacyjne i PR prowadzi Clear Communication Group.</w:t>
      </w:r>
    </w:p>
    <w:p w14:paraId="5DCF76C6" w14:textId="77777777" w:rsidR="00AF6E2C" w:rsidRDefault="00000000">
      <w:pPr>
        <w:spacing w:line="276" w:lineRule="auto"/>
        <w:jc w:val="center"/>
        <w:rPr>
          <w:rFonts w:ascii="Aptos" w:eastAsia="Aptos" w:hAnsi="Aptos" w:cs="Aptos"/>
        </w:rPr>
      </w:pPr>
      <w:r>
        <w:rPr>
          <w:rFonts w:ascii="Aptos" w:eastAsia="Aptos" w:hAnsi="Aptos" w:cs="Aptos"/>
        </w:rPr>
        <w:t>***</w:t>
      </w:r>
    </w:p>
    <w:p w14:paraId="7B0C74D9" w14:textId="77777777" w:rsidR="00AF6E2C" w:rsidRDefault="00000000">
      <w:pPr>
        <w:jc w:val="both"/>
        <w:rPr>
          <w:rFonts w:ascii="Aptos" w:eastAsia="Aptos" w:hAnsi="Aptos" w:cs="Aptos"/>
          <w:sz w:val="20"/>
          <w:szCs w:val="20"/>
        </w:rPr>
      </w:pPr>
      <w:r>
        <w:rPr>
          <w:rFonts w:ascii="Aptos" w:eastAsia="Aptos" w:hAnsi="Aptos" w:cs="Aptos"/>
          <w:b/>
          <w:bCs/>
          <w:sz w:val="20"/>
          <w:szCs w:val="20"/>
        </w:rPr>
        <w:t>BLIK</w:t>
      </w:r>
      <w:r>
        <w:rPr>
          <w:rFonts w:ascii="Aptos" w:eastAsia="Aptos" w:hAnsi="Aptos" w:cs="Aptos"/>
          <w:sz w:val="20"/>
          <w:szCs w:val="20"/>
        </w:rPr>
        <w:t xml:space="preserve"> to powszechny standard płatności mobilnych. Możliwość skorzystania z BLIKA w aplikacjach bankowości mobilnej ma obecnie praktycznie każdy z klientów krajowych instytucji płatniczych oferujących aplikację mobilną. Za rozwój systemu odpowiada spółka Polski Standard Płatności (PSP). PSP stale rozwija możliwości BLIKA tak, aby system był jak najbardziej funkcjonalny dla jego użytkowników. Udziałowcami spółki PSP są: Alior Bank, Bank Millennium, Santander Bank Polska, ING Bank Śląski, mBank, PKO Bank Polski oraz Mastercard.</w:t>
      </w:r>
    </w:p>
    <w:p w14:paraId="27EBB0C1" w14:textId="77777777" w:rsidR="00AF6E2C" w:rsidRDefault="00000000">
      <w:pPr>
        <w:spacing w:line="276" w:lineRule="auto"/>
        <w:jc w:val="both"/>
        <w:rPr>
          <w:rFonts w:ascii="Aptos" w:eastAsia="Aptos" w:hAnsi="Aptos" w:cs="Aptos"/>
          <w:b/>
          <w:bCs/>
          <w:sz w:val="20"/>
          <w:szCs w:val="20"/>
        </w:rPr>
      </w:pPr>
      <w:r>
        <w:rPr>
          <w:rFonts w:ascii="Aptos" w:eastAsia="Aptos" w:hAnsi="Aptos" w:cs="Aptos"/>
          <w:b/>
          <w:bCs/>
          <w:sz w:val="20"/>
          <w:szCs w:val="20"/>
        </w:rPr>
        <w:t>Kontakt dla mediów:</w:t>
      </w:r>
    </w:p>
    <w:p w14:paraId="17E8A2C6" w14:textId="77777777" w:rsidR="00AF6E2C" w:rsidRDefault="00000000">
      <w:pPr>
        <w:spacing w:after="0" w:line="276" w:lineRule="auto"/>
        <w:jc w:val="both"/>
        <w:rPr>
          <w:rFonts w:ascii="Aptos" w:eastAsia="Aptos" w:hAnsi="Aptos" w:cs="Aptos"/>
          <w:sz w:val="20"/>
          <w:szCs w:val="20"/>
        </w:rPr>
      </w:pPr>
      <w:r>
        <w:rPr>
          <w:rFonts w:ascii="Aptos" w:eastAsia="Aptos" w:hAnsi="Aptos" w:cs="Aptos"/>
          <w:sz w:val="20"/>
          <w:szCs w:val="20"/>
        </w:rPr>
        <w:t>Klaudia Rombalska</w:t>
      </w:r>
    </w:p>
    <w:p w14:paraId="52B9446B" w14:textId="77777777" w:rsidR="00AF6E2C" w:rsidRDefault="00000000">
      <w:pPr>
        <w:spacing w:after="0" w:line="276" w:lineRule="auto"/>
        <w:jc w:val="both"/>
        <w:rPr>
          <w:rFonts w:ascii="Aptos" w:eastAsia="Aptos" w:hAnsi="Aptos" w:cs="Aptos"/>
          <w:sz w:val="20"/>
          <w:szCs w:val="20"/>
        </w:rPr>
      </w:pPr>
      <w:r>
        <w:rPr>
          <w:rFonts w:ascii="Aptos" w:eastAsia="Aptos" w:hAnsi="Aptos" w:cs="Aptos"/>
          <w:sz w:val="20"/>
          <w:szCs w:val="20"/>
        </w:rPr>
        <w:t>Biuro prasowe BLIK</w:t>
      </w:r>
    </w:p>
    <w:p w14:paraId="2882A972" w14:textId="77777777" w:rsidR="00AF6E2C" w:rsidRDefault="00AF6E2C">
      <w:pPr>
        <w:spacing w:after="0" w:line="276" w:lineRule="auto"/>
        <w:rPr>
          <w:rFonts w:ascii="Aptos" w:eastAsia="Aptos" w:hAnsi="Aptos" w:cs="Aptos"/>
          <w:sz w:val="20"/>
          <w:szCs w:val="20"/>
        </w:rPr>
      </w:pPr>
      <w:hyperlink>
        <w:r>
          <w:rPr>
            <w:rFonts w:ascii="Aptos" w:eastAsia="Aptos" w:hAnsi="Aptos" w:cs="Aptos"/>
            <w:color w:val="0563C1"/>
            <w:sz w:val="20"/>
            <w:szCs w:val="20"/>
            <w:u w:val="single"/>
          </w:rPr>
          <w:t>klaudia.rombalska@clearcom.pl</w:t>
        </w:r>
      </w:hyperlink>
      <w:r>
        <w:rPr>
          <w:rFonts w:ascii="Aptos" w:eastAsia="Aptos" w:hAnsi="Aptos" w:cs="Aptos"/>
          <w:sz w:val="20"/>
          <w:szCs w:val="20"/>
        </w:rPr>
        <w:t xml:space="preserve"> </w:t>
      </w:r>
    </w:p>
    <w:p w14:paraId="37AB3575" w14:textId="77777777" w:rsidR="00AF6E2C" w:rsidRDefault="00AF6E2C">
      <w:pPr>
        <w:spacing w:after="0" w:line="276" w:lineRule="auto"/>
        <w:rPr>
          <w:rFonts w:ascii="Aptos" w:eastAsia="Aptos" w:hAnsi="Aptos" w:cs="Aptos"/>
          <w:sz w:val="20"/>
          <w:szCs w:val="20"/>
        </w:rPr>
      </w:pPr>
    </w:p>
    <w:p w14:paraId="3E2EA870" w14:textId="77777777" w:rsidR="00AF6E2C" w:rsidRDefault="00AF6E2C">
      <w:pPr>
        <w:spacing w:after="0" w:line="276" w:lineRule="auto"/>
        <w:rPr>
          <w:rFonts w:ascii="Aptos" w:eastAsia="Aptos" w:hAnsi="Aptos" w:cs="Aptos"/>
          <w:b/>
          <w:bCs/>
          <w:sz w:val="20"/>
          <w:szCs w:val="20"/>
        </w:rPr>
      </w:pPr>
    </w:p>
    <w:sectPr w:rsidR="00AF6E2C">
      <w:headerReference w:type="default" r:id="rId9"/>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022713" w14:textId="77777777" w:rsidR="00A46DC0" w:rsidRDefault="00A46DC0">
      <w:pPr>
        <w:spacing w:after="0" w:line="240" w:lineRule="auto"/>
      </w:pPr>
      <w:r>
        <w:separator/>
      </w:r>
    </w:p>
  </w:endnote>
  <w:endnote w:type="continuationSeparator" w:id="0">
    <w:p w14:paraId="58D21993" w14:textId="77777777" w:rsidR="00A46DC0" w:rsidRDefault="00A46D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7DC0A6BA-F8F4-4EB4-BAAC-1F002F065FB3}"/>
    <w:embedBold r:id="rId2" w:fontKey="{5DC97637-E0F1-490B-A837-3CC7676E4A52}"/>
    <w:embedItalic r:id="rId3" w:fontKey="{D749285C-C84F-4AC5-A349-CFB9DFFB672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embedRegular r:id="rId4" w:fontKey="{17B7A630-1952-4753-9E17-14A9F3A15E5B}"/>
    <w:embedBold r:id="rId5" w:fontKey="{D4250020-DD23-48A9-9C64-A0A1BB772797}"/>
  </w:font>
  <w:font w:name="Georgia">
    <w:panose1 w:val="02040502050405020303"/>
    <w:charset w:val="EE"/>
    <w:family w:val="roman"/>
    <w:pitch w:val="variable"/>
    <w:sig w:usb0="00000287" w:usb1="00000000" w:usb2="00000000" w:usb3="00000000" w:csb0="0000009F" w:csb1="00000000"/>
    <w:embedItalic r:id="rId6" w:fontKey="{E867D531-78AE-4B84-919C-9BBA0945DCE7}"/>
  </w:font>
  <w:font w:name="Cambria">
    <w:panose1 w:val="02040503050406030204"/>
    <w:charset w:val="EE"/>
    <w:family w:val="roman"/>
    <w:pitch w:val="variable"/>
    <w:sig w:usb0="E00006FF" w:usb1="420024FF" w:usb2="02000000" w:usb3="00000000" w:csb0="0000019F" w:csb1="00000000"/>
    <w:embedRegular r:id="rId7" w:fontKey="{A4A99915-0916-428B-8063-8338E36A2289}"/>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D74CA6" w14:textId="77777777" w:rsidR="00A46DC0" w:rsidRDefault="00A46DC0">
      <w:pPr>
        <w:spacing w:after="0" w:line="240" w:lineRule="auto"/>
      </w:pPr>
      <w:r>
        <w:separator/>
      </w:r>
    </w:p>
  </w:footnote>
  <w:footnote w:type="continuationSeparator" w:id="0">
    <w:p w14:paraId="69283687" w14:textId="77777777" w:rsidR="00A46DC0" w:rsidRDefault="00A46D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B47658" w14:textId="77777777" w:rsidR="00AF6E2C" w:rsidRDefault="00000000">
    <w:pPr>
      <w:pBdr>
        <w:top w:val="nil"/>
        <w:left w:val="nil"/>
        <w:bottom w:val="nil"/>
        <w:right w:val="nil"/>
        <w:between w:val="nil"/>
      </w:pBdr>
      <w:tabs>
        <w:tab w:val="center" w:pos="4536"/>
        <w:tab w:val="right" w:pos="9072"/>
      </w:tabs>
      <w:spacing w:after="0" w:line="240" w:lineRule="auto"/>
      <w:rPr>
        <w:color w:val="000000"/>
      </w:rPr>
    </w:pPr>
    <w:r>
      <w:rPr>
        <w:noProof/>
      </w:rPr>
      <w:drawing>
        <wp:anchor distT="0" distB="0" distL="0" distR="0" simplePos="0" relativeHeight="251658240" behindDoc="1" locked="0" layoutInCell="1" hidden="0" allowOverlap="1" wp14:anchorId="220A155A" wp14:editId="77E1D776">
          <wp:simplePos x="0" y="0"/>
          <wp:positionH relativeFrom="column">
            <wp:posOffset>0</wp:posOffset>
          </wp:positionH>
          <wp:positionV relativeFrom="paragraph">
            <wp:posOffset>-297179</wp:posOffset>
          </wp:positionV>
          <wp:extent cx="1811655" cy="1095375"/>
          <wp:effectExtent l="0" t="0" r="0" b="0"/>
          <wp:wrapNone/>
          <wp:docPr id="1" name="image2.png" descr="Obraz zawierający symbol, zrzut ekranu, Grafika, Czcionka&#10;&#10;Opis wygenerowany automatycznie"/>
          <wp:cNvGraphicFramePr/>
          <a:graphic xmlns:a="http://schemas.openxmlformats.org/drawingml/2006/main">
            <a:graphicData uri="http://schemas.openxmlformats.org/drawingml/2006/picture">
              <pic:pic xmlns:pic="http://schemas.openxmlformats.org/drawingml/2006/picture">
                <pic:nvPicPr>
                  <pic:cNvPr id="0" name="image2.png" descr="Obraz zawierający symbol, zrzut ekranu, Grafika, Czcionka&#10;&#10;Opis wygenerowany automatycznie"/>
                  <pic:cNvPicPr preferRelativeResize="0"/>
                </pic:nvPicPr>
                <pic:blipFill>
                  <a:blip r:embed="rId1"/>
                  <a:srcRect/>
                  <a:stretch>
                    <a:fillRect/>
                  </a:stretch>
                </pic:blipFill>
                <pic:spPr>
                  <a:xfrm>
                    <a:off x="0" y="0"/>
                    <a:ext cx="1811655" cy="1095375"/>
                  </a:xfrm>
                  <a:prstGeom prst="rect">
                    <a:avLst/>
                  </a:prstGeom>
                  <a:ln/>
                </pic:spPr>
              </pic:pic>
            </a:graphicData>
          </a:graphic>
        </wp:anchor>
      </w:drawing>
    </w:r>
  </w:p>
  <w:p w14:paraId="562D10A5"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19E45B64"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6892CFCF"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633B3926" w14:textId="77777777" w:rsidR="00AF6E2C" w:rsidRDefault="00AF6E2C">
    <w:pPr>
      <w:pBdr>
        <w:top w:val="nil"/>
        <w:left w:val="nil"/>
        <w:bottom w:val="nil"/>
        <w:right w:val="nil"/>
        <w:between w:val="nil"/>
      </w:pBdr>
      <w:tabs>
        <w:tab w:val="center" w:pos="4536"/>
        <w:tab w:val="right" w:pos="9072"/>
      </w:tabs>
      <w:spacing w:after="0" w:line="240" w:lineRule="auto"/>
      <w:rPr>
        <w:color w:val="000000"/>
      </w:rPr>
    </w:pPr>
  </w:p>
  <w:p w14:paraId="720C57CB" w14:textId="77777777" w:rsidR="00AF6E2C" w:rsidRDefault="00000000">
    <w:pPr>
      <w:pBdr>
        <w:top w:val="nil"/>
        <w:left w:val="nil"/>
        <w:bottom w:val="nil"/>
        <w:right w:val="nil"/>
        <w:between w:val="nil"/>
      </w:pBdr>
      <w:tabs>
        <w:tab w:val="center" w:pos="4536"/>
        <w:tab w:val="right" w:pos="9072"/>
      </w:tabs>
      <w:spacing w:after="0" w:line="240" w:lineRule="auto"/>
      <w:rPr>
        <w:color w:val="000000"/>
      </w:rPr>
    </w:pPr>
    <w:r>
      <w:rPr>
        <w:noProof/>
        <w:color w:val="000000"/>
      </w:rPr>
      <w:drawing>
        <wp:anchor distT="0" distB="0" distL="114300" distR="114300" simplePos="0" relativeHeight="251659264" behindDoc="0" locked="0" layoutInCell="1" hidden="0" allowOverlap="1" wp14:anchorId="2E13CBCB" wp14:editId="487E0363">
          <wp:simplePos x="0" y="0"/>
          <wp:positionH relativeFrom="margin">
            <wp:posOffset>4521005</wp:posOffset>
          </wp:positionH>
          <wp:positionV relativeFrom="topMargin">
            <wp:posOffset>445868</wp:posOffset>
          </wp:positionV>
          <wp:extent cx="1037590" cy="559435"/>
          <wp:effectExtent l="0" t="0" r="0" b="0"/>
          <wp:wrapSquare wrapText="bothSides" distT="0" distB="0" distL="114300" distR="114300"/>
          <wp:docPr id="2" name="image1.jpg" descr="Obraz zawierający logo&#10;&#10;Opis wygenerowany automatycznie"/>
          <wp:cNvGraphicFramePr/>
          <a:graphic xmlns:a="http://schemas.openxmlformats.org/drawingml/2006/main">
            <a:graphicData uri="http://schemas.openxmlformats.org/drawingml/2006/picture">
              <pic:pic xmlns:pic="http://schemas.openxmlformats.org/drawingml/2006/picture">
                <pic:nvPicPr>
                  <pic:cNvPr id="0" name="image1.jpg" descr="Obraz zawierający logo&#10;&#10;Opis wygenerowany automatycznie"/>
                  <pic:cNvPicPr preferRelativeResize="0"/>
                </pic:nvPicPr>
                <pic:blipFill>
                  <a:blip r:embed="rId2"/>
                  <a:srcRect/>
                  <a:stretch>
                    <a:fillRect/>
                  </a:stretch>
                </pic:blipFill>
                <pic:spPr>
                  <a:xfrm>
                    <a:off x="0" y="0"/>
                    <a:ext cx="1037590" cy="55943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3326F"/>
    <w:multiLevelType w:val="hybridMultilevel"/>
    <w:tmpl w:val="B0183A8A"/>
    <w:lvl w:ilvl="0" w:tplc="2C0C1A2E">
      <w:numFmt w:val="bullet"/>
      <w:lvlText w:val="-"/>
      <w:lvlJc w:val="left"/>
      <w:pPr>
        <w:ind w:left="720" w:hanging="360"/>
      </w:pPr>
      <w:rPr>
        <w:rFonts w:ascii="Aptos" w:eastAsia="Aptos" w:hAnsi="Aptos" w:cs="Aptos"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F654E94"/>
    <w:multiLevelType w:val="hybridMultilevel"/>
    <w:tmpl w:val="71EE154A"/>
    <w:lvl w:ilvl="0" w:tplc="8A160E14">
      <w:numFmt w:val="bullet"/>
      <w:lvlText w:val="-"/>
      <w:lvlJc w:val="left"/>
      <w:pPr>
        <w:ind w:left="720" w:hanging="360"/>
      </w:pPr>
      <w:rPr>
        <w:rFonts w:ascii="Aptos" w:eastAsia="Aptos" w:hAnsi="Aptos" w:cs="Aptos"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DA60EE2"/>
    <w:multiLevelType w:val="hybridMultilevel"/>
    <w:tmpl w:val="310E7546"/>
    <w:lvl w:ilvl="0" w:tplc="B330EE4A">
      <w:numFmt w:val="bullet"/>
      <w:lvlText w:val="-"/>
      <w:lvlJc w:val="left"/>
      <w:pPr>
        <w:ind w:left="720" w:hanging="360"/>
      </w:pPr>
      <w:rPr>
        <w:rFonts w:ascii="Aptos" w:eastAsia="Aptos" w:hAnsi="Aptos" w:cs="Aptos" w:hint="default"/>
        <w:i/>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932085213">
    <w:abstractNumId w:val="2"/>
  </w:num>
  <w:num w:numId="2" w16cid:durableId="1289506070">
    <w:abstractNumId w:val="0"/>
  </w:num>
  <w:num w:numId="3" w16cid:durableId="185854017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E2C"/>
    <w:rsid w:val="000E096D"/>
    <w:rsid w:val="000F01A1"/>
    <w:rsid w:val="00162A98"/>
    <w:rsid w:val="003D7795"/>
    <w:rsid w:val="00430A42"/>
    <w:rsid w:val="00485790"/>
    <w:rsid w:val="00502A25"/>
    <w:rsid w:val="009417C9"/>
    <w:rsid w:val="00974776"/>
    <w:rsid w:val="009A0ED7"/>
    <w:rsid w:val="00A27F1D"/>
    <w:rsid w:val="00A46DC0"/>
    <w:rsid w:val="00AF6E2C"/>
    <w:rsid w:val="00BF5C7D"/>
    <w:rsid w:val="00CE6EC5"/>
    <w:rsid w:val="00D66E16"/>
    <w:rsid w:val="00D80B14"/>
    <w:rsid w:val="00DA7CB5"/>
    <w:rsid w:val="00F001C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AC4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pPr>
      <w:keepNext/>
      <w:keepLines/>
      <w:spacing w:before="220" w:after="40"/>
      <w:outlineLvl w:val="4"/>
    </w:pPr>
    <w:rPr>
      <w:b/>
      <w:bCs/>
    </w:rPr>
  </w:style>
  <w:style w:type="paragraph" w:styleId="Nagwek6">
    <w:name w:val="heading 6"/>
    <w:basedOn w:val="Normalny"/>
    <w:next w:val="Normalny"/>
    <w:uiPriority w:val="9"/>
    <w:semiHidden/>
    <w:unhideWhenUsed/>
    <w:qFormat/>
    <w:pPr>
      <w:keepNext/>
      <w:keepLines/>
      <w:spacing w:before="200" w:after="40"/>
      <w:outlineLvl w:val="5"/>
    </w:pPr>
    <w:rPr>
      <w:b/>
      <w:bCs/>
      <w:sz w:val="20"/>
      <w:szCs w:val="20"/>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before="480" w:after="120"/>
    </w:pPr>
    <w:rPr>
      <w:b/>
      <w:bCs/>
      <w:sz w:val="72"/>
      <w:szCs w:val="72"/>
    </w:rPr>
  </w:style>
  <w:style w:type="paragraph" w:styleId="Podtytu">
    <w:name w:val="Subtitle"/>
    <w:basedOn w:val="Normalny"/>
    <w:next w:val="Normalny"/>
    <w:uiPriority w:val="11"/>
    <w:qFormat/>
    <w:pPr>
      <w:keepNext/>
      <w:keepLines/>
      <w:spacing w:before="360" w:after="80"/>
    </w:pPr>
    <w:rPr>
      <w:rFonts w:ascii="Georgia" w:eastAsia="Georgia" w:hAnsi="Georgia" w:cs="Georgia"/>
      <w:i/>
      <w:iCs/>
      <w:color w:val="666666"/>
      <w:sz w:val="48"/>
      <w:szCs w:val="48"/>
    </w:rPr>
  </w:style>
  <w:style w:type="paragraph" w:styleId="Akapitzlist">
    <w:name w:val="List Paragraph"/>
    <w:basedOn w:val="Normalny"/>
    <w:uiPriority w:val="34"/>
    <w:qFormat/>
    <w:rsid w:val="00F001CF"/>
    <w:pPr>
      <w:ind w:left="720"/>
      <w:contextualSpacing/>
    </w:pPr>
  </w:style>
  <w:style w:type="character" w:styleId="Hipercze">
    <w:name w:val="Hyperlink"/>
    <w:basedOn w:val="Domylnaczcionkaakapitu"/>
    <w:uiPriority w:val="99"/>
    <w:unhideWhenUsed/>
    <w:rsid w:val="009417C9"/>
    <w:rPr>
      <w:color w:val="0000FF" w:themeColor="hyperlink"/>
      <w:u w:val="single"/>
    </w:rPr>
  </w:style>
  <w:style w:type="character" w:styleId="Nierozpoznanawzmianka">
    <w:name w:val="Unresolved Mention"/>
    <w:basedOn w:val="Domylnaczcionkaakapitu"/>
    <w:uiPriority w:val="99"/>
    <w:semiHidden/>
    <w:unhideWhenUsed/>
    <w:rsid w:val="009417C9"/>
    <w:rPr>
      <w:color w:val="605E5C"/>
      <w:shd w:val="clear" w:color="auto" w:fill="E1DFDD"/>
    </w:rPr>
  </w:style>
  <w:style w:type="character" w:styleId="UyteHipercze">
    <w:name w:val="FollowedHyperlink"/>
    <w:basedOn w:val="Domylnaczcionkaakapitu"/>
    <w:uiPriority w:val="99"/>
    <w:semiHidden/>
    <w:unhideWhenUsed/>
    <w:rsid w:val="009417C9"/>
    <w:rPr>
      <w:color w:val="800080" w:themeColor="followedHyperlink"/>
      <w:u w:val="single"/>
    </w:rPr>
  </w:style>
  <w:style w:type="paragraph" w:styleId="Nagwek">
    <w:name w:val="header"/>
    <w:basedOn w:val="Normalny"/>
    <w:link w:val="NagwekZnak"/>
    <w:uiPriority w:val="99"/>
    <w:unhideWhenUsed/>
    <w:rsid w:val="00162A9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62A98"/>
  </w:style>
  <w:style w:type="paragraph" w:styleId="Stopka">
    <w:name w:val="footer"/>
    <w:basedOn w:val="Normalny"/>
    <w:link w:val="StopkaZnak"/>
    <w:uiPriority w:val="99"/>
    <w:unhideWhenUsed/>
    <w:rsid w:val="00162A9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62A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lik.com/news/blog" TargetMode="External"/><Relationship Id="rId3" Type="http://schemas.openxmlformats.org/officeDocument/2006/relationships/settings" Target="settings.xml"/><Relationship Id="rId7" Type="http://schemas.openxmlformats.org/officeDocument/2006/relationships/hyperlink" Target="http://www.podszywacze.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1167</Words>
  <Characters>7007</Characters>
  <Application>Microsoft Office Word</Application>
  <DocSecurity>0</DocSecurity>
  <Lines>58</Lines>
  <Paragraphs>16</Paragraphs>
  <ScaleCrop>false</ScaleCrop>
  <Company/>
  <LinksUpToDate>false</LinksUpToDate>
  <CharactersWithSpaces>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2026-09-22T07:10:00Z</dcterms:created>
  <dcterms:modified xsi:type="dcterms:W3CDTF">2026-09-22T07:23:00Z</dcterms:modified>
</cp:coreProperties>
</file>