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7E82" w14:textId="502EFC6D" w:rsidR="00D763C9" w:rsidRDefault="00C66D98" w:rsidP="00D8477D">
      <w:r w:rsidRPr="00C66D98">
        <w:rPr>
          <w:noProof/>
        </w:rPr>
        <mc:AlternateContent>
          <mc:Choice Requires="wps">
            <w:drawing>
              <wp:anchor distT="0" distB="0" distL="114300" distR="114300" simplePos="0" relativeHeight="251658240" behindDoc="0" locked="0" layoutInCell="1" allowOverlap="1" wp14:anchorId="79F3970F" wp14:editId="48B2DE3A">
                <wp:simplePos x="0" y="0"/>
                <wp:positionH relativeFrom="margin">
                  <wp:align>center</wp:align>
                </wp:positionH>
                <wp:positionV relativeFrom="paragraph">
                  <wp:posOffset>3175</wp:posOffset>
                </wp:positionV>
                <wp:extent cx="659958" cy="330200"/>
                <wp:effectExtent l="0" t="0" r="6985" b="0"/>
                <wp:wrapNone/>
                <wp:docPr id="6" name="Rounded Rectangle">
                  <a:extLst xmlns:a="http://schemas.openxmlformats.org/drawingml/2006/main">
                    <a:ext uri="{FF2B5EF4-FFF2-40B4-BE49-F238E27FC236}">
                      <a16:creationId xmlns:a16="http://schemas.microsoft.com/office/drawing/2014/main" id="{FAD25626-EF60-4A21-BFC4-2A00B0CE03C5}"/>
                    </a:ext>
                  </a:extLst>
                </wp:docPr>
                <wp:cNvGraphicFramePr/>
                <a:graphic xmlns:a="http://schemas.openxmlformats.org/drawingml/2006/main">
                  <a:graphicData uri="http://schemas.microsoft.com/office/word/2010/wordprocessingShape">
                    <wps:wsp>
                      <wps:cNvSpPr/>
                      <wps:spPr>
                        <a:xfrm>
                          <a:off x="0" y="0"/>
                          <a:ext cx="659958" cy="330200"/>
                        </a:xfrm>
                        <a:prstGeom prst="roundRect">
                          <a:avLst>
                            <a:gd name="adj" fmla="val 50000"/>
                          </a:avLst>
                        </a:prstGeom>
                        <a:solidFill>
                          <a:srgbClr val="0195C7"/>
                        </a:solidFill>
                        <a:ln w="12700">
                          <a:miter lim="400000"/>
                        </a:ln>
                      </wps:spPr>
                      <wps:txbx>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wps:txbx>
                      <wps:bodyPr wrap="square" lIns="50800" tIns="50800" rIns="50800" bIns="50800" anchor="ctr">
                        <a:noAutofit/>
                      </wps:bodyPr>
                    </wps:wsp>
                  </a:graphicData>
                </a:graphic>
                <wp14:sizeRelH relativeFrom="margin">
                  <wp14:pctWidth>0</wp14:pctWidth>
                </wp14:sizeRelH>
                <wp14:sizeRelV relativeFrom="margin">
                  <wp14:pctHeight>0</wp14:pctHeight>
                </wp14:sizeRelV>
              </wp:anchor>
            </w:drawing>
          </mc:Choice>
          <mc:Fallback>
            <w:pict>
              <v:roundrect w14:anchorId="79F3970F" id="Rounded Rectangle" o:spid="_x0000_s1026" style="position:absolute;margin-left:0;margin-top:.25pt;width:51.95pt;height: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" fillcolor="#0195c7" stroked="f" strokeweight="1pt">
                <v:stroke miterlimit="4" joinstyle="miter"/>
                <v:textbox inset="4pt,4pt,4pt,4pt">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v:textbox>
                <w10:wrap anchorx="margin"/>
              </v:roundrect>
            </w:pict>
          </mc:Fallback>
        </mc:AlternateContent>
      </w:r>
    </w:p>
    <w:p w14:paraId="75CC24E3" w14:textId="77777777" w:rsidR="00D8477D" w:rsidRPr="00D8477D" w:rsidRDefault="00D8477D" w:rsidP="00D8477D"/>
    <w:p w14:paraId="324B1A98" w14:textId="66D262AF" w:rsidR="00C66D98" w:rsidRDefault="00315E0E" w:rsidP="00DF2C62">
      <w:pPr>
        <w:spacing w:after="80" w:line="264" w:lineRule="auto"/>
        <w:jc w:val="center"/>
        <w:rPr>
          <w:rFonts w:ascii="Microsoft PhagsPa" w:eastAsia="Microsoft JhengHei UI" w:hAnsi="Microsoft PhagsPa"/>
          <w:b/>
          <w:bCs/>
          <w:color w:val="0195C7"/>
          <w:sz w:val="40"/>
          <w:szCs w:val="40"/>
          <w:lang w:val="pt-PT"/>
        </w:rPr>
      </w:pPr>
      <w:r w:rsidRPr="00315E0E">
        <w:rPr>
          <w:rFonts w:ascii="Microsoft PhagsPa" w:eastAsia="Microsoft JhengHei UI" w:hAnsi="Microsoft PhagsPa"/>
          <w:b/>
          <w:bCs/>
          <w:color w:val="0195C7"/>
          <w:sz w:val="40"/>
          <w:szCs w:val="40"/>
          <w:lang w:val="pt-PT"/>
        </w:rPr>
        <w:t>8 dicas para gerir melhor o dinheiro depois da reforma</w:t>
      </w:r>
    </w:p>
    <w:p w14:paraId="25697B2D" w14:textId="77777777" w:rsidR="00DF7F0D" w:rsidRDefault="00DF7F0D" w:rsidP="00DF7F0D">
      <w:pPr>
        <w:spacing w:after="240" w:line="360" w:lineRule="auto"/>
        <w:ind w:left="357"/>
        <w:jc w:val="both"/>
        <w:rPr>
          <w:rFonts w:ascii="Microsoft PhagsPa" w:eastAsia="Microsoft JhengHei UI" w:hAnsi="Microsoft PhagsPa"/>
          <w:sz w:val="22"/>
          <w:szCs w:val="22"/>
          <w:lang w:val="pt-PT"/>
        </w:rPr>
      </w:pPr>
    </w:p>
    <w:p w14:paraId="2CF35A36" w14:textId="369CDF29" w:rsidR="00315E0E" w:rsidRPr="00315E0E" w:rsidRDefault="00A408F6" w:rsidP="00315E0E">
      <w:pPr>
        <w:spacing w:after="240" w:line="360" w:lineRule="auto"/>
        <w:ind w:left="357"/>
        <w:jc w:val="both"/>
        <w:rPr>
          <w:rFonts w:ascii="Microsoft PhagsPa" w:eastAsia="Microsoft JhengHei UI" w:hAnsi="Microsoft PhagsPa"/>
          <w:sz w:val="22"/>
          <w:szCs w:val="22"/>
          <w:lang w:val="pt-PT"/>
        </w:rPr>
      </w:pPr>
      <w:r w:rsidRPr="00A408F6">
        <w:rPr>
          <w:rFonts w:ascii="Microsoft PhagsPa" w:eastAsia="Microsoft JhengHei UI" w:hAnsi="Microsoft PhagsPa"/>
          <w:sz w:val="22"/>
          <w:szCs w:val="22"/>
          <w:lang w:val="pt-PT"/>
        </w:rPr>
        <w:t>C</w:t>
      </w:r>
      <w:r w:rsidR="00315E0E">
        <w:rPr>
          <w:rFonts w:ascii="Microsoft PhagsPa" w:eastAsia="Microsoft JhengHei UI" w:hAnsi="Microsoft PhagsPa"/>
          <w:sz w:val="22"/>
          <w:szCs w:val="22"/>
          <w:lang w:val="pt-PT"/>
        </w:rPr>
        <w:t xml:space="preserve">om a reforma o </w:t>
      </w:r>
      <w:r w:rsidR="00315E0E" w:rsidRPr="00315E0E">
        <w:rPr>
          <w:rFonts w:ascii="Microsoft PhagsPa" w:eastAsia="Microsoft JhengHei UI" w:hAnsi="Microsoft PhagsPa"/>
          <w:sz w:val="22"/>
          <w:szCs w:val="22"/>
          <w:lang w:val="pt-PT"/>
        </w:rPr>
        <w:t>rendimento tende a tornar-se mais previsível, mas pode existir menos margem para absorver aumentos de preços, despesas de saúde, obras em casa ou outros imprevistos.</w:t>
      </w:r>
    </w:p>
    <w:p w14:paraId="23AB233A" w14:textId="77777777" w:rsidR="00315E0E" w:rsidRPr="00315E0E" w:rsidRDefault="00315E0E" w:rsidP="00315E0E">
      <w:pPr>
        <w:spacing w:after="240" w:line="360" w:lineRule="auto"/>
        <w:ind w:left="357"/>
        <w:jc w:val="both"/>
        <w:rPr>
          <w:rFonts w:ascii="Microsoft PhagsPa" w:eastAsia="Microsoft JhengHei UI" w:hAnsi="Microsoft PhagsPa"/>
          <w:sz w:val="22"/>
          <w:szCs w:val="22"/>
          <w:lang w:val="pt-PT"/>
        </w:rPr>
      </w:pPr>
      <w:r w:rsidRPr="00315E0E">
        <w:rPr>
          <w:rFonts w:ascii="Microsoft PhagsPa" w:eastAsia="Microsoft JhengHei UI" w:hAnsi="Microsoft PhagsPa"/>
          <w:sz w:val="22"/>
          <w:szCs w:val="22"/>
          <w:lang w:val="pt-PT"/>
        </w:rPr>
        <w:t>Nesta fase, algumas decisões ganham também maior peso, uma vez que o tempo disponível para recuperar de uma perda financeira pode ser menor. Conhecer o rendimento disponível, organizar as despesas, rever contratos e gerir as poupanças de acordo com as necessidades ajuda a preservar a estabilidade financeira e a autonomia ao longo dos anos.</w:t>
      </w:r>
    </w:p>
    <w:p w14:paraId="26AA7420" w14:textId="04CB46FC" w:rsidR="002F5B37" w:rsidRDefault="00315E0E" w:rsidP="00D763C9">
      <w:pPr>
        <w:spacing w:after="240" w:line="360" w:lineRule="auto"/>
        <w:ind w:left="357"/>
        <w:jc w:val="both"/>
        <w:rPr>
          <w:rFonts w:ascii="Microsoft PhagsPa" w:eastAsia="Microsoft JhengHei UI" w:hAnsi="Microsoft PhagsPa"/>
          <w:sz w:val="22"/>
          <w:szCs w:val="22"/>
          <w:lang w:val="pt-PT"/>
        </w:rPr>
      </w:pPr>
      <w:r w:rsidRPr="00315E0E">
        <w:rPr>
          <w:rFonts w:ascii="Microsoft PhagsPa" w:eastAsia="Microsoft JhengHei UI" w:hAnsi="Microsoft PhagsPa"/>
          <w:sz w:val="22"/>
          <w:szCs w:val="22"/>
          <w:lang w:val="pt-PT"/>
        </w:rPr>
        <w:t>A pensar em quem já está reformado ou se aproxima desta fase,</w:t>
      </w:r>
      <w:r>
        <w:rPr>
          <w:rFonts w:ascii="Microsoft PhagsPa" w:eastAsia="Microsoft JhengHei UI" w:hAnsi="Microsoft PhagsPa"/>
          <w:sz w:val="22"/>
          <w:szCs w:val="22"/>
          <w:lang w:val="pt-PT"/>
        </w:rPr>
        <w:t xml:space="preserve"> </w:t>
      </w:r>
      <w:r w:rsidR="00D763C9" w:rsidRPr="00D763C9">
        <w:rPr>
          <w:rFonts w:ascii="Microsoft PhagsPa" w:eastAsia="Microsoft JhengHei UI" w:hAnsi="Microsoft PhagsPa"/>
          <w:sz w:val="22"/>
          <w:szCs w:val="22"/>
          <w:lang w:val="pt-PT"/>
        </w:rPr>
        <w:t xml:space="preserve">o </w:t>
      </w:r>
      <w:hyperlink r:id="rId10" w:history="1">
        <w:r w:rsidR="00D763C9" w:rsidRPr="00D763C9">
          <w:rPr>
            <w:rStyle w:val="Hiperligao"/>
            <w:rFonts w:ascii="Microsoft PhagsPa" w:eastAsia="Microsoft JhengHei UI" w:hAnsi="Microsoft PhagsPa"/>
            <w:sz w:val="22"/>
            <w:szCs w:val="22"/>
            <w:lang w:val="pt-PT"/>
          </w:rPr>
          <w:t>Doutor Finanças</w:t>
        </w:r>
      </w:hyperlink>
      <w:r w:rsidR="00D763C9" w:rsidRPr="00D763C9">
        <w:rPr>
          <w:rFonts w:ascii="Microsoft PhagsPa" w:eastAsia="Microsoft JhengHei UI" w:hAnsi="Microsoft PhagsPa"/>
          <w:sz w:val="22"/>
          <w:szCs w:val="22"/>
          <w:lang w:val="pt-PT"/>
        </w:rPr>
        <w:t xml:space="preserve"> </w:t>
      </w:r>
      <w:r w:rsidRPr="00315E0E">
        <w:rPr>
          <w:rFonts w:ascii="Microsoft PhagsPa" w:eastAsia="Microsoft JhengHei UI" w:hAnsi="Microsoft PhagsPa"/>
          <w:sz w:val="22"/>
          <w:szCs w:val="22"/>
          <w:lang w:val="pt-PT"/>
        </w:rPr>
        <w:t>reuniu oito cuidados a ter em conta para proteger o dinheiro depois da reforma</w:t>
      </w:r>
      <w:r w:rsidR="0032632B" w:rsidRPr="0032632B">
        <w:rPr>
          <w:rFonts w:ascii="Microsoft PhagsPa" w:eastAsia="Microsoft JhengHei UI" w:hAnsi="Microsoft PhagsPa"/>
          <w:sz w:val="22"/>
          <w:szCs w:val="22"/>
          <w:lang w:val="pt-PT"/>
        </w:rPr>
        <w:t>.</w:t>
      </w:r>
      <w:r w:rsidR="00CE7139" w:rsidRPr="00CE7139">
        <w:rPr>
          <w:rFonts w:ascii="Microsoft PhagsPa" w:eastAsia="Microsoft JhengHei UI" w:hAnsi="Microsoft PhagsPa"/>
          <w:sz w:val="22"/>
          <w:szCs w:val="22"/>
          <w:lang w:val="pt-PT"/>
        </w:rPr>
        <w:t xml:space="preserve"> </w:t>
      </w:r>
    </w:p>
    <w:p w14:paraId="3D20BE3B" w14:textId="09C14326" w:rsidR="00DC411D" w:rsidRPr="0014328B" w:rsidRDefault="000D6C02" w:rsidP="0014328B">
      <w:pPr>
        <w:pStyle w:val="PargrafodaLista"/>
        <w:numPr>
          <w:ilvl w:val="0"/>
          <w:numId w:val="6"/>
        </w:numPr>
        <w:spacing w:after="240" w:line="360" w:lineRule="auto"/>
        <w:jc w:val="both"/>
        <w:rPr>
          <w:rFonts w:ascii="Microsoft PhagsPa" w:eastAsia="Microsoft JhengHei UI" w:hAnsi="Microsoft PhagsPa"/>
          <w:lang w:val="pt-PT"/>
        </w:rPr>
      </w:pPr>
      <w:r w:rsidRPr="000D6C02">
        <w:rPr>
          <w:rFonts w:ascii="Microsoft PhagsPa" w:eastAsia="Microsoft JhengHei UI" w:hAnsi="Microsoft PhagsPa"/>
          <w:b/>
          <w:bCs/>
          <w:color w:val="0195C7"/>
          <w:lang w:val="pt-PT"/>
        </w:rPr>
        <w:t>Fazer as contas com o rendimento líquido disponível</w:t>
      </w:r>
    </w:p>
    <w:p w14:paraId="6E6D4C2A" w14:textId="77777777" w:rsidR="003C34CE" w:rsidRPr="003C34CE" w:rsidRDefault="003C34CE" w:rsidP="003C34CE">
      <w:pPr>
        <w:spacing w:after="240" w:line="360" w:lineRule="auto"/>
        <w:ind w:left="426"/>
        <w:jc w:val="both"/>
        <w:rPr>
          <w:rFonts w:ascii="Microsoft PhagsPa" w:eastAsia="Microsoft JhengHei UI" w:hAnsi="Microsoft PhagsPa"/>
          <w:sz w:val="22"/>
          <w:szCs w:val="22"/>
          <w:lang w:val="pt-PT"/>
        </w:rPr>
      </w:pPr>
      <w:r w:rsidRPr="003C34CE">
        <w:rPr>
          <w:rFonts w:ascii="Microsoft PhagsPa" w:eastAsia="Microsoft JhengHei UI" w:hAnsi="Microsoft PhagsPa"/>
          <w:sz w:val="22"/>
          <w:szCs w:val="22"/>
          <w:lang w:val="pt-PT"/>
        </w:rPr>
        <w:t>O primeiro passo para organizar as finanças é perceber quanto dinheiro fica disponível todos os meses. Para isso, deve ser considerado o valor líquido da pensão, ou seja, o montante recebido depois de impostos e outros descontos aplicáveis.</w:t>
      </w:r>
    </w:p>
    <w:p w14:paraId="1D9B24BE" w14:textId="67F2E2D1" w:rsidR="00D8477D" w:rsidRPr="00D8477D" w:rsidRDefault="003C34CE" w:rsidP="003C34CE">
      <w:pPr>
        <w:spacing w:after="240" w:line="360" w:lineRule="auto"/>
        <w:ind w:left="426"/>
        <w:jc w:val="both"/>
        <w:rPr>
          <w:rFonts w:ascii="Microsoft PhagsPa" w:eastAsia="Microsoft JhengHei UI" w:hAnsi="Microsoft PhagsPa"/>
          <w:sz w:val="22"/>
          <w:szCs w:val="22"/>
          <w:lang w:val="pt-PT"/>
        </w:rPr>
      </w:pPr>
      <w:r w:rsidRPr="003C34CE">
        <w:rPr>
          <w:rFonts w:ascii="Microsoft PhagsPa" w:eastAsia="Microsoft JhengHei UI" w:hAnsi="Microsoft PhagsPa"/>
          <w:sz w:val="22"/>
          <w:szCs w:val="22"/>
          <w:lang w:val="pt-PT"/>
        </w:rPr>
        <w:t>Quando existem várias pensões, complementos ou outros rendimentos regulares, importa somar todos os valores líquidos. É com base nesse total que deve ser definido o orçamento mensal e avaliada a margem disponível para despesas, poupança e imprevistos.</w:t>
      </w:r>
    </w:p>
    <w:p w14:paraId="5BF07517" w14:textId="67A3C475" w:rsidR="0014328B" w:rsidRPr="00D763C9" w:rsidRDefault="00D72B8C" w:rsidP="0014328B">
      <w:pPr>
        <w:pStyle w:val="PargrafodaLista"/>
        <w:numPr>
          <w:ilvl w:val="0"/>
          <w:numId w:val="6"/>
        </w:numPr>
        <w:spacing w:after="240" w:line="360" w:lineRule="auto"/>
        <w:jc w:val="both"/>
        <w:rPr>
          <w:rFonts w:ascii="Microsoft PhagsPa" w:eastAsia="Microsoft JhengHei UI" w:hAnsi="Microsoft PhagsPa"/>
          <w:lang w:val="pt-PT"/>
        </w:rPr>
      </w:pPr>
      <w:r w:rsidRPr="00D72B8C">
        <w:rPr>
          <w:rFonts w:ascii="Microsoft PhagsPa" w:eastAsia="Microsoft JhengHei UI" w:hAnsi="Microsoft PhagsPa"/>
          <w:b/>
          <w:bCs/>
          <w:color w:val="0195C7"/>
          <w:lang w:val="pt-PT"/>
        </w:rPr>
        <w:t>Avaliar o peso real da habitação no orçamento</w:t>
      </w:r>
    </w:p>
    <w:p w14:paraId="176D3322" w14:textId="77777777" w:rsidR="00D72B8C" w:rsidRPr="00D72B8C"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lastRenderedPageBreak/>
        <w:t>A habitação pode fazer uma diferença significativa no orçamento depois da reforma. Quem ainda paga uma renda ou uma prestação de crédito habitação terá, à partida, menos margem para outras despesas. Mas mesmo uma casa totalmente paga continua a representar encargos.</w:t>
      </w:r>
    </w:p>
    <w:p w14:paraId="6E131A33" w14:textId="272909AB" w:rsidR="002F5B37" w:rsidRPr="002F5B37"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Condomínio, IMI, seguros, manutenção, obras e despesas de energia devem ser considerados em conjunto. Mais do que olhar apenas para a renda ou prestação, importa perceber quanto custa efetivamente manter a habitação e se esse valor continua ajustado ao rendimento disponível.</w:t>
      </w:r>
    </w:p>
    <w:p w14:paraId="30C668C8" w14:textId="6C51ABAF" w:rsidR="00963E08" w:rsidRPr="0014328B" w:rsidRDefault="00D72B8C" w:rsidP="00963E08">
      <w:pPr>
        <w:pStyle w:val="PargrafodaLista"/>
        <w:numPr>
          <w:ilvl w:val="0"/>
          <w:numId w:val="6"/>
        </w:numPr>
        <w:spacing w:after="240" w:line="360" w:lineRule="auto"/>
        <w:jc w:val="both"/>
        <w:rPr>
          <w:rFonts w:ascii="Microsoft PhagsPa" w:eastAsia="Microsoft JhengHei UI" w:hAnsi="Microsoft PhagsPa"/>
          <w:lang w:val="pt-PT"/>
        </w:rPr>
      </w:pPr>
      <w:r w:rsidRPr="00D72B8C">
        <w:rPr>
          <w:rFonts w:ascii="Microsoft PhagsPa" w:eastAsia="Microsoft JhengHei UI" w:hAnsi="Microsoft PhagsPa"/>
          <w:b/>
          <w:bCs/>
          <w:color w:val="0195C7"/>
          <w:lang w:val="pt-PT"/>
        </w:rPr>
        <w:t>Contar também com as despesas que não aparecem todos os meses</w:t>
      </w:r>
    </w:p>
    <w:p w14:paraId="53561B77" w14:textId="77777777" w:rsidR="00D72B8C" w:rsidRPr="00D72B8C"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Nem todos os encargos surgem mensalmente. Seguros anuais, IMI, consultas, tratamentos, reparações ou outras despesas ocasionais podem concentrar-se num determinado momento do ano e pressionar um orçamento que, à partida, parecia equilibrado.</w:t>
      </w:r>
    </w:p>
    <w:p w14:paraId="32795972" w14:textId="2CC9DB65" w:rsidR="0016079C" w:rsidRPr="00D8477D"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Uma forma de antecipar estes encargos passa por calcular aproximadamente quanto representam ao longo do ano, dividir esse montante por 12 e reservar mensalmente a quantia correspondente. Desta forma, uma despesa previsível tem menor probabilidade de desequilibrar o orçamento quando chega o momento de a pagar.</w:t>
      </w:r>
    </w:p>
    <w:p w14:paraId="17D1A321" w14:textId="43D61F3B" w:rsidR="00753D12" w:rsidRPr="0014328B" w:rsidRDefault="00D72B8C" w:rsidP="00753D12">
      <w:pPr>
        <w:pStyle w:val="PargrafodaLista"/>
        <w:numPr>
          <w:ilvl w:val="0"/>
          <w:numId w:val="6"/>
        </w:numPr>
        <w:spacing w:after="240" w:line="360" w:lineRule="auto"/>
        <w:jc w:val="both"/>
        <w:rPr>
          <w:rFonts w:ascii="Microsoft PhagsPa" w:eastAsia="Microsoft JhengHei UI" w:hAnsi="Microsoft PhagsPa"/>
          <w:lang w:val="pt-PT"/>
        </w:rPr>
      </w:pPr>
      <w:r w:rsidRPr="00D72B8C">
        <w:rPr>
          <w:rFonts w:ascii="Microsoft PhagsPa" w:eastAsia="Microsoft JhengHei UI" w:hAnsi="Microsoft PhagsPa"/>
          <w:b/>
          <w:bCs/>
          <w:color w:val="0195C7"/>
          <w:lang w:val="pt-PT"/>
        </w:rPr>
        <w:t>Confirmar os apoios disponíveis antes de cortar no essencial</w:t>
      </w:r>
    </w:p>
    <w:p w14:paraId="7D44883D" w14:textId="77777777" w:rsidR="00D72B8C" w:rsidRPr="00D72B8C"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Quando o orçamento fica mais apertado, reduzir despesas com alimentação, aquecimento, medicamentos ou transportes não deve ser necessariamente o primeiro passo. Existem apoios sociais, benefícios e tarifas reduzidas que podem ajudar a aliviar alguns encargos.</w:t>
      </w:r>
    </w:p>
    <w:p w14:paraId="79A3D6FE" w14:textId="25C0489A" w:rsidR="00563C07" w:rsidRPr="00563C07"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Entre as possibilidades encontram-se o Complemento Solidário para Idosos, benefícios associados à saúde, tarifas sociais na energia, água ou internet, isenção de IMI em determinadas condições e descontos nos transportes. Alguns mecanismos são automáticos, enquanto outros exigem confirmação ou pedido junto da entidade responsável.</w:t>
      </w:r>
    </w:p>
    <w:p w14:paraId="7C95BADF" w14:textId="1FC45C49" w:rsidR="00563C07" w:rsidRPr="009E5BCE" w:rsidRDefault="00D72B8C" w:rsidP="00753D12">
      <w:pPr>
        <w:pStyle w:val="PargrafodaLista"/>
        <w:numPr>
          <w:ilvl w:val="0"/>
          <w:numId w:val="6"/>
        </w:numPr>
        <w:spacing w:after="240" w:line="360" w:lineRule="auto"/>
        <w:jc w:val="both"/>
        <w:rPr>
          <w:rFonts w:ascii="Microsoft PhagsPa" w:eastAsia="Microsoft JhengHei UI" w:hAnsi="Microsoft PhagsPa"/>
          <w:lang w:val="pt-PT"/>
        </w:rPr>
      </w:pPr>
      <w:r w:rsidRPr="00D72B8C">
        <w:rPr>
          <w:rFonts w:ascii="Microsoft PhagsPa" w:eastAsia="Microsoft JhengHei UI" w:hAnsi="Microsoft PhagsPa"/>
          <w:b/>
          <w:bCs/>
          <w:color w:val="0195C7"/>
          <w:lang w:val="pt-PT"/>
        </w:rPr>
        <w:lastRenderedPageBreak/>
        <w:t>Rever contratos, contas e outras despesas recorrentes</w:t>
      </w:r>
    </w:p>
    <w:p w14:paraId="4D84CA64" w14:textId="6ABE1D7A" w:rsidR="00D72B8C" w:rsidRPr="00D72B8C"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Contratos antigos e pequenos pagamentos regulares podem consumir uma parte significativa do rendimento sem que exista uma perceção clara desse impacto. Pacotes de telecomunicações desajustados, subscrições pouco utilizadas, cartões, comissões bancárias ou serviços adicionais são alguns exemplos.</w:t>
      </w:r>
    </w:p>
    <w:p w14:paraId="2D96498E" w14:textId="32C5D661" w:rsidR="00CE7139" w:rsidRDefault="00D72B8C" w:rsidP="00D72B8C">
      <w:pPr>
        <w:spacing w:line="360" w:lineRule="auto"/>
        <w:ind w:left="357"/>
        <w:jc w:val="both"/>
        <w:rPr>
          <w:rFonts w:ascii="Microsoft PhagsPa" w:eastAsia="Microsoft JhengHei UI" w:hAnsi="Microsoft PhagsPa"/>
          <w:sz w:val="22"/>
          <w:szCs w:val="22"/>
          <w:lang w:val="pt-PT"/>
        </w:rPr>
      </w:pPr>
      <w:r w:rsidRPr="00D72B8C">
        <w:rPr>
          <w:rFonts w:ascii="Microsoft PhagsPa" w:eastAsia="Microsoft JhengHei UI" w:hAnsi="Microsoft PhagsPa"/>
          <w:sz w:val="22"/>
          <w:szCs w:val="22"/>
          <w:lang w:val="pt-PT"/>
        </w:rPr>
        <w:t>Também os produtos bancários devem ser revistos. Importa perceber quanto se paga em comissões, se todos os cartões e serviços continuam a ser necessários e quais as condições dos depósitos existentes. No caso do cartão de crédito, a utilização regular para fazer face a despesas correntes pode ser um sinal de que o orçamento precisa de ser reavaliado</w:t>
      </w:r>
      <w:r w:rsidR="00A408F6" w:rsidRPr="00A408F6">
        <w:rPr>
          <w:rFonts w:ascii="Microsoft PhagsPa" w:eastAsia="Microsoft JhengHei UI" w:hAnsi="Microsoft PhagsPa"/>
          <w:sz w:val="22"/>
          <w:szCs w:val="22"/>
          <w:lang w:val="pt-PT"/>
        </w:rPr>
        <w:t>.</w:t>
      </w:r>
    </w:p>
    <w:p w14:paraId="377D02DC" w14:textId="5D4B00FF" w:rsidR="00BD2929" w:rsidRPr="009E5BCE" w:rsidRDefault="00EB4E97" w:rsidP="00BD2929">
      <w:pPr>
        <w:pStyle w:val="PargrafodaLista"/>
        <w:numPr>
          <w:ilvl w:val="0"/>
          <w:numId w:val="6"/>
        </w:numPr>
        <w:spacing w:after="240" w:line="360" w:lineRule="auto"/>
        <w:jc w:val="both"/>
        <w:rPr>
          <w:rFonts w:ascii="Microsoft PhagsPa" w:eastAsia="Microsoft JhengHei UI" w:hAnsi="Microsoft PhagsPa"/>
          <w:lang w:val="pt-PT"/>
        </w:rPr>
      </w:pPr>
      <w:r w:rsidRPr="00EB4E97">
        <w:rPr>
          <w:rFonts w:ascii="Microsoft PhagsPa" w:eastAsia="Microsoft JhengHei UI" w:hAnsi="Microsoft PhagsPa"/>
          <w:b/>
          <w:bCs/>
          <w:color w:val="0195C7"/>
          <w:lang w:val="pt-PT"/>
        </w:rPr>
        <w:t>Garantir que os seguros continuam adequados</w:t>
      </w:r>
    </w:p>
    <w:p w14:paraId="33ABF67D" w14:textId="77777777" w:rsidR="00EB4E97" w:rsidRPr="00EB4E97" w:rsidRDefault="00EB4E97" w:rsidP="00EB4E97">
      <w:pPr>
        <w:spacing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As necessidades de proteção podem mudar depois da reforma e os seguros devem acompanhar essa evolução. No seguro de saúde, por exemplo, podem existir aumentos de prémio, limites de idade, exclusões ou alterações das coberturas que importa conhecer antes de manter ou substituir uma apólice.</w:t>
      </w:r>
    </w:p>
    <w:p w14:paraId="51E38936" w14:textId="12FEF5C3" w:rsidR="00BD2929" w:rsidRDefault="00EB4E97" w:rsidP="00EB4E97">
      <w:pPr>
        <w:spacing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O mesmo princípio</w:t>
      </w:r>
      <w:r>
        <w:rPr>
          <w:rFonts w:ascii="Microsoft PhagsPa" w:eastAsia="Microsoft JhengHei UI" w:hAnsi="Microsoft PhagsPa"/>
          <w:sz w:val="22"/>
          <w:szCs w:val="22"/>
          <w:lang w:val="pt-PT"/>
        </w:rPr>
        <w:t xml:space="preserve"> se</w:t>
      </w:r>
      <w:r w:rsidRPr="00EB4E97">
        <w:rPr>
          <w:rFonts w:ascii="Microsoft PhagsPa" w:eastAsia="Microsoft JhengHei UI" w:hAnsi="Microsoft PhagsPa"/>
          <w:sz w:val="22"/>
          <w:szCs w:val="22"/>
          <w:lang w:val="pt-PT"/>
        </w:rPr>
        <w:t xml:space="preserve"> aplica aos seguros de vida, automóvel e multirriscos. O capital seguro, as coberturas e o preço devem continuar ajustados à realidade atual, evitando tanto pagar por proteções desnecessárias como reduzir coberturas importantes apenas para diminuir o custo imediato.</w:t>
      </w:r>
    </w:p>
    <w:p w14:paraId="2113CDE9" w14:textId="50A2A2D7" w:rsidR="00BD2929" w:rsidRPr="009E5BCE" w:rsidRDefault="00EB4E97" w:rsidP="00BD2929">
      <w:pPr>
        <w:pStyle w:val="PargrafodaLista"/>
        <w:numPr>
          <w:ilvl w:val="0"/>
          <w:numId w:val="6"/>
        </w:numPr>
        <w:spacing w:after="240" w:line="360" w:lineRule="auto"/>
        <w:jc w:val="both"/>
        <w:rPr>
          <w:rFonts w:ascii="Microsoft PhagsPa" w:eastAsia="Microsoft JhengHei UI" w:hAnsi="Microsoft PhagsPa"/>
          <w:lang w:val="pt-PT"/>
        </w:rPr>
      </w:pPr>
      <w:r w:rsidRPr="00EB4E97">
        <w:rPr>
          <w:rFonts w:ascii="Microsoft PhagsPa" w:eastAsia="Microsoft JhengHei UI" w:hAnsi="Microsoft PhagsPa"/>
          <w:b/>
          <w:bCs/>
          <w:color w:val="0195C7"/>
          <w:lang w:val="pt-PT"/>
        </w:rPr>
        <w:t>Separar as poupanças de acordo com a sua finalidade</w:t>
      </w:r>
    </w:p>
    <w:p w14:paraId="5F028A21" w14:textId="77777777" w:rsidR="00EB4E97" w:rsidRPr="00EB4E97" w:rsidRDefault="00EB4E97" w:rsidP="00EB4E97">
      <w:pPr>
        <w:spacing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Nem todo o dinheiro poupado deve ter o mesmo destino. Uma parte deve estar disponível para despesas inesperadas, outra pode ficar reservada para encargos previstos nos próximos meses ou anos e apenas o montante que não será necessário no curto prazo deverá ser considerado para aplicações de maior duração.</w:t>
      </w:r>
    </w:p>
    <w:p w14:paraId="5E638B4A" w14:textId="07A221C8" w:rsidR="009F775E" w:rsidRPr="009F775E" w:rsidRDefault="00EB4E97" w:rsidP="00EB4E97">
      <w:pPr>
        <w:spacing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 xml:space="preserve">Na reforma, pode fazer sentido manter uma reserva de emergência facilmente acessível e sem exposição relevante ao risco de mercado. Nos restantes investimentos, o prazo é </w:t>
      </w:r>
      <w:r w:rsidRPr="00EB4E97">
        <w:rPr>
          <w:rFonts w:ascii="Microsoft PhagsPa" w:eastAsia="Microsoft JhengHei UI" w:hAnsi="Microsoft PhagsPa"/>
          <w:sz w:val="22"/>
          <w:szCs w:val="22"/>
          <w:lang w:val="pt-PT"/>
        </w:rPr>
        <w:lastRenderedPageBreak/>
        <w:t>particularmente importante: quanto menor for o tempo disponível para recuperar uma eventual perda, maior deve ser a prudência na escolha dos produtos.</w:t>
      </w:r>
    </w:p>
    <w:p w14:paraId="1A65A784" w14:textId="654DC029" w:rsidR="00BD2929" w:rsidRPr="009E5BCE" w:rsidRDefault="00EB4E97" w:rsidP="00BD2929">
      <w:pPr>
        <w:pStyle w:val="PargrafodaLista"/>
        <w:numPr>
          <w:ilvl w:val="0"/>
          <w:numId w:val="6"/>
        </w:numPr>
        <w:spacing w:after="240" w:line="360" w:lineRule="auto"/>
        <w:jc w:val="both"/>
        <w:rPr>
          <w:rFonts w:ascii="Microsoft PhagsPa" w:eastAsia="Microsoft JhengHei UI" w:hAnsi="Microsoft PhagsPa"/>
          <w:lang w:val="pt-PT"/>
        </w:rPr>
      </w:pPr>
      <w:r w:rsidRPr="00EB4E97">
        <w:rPr>
          <w:rFonts w:ascii="Microsoft PhagsPa" w:eastAsia="Microsoft JhengHei UI" w:hAnsi="Microsoft PhagsPa"/>
          <w:b/>
          <w:bCs/>
          <w:color w:val="0195C7"/>
          <w:lang w:val="pt-PT"/>
        </w:rPr>
        <w:t>Evitar decisões financeiras tomadas sob pressão</w:t>
      </w:r>
    </w:p>
    <w:p w14:paraId="35B7E5D8" w14:textId="77777777" w:rsidR="00EB4E97" w:rsidRPr="00EB4E97" w:rsidRDefault="00EB4E97" w:rsidP="00EB4E97">
      <w:pPr>
        <w:spacing w:after="80"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Uma prestação reduzida, uma oportunidade de investimento aparentemente muito rentável ou um pedido urgente de transferência podem parecer decisões simples, mas devem ser analisados com cuidado. No caso do crédito, importa considerar não apenas a prestação, mas também os juros, o prazo, as comissões e o custo total do financiamento.</w:t>
      </w:r>
    </w:p>
    <w:p w14:paraId="7910FDFF" w14:textId="77777777" w:rsidR="00EB4E97" w:rsidRPr="00EB4E97" w:rsidRDefault="00EB4E97" w:rsidP="00EB4E97">
      <w:pPr>
        <w:spacing w:after="80"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Também decisões sobre património, como uma doação, uma procuração ou uma fiança, podem ter consequências importantes e justificar aconselhamento prévio. Perante chamadas ou mensagens que peçam transferências, códigos bancários ou decisões imediatas, a regra deve ser não agir sob pressão e confirmar sempre a informação através dos canais oficiais da entidade em causa.</w:t>
      </w:r>
    </w:p>
    <w:p w14:paraId="03B52781" w14:textId="577AE6EA" w:rsidR="00BD2929" w:rsidRPr="00BD2929" w:rsidRDefault="00EB4E97" w:rsidP="00EB4E97">
      <w:pPr>
        <w:spacing w:after="80" w:line="360" w:lineRule="auto"/>
        <w:ind w:left="357"/>
        <w:jc w:val="both"/>
        <w:rPr>
          <w:rFonts w:ascii="Microsoft PhagsPa" w:eastAsia="Microsoft JhengHei UI" w:hAnsi="Microsoft PhagsPa"/>
          <w:sz w:val="22"/>
          <w:szCs w:val="22"/>
          <w:lang w:val="pt-PT"/>
        </w:rPr>
      </w:pPr>
      <w:r w:rsidRPr="00EB4E97">
        <w:rPr>
          <w:rFonts w:ascii="Microsoft PhagsPa" w:eastAsia="Microsoft JhengHei UI" w:hAnsi="Microsoft PhagsPa"/>
          <w:sz w:val="22"/>
          <w:szCs w:val="22"/>
          <w:lang w:val="pt-PT"/>
        </w:rPr>
        <w:t>O artigo completo “</w:t>
      </w:r>
      <w:hyperlink r:id="rId11" w:history="1">
        <w:r w:rsidRPr="00C930DB">
          <w:rPr>
            <w:rStyle w:val="Hiperligao"/>
            <w:rFonts w:ascii="Microsoft PhagsPa" w:eastAsia="Microsoft JhengHei UI" w:hAnsi="Microsoft PhagsPa"/>
            <w:sz w:val="22"/>
            <w:szCs w:val="22"/>
            <w:lang w:val="pt-PT"/>
          </w:rPr>
          <w:t>Guia financeiro para reformados: Como proteger o seu dinheiro</w:t>
        </w:r>
      </w:hyperlink>
      <w:r w:rsidRPr="00EB4E97">
        <w:rPr>
          <w:rFonts w:ascii="Microsoft PhagsPa" w:eastAsia="Microsoft JhengHei UI" w:hAnsi="Microsoft PhagsPa"/>
          <w:sz w:val="22"/>
          <w:szCs w:val="22"/>
          <w:lang w:val="pt-PT"/>
        </w:rPr>
        <w:t>” está disponível no portal do Doutor Finanças, com mais informação sobre orçamento, apoios, seguros, poupanças, investimentos, crédito, património e prevenção de fraudes.</w:t>
      </w:r>
    </w:p>
    <w:p w14:paraId="5133A02D" w14:textId="77777777" w:rsidR="00D249E0" w:rsidRDefault="00D249E0" w:rsidP="00324ABF">
      <w:pPr>
        <w:spacing w:after="80" w:line="360" w:lineRule="auto"/>
        <w:ind w:left="357"/>
        <w:jc w:val="both"/>
        <w:rPr>
          <w:rFonts w:ascii="Microsoft PhagsPa" w:eastAsia="Microsoft JhengHei UI" w:hAnsi="Microsoft PhagsPa"/>
          <w:b/>
          <w:bCs/>
          <w:color w:val="0195C7"/>
          <w:sz w:val="18"/>
          <w:szCs w:val="18"/>
          <w:lang w:val="pt-PT"/>
        </w:rPr>
      </w:pPr>
    </w:p>
    <w:p w14:paraId="261A5A5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Sobre o Doutor Finanças</w:t>
      </w:r>
      <w:r w:rsidRPr="004368B8">
        <w:rPr>
          <w:rFonts w:ascii="Microsoft PhagsPa" w:eastAsia="Microsoft JhengHei UI" w:hAnsi="Microsoft PhagsPa"/>
          <w:color w:val="404040" w:themeColor="text1" w:themeTint="BF"/>
          <w:sz w:val="18"/>
          <w:szCs w:val="18"/>
          <w:lang w:val="pt-PT"/>
        </w:rPr>
        <w:t> </w:t>
      </w:r>
    </w:p>
    <w:p w14:paraId="5C09B5D8"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é uma </w:t>
      </w:r>
      <w:proofErr w:type="spellStart"/>
      <w:r w:rsidRPr="004368B8">
        <w:rPr>
          <w:rFonts w:ascii="Microsoft PhagsPa" w:eastAsia="Microsoft JhengHei UI" w:hAnsi="Microsoft PhagsPa"/>
          <w:color w:val="404040" w:themeColor="text1" w:themeTint="BF"/>
          <w:sz w:val="18"/>
          <w:szCs w:val="18"/>
          <w:lang w:val="pt-PT"/>
        </w:rPr>
        <w:t>fintech</w:t>
      </w:r>
      <w:proofErr w:type="spellEnd"/>
      <w:r w:rsidRPr="004368B8">
        <w:rPr>
          <w:rFonts w:ascii="Microsoft PhagsPa" w:eastAsia="Microsoft JhengHei UI" w:hAnsi="Microsoft PhagsPa"/>
          <w:color w:val="404040" w:themeColor="text1" w:themeTint="BF"/>
          <w:sz w:val="18"/>
          <w:szCs w:val="18"/>
          <w:lang w:val="pt-PT"/>
        </w:rPr>
        <w:t> especializada na área do bem-estar financeiro, que ajuda as pessoas a tomar melhores decisões financeiras sobre crédito habitação, crédito pessoal e seguros. No mercado desde 2014, faz a ligação entre clientes e instituições financeiras, oferecendo análise, negociação e acompanhamento sem custos. O especialista fechou 2025 com um volume de negócios de 24 milhões de euros, num ano em que foi responsável por 748 milhões de euros em crédito habitação e por mais de 14 mil apólices de seguros, tendo ajudado mais de 200 mil pessoas, através da melhoria das suas condições financeiras.  </w:t>
      </w:r>
    </w:p>
    <w:p w14:paraId="7B91F64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Além disso, disponibiliza um portal com 16 milhões de visitas, onde são disponibilizados conteúdos para promover uma vida financeira saudável, bem como uma academia de formação especializada responsável por capacitar, em 2024, mais de 20 mil portugueses em finanças pessoais.  </w:t>
      </w:r>
    </w:p>
    <w:p w14:paraId="29A3228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conta com uma equipa com mais de 700 colaboradores, dos quais mais de 420 são especialistas focados na rede de lojas espalhadas de norte a sul do país, incluindo ilhas. O Doutor Finanças destaca-se como uma Fintech de referência, tendo sido reconhecida no Technology Fast 50 da </w:t>
      </w:r>
      <w:proofErr w:type="spellStart"/>
      <w:r w:rsidRPr="004368B8">
        <w:rPr>
          <w:rFonts w:ascii="Microsoft PhagsPa" w:eastAsia="Microsoft JhengHei UI" w:hAnsi="Microsoft PhagsPa"/>
          <w:color w:val="404040" w:themeColor="text1" w:themeTint="BF"/>
          <w:sz w:val="18"/>
          <w:szCs w:val="18"/>
          <w:lang w:val="pt-PT"/>
        </w:rPr>
        <w:t>Deloitte</w:t>
      </w:r>
      <w:proofErr w:type="spellEnd"/>
      <w:r w:rsidRPr="004368B8">
        <w:rPr>
          <w:rFonts w:ascii="Microsoft PhagsPa" w:eastAsia="Microsoft JhengHei UI" w:hAnsi="Microsoft PhagsPa"/>
          <w:color w:val="404040" w:themeColor="text1" w:themeTint="BF"/>
          <w:sz w:val="18"/>
          <w:szCs w:val="18"/>
          <w:lang w:val="pt-PT"/>
        </w:rPr>
        <w:t xml:space="preserve">, </w:t>
      </w:r>
      <w:r w:rsidRPr="004368B8">
        <w:rPr>
          <w:rFonts w:ascii="Microsoft PhagsPa" w:eastAsia="Microsoft JhengHei UI" w:hAnsi="Microsoft PhagsPa"/>
          <w:color w:val="404040" w:themeColor="text1" w:themeTint="BF"/>
          <w:sz w:val="18"/>
          <w:szCs w:val="18"/>
          <w:lang w:val="pt-PT"/>
        </w:rPr>
        <w:lastRenderedPageBreak/>
        <w:t>distinguida como Great </w:t>
      </w:r>
      <w:proofErr w:type="spellStart"/>
      <w:r w:rsidRPr="004368B8">
        <w:rPr>
          <w:rFonts w:ascii="Microsoft PhagsPa" w:eastAsia="Microsoft JhengHei UI" w:hAnsi="Microsoft PhagsPa"/>
          <w:color w:val="404040" w:themeColor="text1" w:themeTint="BF"/>
          <w:sz w:val="18"/>
          <w:szCs w:val="18"/>
          <w:lang w:val="pt-PT"/>
        </w:rPr>
        <w:t>Place</w:t>
      </w:r>
      <w:proofErr w:type="spellEnd"/>
      <w:r w:rsidRPr="004368B8">
        <w:rPr>
          <w:rFonts w:ascii="Microsoft PhagsPa" w:eastAsia="Microsoft JhengHei UI" w:hAnsi="Microsoft PhagsPa"/>
          <w:color w:val="404040" w:themeColor="text1" w:themeTint="BF"/>
          <w:sz w:val="18"/>
          <w:szCs w:val="18"/>
          <w:lang w:val="pt-PT"/>
        </w:rPr>
        <w:t> to </w:t>
      </w:r>
      <w:proofErr w:type="spellStart"/>
      <w:r w:rsidRPr="004368B8">
        <w:rPr>
          <w:rFonts w:ascii="Microsoft PhagsPa" w:eastAsia="Microsoft JhengHei UI" w:hAnsi="Microsoft PhagsPa"/>
          <w:color w:val="404040" w:themeColor="text1" w:themeTint="BF"/>
          <w:sz w:val="18"/>
          <w:szCs w:val="18"/>
          <w:lang w:val="pt-PT"/>
        </w:rPr>
        <w:t>Work</w:t>
      </w:r>
      <w:proofErr w:type="spellEnd"/>
      <w:r w:rsidRPr="004368B8">
        <w:rPr>
          <w:rFonts w:ascii="Microsoft PhagsPa" w:eastAsia="Microsoft JhengHei UI" w:hAnsi="Microsoft PhagsPa"/>
          <w:color w:val="404040" w:themeColor="text1" w:themeTint="BF"/>
          <w:sz w:val="18"/>
          <w:szCs w:val="18"/>
          <w:lang w:val="pt-PT"/>
        </w:rPr>
        <w:t> desde 2021 e com a sua Rede de franchising tendo sido galardoada com o 3º lugar enquanto marca de franchising emergente da Europa, pela Federação Europeia de Franchising. </w:t>
      </w:r>
    </w:p>
    <w:p w14:paraId="7271136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É possível aceder aos serviços do Doutor Finanças através do seu portal e das 100 lojas espalhadas por todo o território nacional. Mais informação em: </w:t>
      </w:r>
      <w:hyperlink r:id="rId12" w:tgtFrame="_blank" w:history="1">
        <w:r w:rsidRPr="004368B8">
          <w:rPr>
            <w:rStyle w:val="Hiperligao"/>
            <w:rFonts w:ascii="Microsoft PhagsPa" w:eastAsia="Microsoft JhengHei UI" w:hAnsi="Microsoft PhagsPa"/>
            <w:sz w:val="18"/>
            <w:szCs w:val="18"/>
            <w:lang w:val="pt-PT"/>
          </w:rPr>
          <w:t>www.doutorfinancas.pt/sobre-doutor-financas/</w:t>
        </w:r>
      </w:hyperlink>
      <w:r w:rsidRPr="004368B8">
        <w:rPr>
          <w:rFonts w:ascii="Microsoft PhagsPa" w:eastAsia="Microsoft JhengHei UI" w:hAnsi="Microsoft PhagsPa"/>
          <w:color w:val="404040" w:themeColor="text1" w:themeTint="BF"/>
          <w:sz w:val="18"/>
          <w:szCs w:val="18"/>
          <w:lang w:val="pt-PT"/>
        </w:rPr>
        <w:t>   </w:t>
      </w:r>
    </w:p>
    <w:p w14:paraId="770309C5"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 </w:t>
      </w:r>
    </w:p>
    <w:p w14:paraId="4A9ACE5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Contactos para a Comunicação Social</w:t>
      </w:r>
      <w:r w:rsidRPr="004368B8">
        <w:rPr>
          <w:rFonts w:ascii="Microsoft PhagsPa" w:eastAsia="Microsoft JhengHei UI" w:hAnsi="Microsoft PhagsPa"/>
          <w:color w:val="404040" w:themeColor="text1" w:themeTint="BF"/>
          <w:sz w:val="18"/>
          <w:szCs w:val="18"/>
          <w:lang w:val="pt-PT"/>
        </w:rPr>
        <w:t> </w:t>
      </w:r>
    </w:p>
    <w:p w14:paraId="2FEBB31B"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4368B8">
        <w:rPr>
          <w:rFonts w:ascii="Microsoft PhagsPa" w:eastAsia="Microsoft JhengHei UI" w:hAnsi="Microsoft PhagsPa"/>
          <w:color w:val="404040" w:themeColor="text1" w:themeTint="BF"/>
          <w:sz w:val="18"/>
          <w:szCs w:val="18"/>
          <w:u w:val="single"/>
          <w:lang w:val="it-IT"/>
        </w:rPr>
        <w:t>Lift Consulting</w:t>
      </w:r>
      <w:r w:rsidRPr="004368B8">
        <w:rPr>
          <w:rFonts w:ascii="Microsoft PhagsPa" w:eastAsia="Microsoft JhengHei UI" w:hAnsi="Microsoft PhagsPa"/>
          <w:color w:val="404040" w:themeColor="text1" w:themeTint="BF"/>
          <w:sz w:val="18"/>
          <w:szCs w:val="18"/>
        </w:rPr>
        <w:t> </w:t>
      </w:r>
    </w:p>
    <w:p w14:paraId="0042ED2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4368B8">
        <w:rPr>
          <w:rFonts w:ascii="Microsoft PhagsPa" w:eastAsia="Microsoft JhengHei UI" w:hAnsi="Microsoft PhagsPa"/>
          <w:color w:val="404040" w:themeColor="text1" w:themeTint="BF"/>
          <w:sz w:val="18"/>
          <w:szCs w:val="18"/>
          <w:lang w:val="it-IT"/>
        </w:rPr>
        <w:t>Raquel Rogeiro | </w:t>
      </w:r>
      <w:hyperlink r:id="rId13" w:tgtFrame="_blank" w:history="1">
        <w:r w:rsidRPr="004368B8">
          <w:rPr>
            <w:rStyle w:val="Hiperligao"/>
            <w:rFonts w:ascii="Microsoft PhagsPa" w:eastAsia="Microsoft JhengHei UI" w:hAnsi="Microsoft PhagsPa"/>
            <w:sz w:val="18"/>
            <w:szCs w:val="18"/>
            <w:lang w:val="it-IT"/>
          </w:rPr>
          <w:t>raquel.rogeiro@lift.com.pt</w:t>
        </w:r>
      </w:hyperlink>
      <w:r w:rsidRPr="004368B8">
        <w:rPr>
          <w:rFonts w:ascii="Microsoft PhagsPa" w:eastAsia="Microsoft JhengHei UI" w:hAnsi="Microsoft PhagsPa"/>
          <w:color w:val="404040" w:themeColor="text1" w:themeTint="BF"/>
          <w:sz w:val="18"/>
          <w:szCs w:val="18"/>
          <w:lang w:val="it-IT"/>
        </w:rPr>
        <w:t> | 910 767 719</w:t>
      </w:r>
      <w:r w:rsidRPr="004368B8">
        <w:rPr>
          <w:rFonts w:ascii="Microsoft PhagsPa" w:eastAsia="Microsoft JhengHei UI" w:hAnsi="Microsoft PhagsPa"/>
          <w:color w:val="404040" w:themeColor="text1" w:themeTint="BF"/>
          <w:sz w:val="18"/>
          <w:szCs w:val="18"/>
        </w:rPr>
        <w:t> </w:t>
      </w:r>
    </w:p>
    <w:p w14:paraId="22918D13"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it-IT"/>
        </w:rPr>
        <w:t>Miguel Carrilho | </w:t>
      </w:r>
      <w:hyperlink r:id="rId14" w:tgtFrame="_blank" w:history="1">
        <w:r w:rsidRPr="004368B8">
          <w:rPr>
            <w:rStyle w:val="Hiperligao"/>
            <w:rFonts w:ascii="Microsoft PhagsPa" w:eastAsia="Microsoft JhengHei UI" w:hAnsi="Microsoft PhagsPa"/>
            <w:sz w:val="18"/>
            <w:szCs w:val="18"/>
            <w:lang w:val="it-IT"/>
          </w:rPr>
          <w:t>miguel.carrilho@lift.com.pt</w:t>
        </w:r>
      </w:hyperlink>
      <w:r w:rsidRPr="004368B8">
        <w:rPr>
          <w:rFonts w:ascii="Microsoft PhagsPa" w:eastAsia="Microsoft JhengHei UI" w:hAnsi="Microsoft PhagsPa"/>
          <w:color w:val="404040" w:themeColor="text1" w:themeTint="BF"/>
          <w:sz w:val="18"/>
          <w:szCs w:val="18"/>
          <w:lang w:val="it-IT"/>
        </w:rPr>
        <w:t> | 967 777 714</w:t>
      </w:r>
      <w:r w:rsidRPr="004368B8">
        <w:rPr>
          <w:rFonts w:ascii="Microsoft PhagsPa" w:eastAsia="Microsoft JhengHei UI" w:hAnsi="Microsoft PhagsPa"/>
          <w:color w:val="404040" w:themeColor="text1" w:themeTint="BF"/>
          <w:sz w:val="18"/>
          <w:szCs w:val="18"/>
          <w:lang w:val="pt-PT"/>
        </w:rPr>
        <w:t> </w:t>
      </w:r>
    </w:p>
    <w:p w14:paraId="51B0FEB4" w14:textId="053F2BD5" w:rsidR="006C15EC" w:rsidRPr="004368B8" w:rsidRDefault="006C15EC" w:rsidP="002E2AE9">
      <w:pPr>
        <w:spacing w:after="40" w:line="360" w:lineRule="auto"/>
        <w:ind w:left="357"/>
        <w:jc w:val="both"/>
        <w:rPr>
          <w:rFonts w:ascii="Microsoft PhagsPa" w:eastAsia="Microsoft JhengHei UI" w:hAnsi="Microsoft PhagsPa"/>
          <w:color w:val="404040" w:themeColor="text1" w:themeTint="BF"/>
          <w:sz w:val="18"/>
          <w:szCs w:val="18"/>
          <w:lang w:val="pt-PT"/>
        </w:rPr>
      </w:pPr>
    </w:p>
    <w:sectPr w:rsidR="006C15EC" w:rsidRPr="004368B8" w:rsidSect="00C66D98">
      <w:headerReference w:type="default" r:id="rId15"/>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6CAAB" w14:textId="77777777" w:rsidR="00814526" w:rsidRDefault="00814526" w:rsidP="00C66D98">
      <w:pPr>
        <w:spacing w:after="0" w:line="240" w:lineRule="auto"/>
      </w:pPr>
      <w:r>
        <w:separator/>
      </w:r>
    </w:p>
  </w:endnote>
  <w:endnote w:type="continuationSeparator" w:id="0">
    <w:p w14:paraId="4F88A3B6" w14:textId="77777777" w:rsidR="00814526" w:rsidRDefault="00814526" w:rsidP="00C66D98">
      <w:pPr>
        <w:spacing w:after="0" w:line="240" w:lineRule="auto"/>
      </w:pPr>
      <w:r>
        <w:continuationSeparator/>
      </w:r>
    </w:p>
  </w:endnote>
  <w:endnote w:type="continuationNotice" w:id="1">
    <w:p w14:paraId="601A02DA" w14:textId="77777777" w:rsidR="00814526" w:rsidRDefault="008145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Neue Medium">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B632" w14:textId="77777777" w:rsidR="00814526" w:rsidRDefault="00814526" w:rsidP="00C66D98">
      <w:pPr>
        <w:spacing w:after="0" w:line="240" w:lineRule="auto"/>
      </w:pPr>
      <w:r>
        <w:separator/>
      </w:r>
    </w:p>
  </w:footnote>
  <w:footnote w:type="continuationSeparator" w:id="0">
    <w:p w14:paraId="4E6D5153" w14:textId="77777777" w:rsidR="00814526" w:rsidRDefault="00814526" w:rsidP="00C66D98">
      <w:pPr>
        <w:spacing w:after="0" w:line="240" w:lineRule="auto"/>
      </w:pPr>
      <w:r>
        <w:continuationSeparator/>
      </w:r>
    </w:p>
  </w:footnote>
  <w:footnote w:type="continuationNotice" w:id="1">
    <w:p w14:paraId="69DD36D5" w14:textId="77777777" w:rsidR="00814526" w:rsidRDefault="008145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6EF" w14:textId="5EFE3FFB" w:rsidR="00C66D98" w:rsidRDefault="00C66D98">
    <w:pPr>
      <w:pStyle w:val="Cabealho"/>
    </w:pPr>
    <w:r w:rsidRPr="00C66D98">
      <w:rPr>
        <w:noProof/>
      </w:rPr>
      <w:drawing>
        <wp:anchor distT="0" distB="0" distL="114300" distR="114300" simplePos="0" relativeHeight="251658240" behindDoc="0" locked="0" layoutInCell="1" allowOverlap="1" wp14:anchorId="57C2237E" wp14:editId="33C1D526">
          <wp:simplePos x="0" y="0"/>
          <wp:positionH relativeFrom="margin">
            <wp:posOffset>1539240</wp:posOffset>
          </wp:positionH>
          <wp:positionV relativeFrom="margin">
            <wp:posOffset>-692150</wp:posOffset>
          </wp:positionV>
          <wp:extent cx="2533650" cy="426395"/>
          <wp:effectExtent l="0" t="0" r="0" b="0"/>
          <wp:wrapSquare wrapText="bothSides"/>
          <wp:docPr id="2137444502" name="Imagem 1" descr="A literacia financeira e o Natal">
            <a:extLst xmlns:a="http://schemas.openxmlformats.org/drawingml/2006/main">
              <a:ext uri="{FF2B5EF4-FFF2-40B4-BE49-F238E27FC236}">
                <a16:creationId xmlns:a16="http://schemas.microsoft.com/office/drawing/2014/main" id="{2A993924-F056-401D-8892-E72570DBE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iteracia financeira e o Na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42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8DB"/>
    <w:multiLevelType w:val="hybridMultilevel"/>
    <w:tmpl w:val="791452F6"/>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1" w15:restartNumberingAfterBreak="0">
    <w:nsid w:val="2C421273"/>
    <w:multiLevelType w:val="hybridMultilevel"/>
    <w:tmpl w:val="E0BAD354"/>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2" w15:restartNumberingAfterBreak="0">
    <w:nsid w:val="39261C3C"/>
    <w:multiLevelType w:val="hybridMultilevel"/>
    <w:tmpl w:val="A48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E47C7"/>
    <w:multiLevelType w:val="hybridMultilevel"/>
    <w:tmpl w:val="194AA61E"/>
    <w:lvl w:ilvl="0" w:tplc="27DA4E2A">
      <w:start w:val="2"/>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4" w15:restartNumberingAfterBreak="0">
    <w:nsid w:val="451A2B9F"/>
    <w:multiLevelType w:val="hybridMultilevel"/>
    <w:tmpl w:val="3DF8B9CC"/>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5" w15:restartNumberingAfterBreak="0">
    <w:nsid w:val="638D6583"/>
    <w:multiLevelType w:val="hybridMultilevel"/>
    <w:tmpl w:val="22AEF286"/>
    <w:lvl w:ilvl="0" w:tplc="3B9ACC60">
      <w:start w:val="1"/>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6" w15:restartNumberingAfterBreak="0">
    <w:nsid w:val="7A4B5284"/>
    <w:multiLevelType w:val="hybridMultilevel"/>
    <w:tmpl w:val="4DC4E0F6"/>
    <w:lvl w:ilvl="0" w:tplc="DF348CD6">
      <w:start w:val="1"/>
      <w:numFmt w:val="decimal"/>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1226793471">
    <w:abstractNumId w:val="4"/>
  </w:num>
  <w:num w:numId="2" w16cid:durableId="1865438093">
    <w:abstractNumId w:val="3"/>
  </w:num>
  <w:num w:numId="3" w16cid:durableId="1951815488">
    <w:abstractNumId w:val="0"/>
  </w:num>
  <w:num w:numId="4" w16cid:durableId="2106729745">
    <w:abstractNumId w:val="1"/>
  </w:num>
  <w:num w:numId="5" w16cid:durableId="2134403467">
    <w:abstractNumId w:val="2"/>
  </w:num>
  <w:num w:numId="6" w16cid:durableId="554707807">
    <w:abstractNumId w:val="5"/>
  </w:num>
  <w:num w:numId="7" w16cid:durableId="749619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98"/>
    <w:rsid w:val="00010AFB"/>
    <w:rsid w:val="00017325"/>
    <w:rsid w:val="0002312C"/>
    <w:rsid w:val="00031CB7"/>
    <w:rsid w:val="000428E1"/>
    <w:rsid w:val="00043DEE"/>
    <w:rsid w:val="0004437F"/>
    <w:rsid w:val="000531D0"/>
    <w:rsid w:val="00060D9E"/>
    <w:rsid w:val="0006465F"/>
    <w:rsid w:val="00067D1D"/>
    <w:rsid w:val="00086044"/>
    <w:rsid w:val="000956C2"/>
    <w:rsid w:val="00095A6A"/>
    <w:rsid w:val="000A4085"/>
    <w:rsid w:val="000A59A6"/>
    <w:rsid w:val="000A5A0C"/>
    <w:rsid w:val="000A68B8"/>
    <w:rsid w:val="000A7849"/>
    <w:rsid w:val="000B0D46"/>
    <w:rsid w:val="000C694C"/>
    <w:rsid w:val="000C7ECF"/>
    <w:rsid w:val="000D2987"/>
    <w:rsid w:val="000D4E8F"/>
    <w:rsid w:val="000D6C02"/>
    <w:rsid w:val="000D742C"/>
    <w:rsid w:val="000E12D5"/>
    <w:rsid w:val="000E20FC"/>
    <w:rsid w:val="000E41C8"/>
    <w:rsid w:val="000E4C70"/>
    <w:rsid w:val="000E624C"/>
    <w:rsid w:val="000E7219"/>
    <w:rsid w:val="000F3ED9"/>
    <w:rsid w:val="001070F5"/>
    <w:rsid w:val="00114644"/>
    <w:rsid w:val="001216BE"/>
    <w:rsid w:val="001357E2"/>
    <w:rsid w:val="00136AD9"/>
    <w:rsid w:val="00142A7E"/>
    <w:rsid w:val="0014328B"/>
    <w:rsid w:val="001453FC"/>
    <w:rsid w:val="001515C0"/>
    <w:rsid w:val="0016079C"/>
    <w:rsid w:val="00164EEF"/>
    <w:rsid w:val="00167F99"/>
    <w:rsid w:val="001743CA"/>
    <w:rsid w:val="00181368"/>
    <w:rsid w:val="00191765"/>
    <w:rsid w:val="00197A08"/>
    <w:rsid w:val="001B0608"/>
    <w:rsid w:val="001B1959"/>
    <w:rsid w:val="001B5E91"/>
    <w:rsid w:val="001C178B"/>
    <w:rsid w:val="001D05B2"/>
    <w:rsid w:val="001D4D11"/>
    <w:rsid w:val="001E470F"/>
    <w:rsid w:val="001E5755"/>
    <w:rsid w:val="001F00C3"/>
    <w:rsid w:val="001F4850"/>
    <w:rsid w:val="00204714"/>
    <w:rsid w:val="00204D8A"/>
    <w:rsid w:val="00206819"/>
    <w:rsid w:val="00213F07"/>
    <w:rsid w:val="00223D29"/>
    <w:rsid w:val="002369C9"/>
    <w:rsid w:val="00237917"/>
    <w:rsid w:val="002409D6"/>
    <w:rsid w:val="00242820"/>
    <w:rsid w:val="00252C4C"/>
    <w:rsid w:val="00252EE3"/>
    <w:rsid w:val="00253205"/>
    <w:rsid w:val="00253D78"/>
    <w:rsid w:val="002578B7"/>
    <w:rsid w:val="002604F3"/>
    <w:rsid w:val="002609C8"/>
    <w:rsid w:val="0026433B"/>
    <w:rsid w:val="00265DD5"/>
    <w:rsid w:val="00266EC6"/>
    <w:rsid w:val="00272414"/>
    <w:rsid w:val="0027704B"/>
    <w:rsid w:val="00277140"/>
    <w:rsid w:val="00283D1F"/>
    <w:rsid w:val="002A3868"/>
    <w:rsid w:val="002A3B35"/>
    <w:rsid w:val="002A7646"/>
    <w:rsid w:val="002B0CFA"/>
    <w:rsid w:val="002B2ADF"/>
    <w:rsid w:val="002B640E"/>
    <w:rsid w:val="002C212B"/>
    <w:rsid w:val="002C22E2"/>
    <w:rsid w:val="002D1622"/>
    <w:rsid w:val="002D2117"/>
    <w:rsid w:val="002E085F"/>
    <w:rsid w:val="002E25CB"/>
    <w:rsid w:val="002E2AE9"/>
    <w:rsid w:val="002E6F33"/>
    <w:rsid w:val="002F2A66"/>
    <w:rsid w:val="002F41B9"/>
    <w:rsid w:val="002F5B37"/>
    <w:rsid w:val="00300428"/>
    <w:rsid w:val="00311104"/>
    <w:rsid w:val="003148FB"/>
    <w:rsid w:val="00315528"/>
    <w:rsid w:val="00315D29"/>
    <w:rsid w:val="00315E0E"/>
    <w:rsid w:val="00324ABF"/>
    <w:rsid w:val="00325784"/>
    <w:rsid w:val="0032632B"/>
    <w:rsid w:val="00340399"/>
    <w:rsid w:val="0035189D"/>
    <w:rsid w:val="00351B85"/>
    <w:rsid w:val="00353516"/>
    <w:rsid w:val="00372F09"/>
    <w:rsid w:val="003742FB"/>
    <w:rsid w:val="00374AE2"/>
    <w:rsid w:val="00384525"/>
    <w:rsid w:val="00397839"/>
    <w:rsid w:val="003A7090"/>
    <w:rsid w:val="003A7D4E"/>
    <w:rsid w:val="003A7EE7"/>
    <w:rsid w:val="003C34CE"/>
    <w:rsid w:val="003D660F"/>
    <w:rsid w:val="003D6703"/>
    <w:rsid w:val="00403760"/>
    <w:rsid w:val="0041781D"/>
    <w:rsid w:val="00421334"/>
    <w:rsid w:val="004217C1"/>
    <w:rsid w:val="00421C3B"/>
    <w:rsid w:val="0043131C"/>
    <w:rsid w:val="00433EF2"/>
    <w:rsid w:val="00436267"/>
    <w:rsid w:val="004368B8"/>
    <w:rsid w:val="004418B8"/>
    <w:rsid w:val="004515EC"/>
    <w:rsid w:val="00460952"/>
    <w:rsid w:val="00462550"/>
    <w:rsid w:val="004653AD"/>
    <w:rsid w:val="00474392"/>
    <w:rsid w:val="00476D5F"/>
    <w:rsid w:val="00482E5B"/>
    <w:rsid w:val="00483228"/>
    <w:rsid w:val="00484D21"/>
    <w:rsid w:val="004874D9"/>
    <w:rsid w:val="00487602"/>
    <w:rsid w:val="00487B55"/>
    <w:rsid w:val="00494467"/>
    <w:rsid w:val="004975D5"/>
    <w:rsid w:val="004A5082"/>
    <w:rsid w:val="004A5C04"/>
    <w:rsid w:val="004A6A81"/>
    <w:rsid w:val="004C118C"/>
    <w:rsid w:val="004C1CB3"/>
    <w:rsid w:val="004C5B3B"/>
    <w:rsid w:val="004C7B01"/>
    <w:rsid w:val="004D0BE6"/>
    <w:rsid w:val="004D536C"/>
    <w:rsid w:val="004F0D35"/>
    <w:rsid w:val="004F504D"/>
    <w:rsid w:val="004F734A"/>
    <w:rsid w:val="005005D1"/>
    <w:rsid w:val="0050204C"/>
    <w:rsid w:val="00503193"/>
    <w:rsid w:val="00503860"/>
    <w:rsid w:val="00505031"/>
    <w:rsid w:val="00511B8B"/>
    <w:rsid w:val="00515FFA"/>
    <w:rsid w:val="00516187"/>
    <w:rsid w:val="00522026"/>
    <w:rsid w:val="005340ED"/>
    <w:rsid w:val="0054615E"/>
    <w:rsid w:val="005507E2"/>
    <w:rsid w:val="00552B06"/>
    <w:rsid w:val="00556762"/>
    <w:rsid w:val="00562928"/>
    <w:rsid w:val="00563C07"/>
    <w:rsid w:val="00565985"/>
    <w:rsid w:val="00571A22"/>
    <w:rsid w:val="005736BC"/>
    <w:rsid w:val="00573C31"/>
    <w:rsid w:val="00582F63"/>
    <w:rsid w:val="00584C33"/>
    <w:rsid w:val="00596DCA"/>
    <w:rsid w:val="005A207A"/>
    <w:rsid w:val="005A23E8"/>
    <w:rsid w:val="005A28C1"/>
    <w:rsid w:val="005B24CC"/>
    <w:rsid w:val="005B411F"/>
    <w:rsid w:val="005B53FD"/>
    <w:rsid w:val="005C5F97"/>
    <w:rsid w:val="005D3FA2"/>
    <w:rsid w:val="005D6232"/>
    <w:rsid w:val="005E0A39"/>
    <w:rsid w:val="005E1620"/>
    <w:rsid w:val="005E6B84"/>
    <w:rsid w:val="005E7D36"/>
    <w:rsid w:val="005F1969"/>
    <w:rsid w:val="005F3CAC"/>
    <w:rsid w:val="0060008D"/>
    <w:rsid w:val="006027A6"/>
    <w:rsid w:val="00604061"/>
    <w:rsid w:val="00604CC5"/>
    <w:rsid w:val="00604FBF"/>
    <w:rsid w:val="006071CD"/>
    <w:rsid w:val="006205D4"/>
    <w:rsid w:val="0062151B"/>
    <w:rsid w:val="0062417D"/>
    <w:rsid w:val="00624D4D"/>
    <w:rsid w:val="00644589"/>
    <w:rsid w:val="0065504C"/>
    <w:rsid w:val="00661D04"/>
    <w:rsid w:val="0066446E"/>
    <w:rsid w:val="0066510D"/>
    <w:rsid w:val="006652DD"/>
    <w:rsid w:val="00665317"/>
    <w:rsid w:val="00666C41"/>
    <w:rsid w:val="00680CF3"/>
    <w:rsid w:val="00683658"/>
    <w:rsid w:val="00693D51"/>
    <w:rsid w:val="006952A0"/>
    <w:rsid w:val="006B4A56"/>
    <w:rsid w:val="006C15EC"/>
    <w:rsid w:val="006C7917"/>
    <w:rsid w:val="006D1CDF"/>
    <w:rsid w:val="006D3423"/>
    <w:rsid w:val="006D36DF"/>
    <w:rsid w:val="006D7A94"/>
    <w:rsid w:val="006E3977"/>
    <w:rsid w:val="006E60C8"/>
    <w:rsid w:val="006F1E1D"/>
    <w:rsid w:val="006F3F49"/>
    <w:rsid w:val="006F545E"/>
    <w:rsid w:val="006F5B52"/>
    <w:rsid w:val="007027E3"/>
    <w:rsid w:val="00703B14"/>
    <w:rsid w:val="007045BE"/>
    <w:rsid w:val="007048C4"/>
    <w:rsid w:val="007074D5"/>
    <w:rsid w:val="00707512"/>
    <w:rsid w:val="007128BD"/>
    <w:rsid w:val="007169AC"/>
    <w:rsid w:val="007212C0"/>
    <w:rsid w:val="0072186A"/>
    <w:rsid w:val="0072476B"/>
    <w:rsid w:val="0074277E"/>
    <w:rsid w:val="0074517C"/>
    <w:rsid w:val="007468C5"/>
    <w:rsid w:val="00747EB8"/>
    <w:rsid w:val="0075240F"/>
    <w:rsid w:val="00753465"/>
    <w:rsid w:val="00753D12"/>
    <w:rsid w:val="0075670E"/>
    <w:rsid w:val="0076285B"/>
    <w:rsid w:val="00762E3B"/>
    <w:rsid w:val="00767FB4"/>
    <w:rsid w:val="007702BB"/>
    <w:rsid w:val="007736FB"/>
    <w:rsid w:val="00773731"/>
    <w:rsid w:val="00774029"/>
    <w:rsid w:val="0077699C"/>
    <w:rsid w:val="00783EEA"/>
    <w:rsid w:val="00784980"/>
    <w:rsid w:val="0078765F"/>
    <w:rsid w:val="0079107E"/>
    <w:rsid w:val="00794452"/>
    <w:rsid w:val="007A34B5"/>
    <w:rsid w:val="007A5B95"/>
    <w:rsid w:val="007B0B06"/>
    <w:rsid w:val="007B5DF7"/>
    <w:rsid w:val="007B6FE5"/>
    <w:rsid w:val="007B758E"/>
    <w:rsid w:val="007C0994"/>
    <w:rsid w:val="007C4886"/>
    <w:rsid w:val="007C51E8"/>
    <w:rsid w:val="007C6948"/>
    <w:rsid w:val="007D210D"/>
    <w:rsid w:val="007D314D"/>
    <w:rsid w:val="007D4EB0"/>
    <w:rsid w:val="007D657F"/>
    <w:rsid w:val="007E020A"/>
    <w:rsid w:val="007E6D65"/>
    <w:rsid w:val="007F3D7A"/>
    <w:rsid w:val="00800B99"/>
    <w:rsid w:val="00806829"/>
    <w:rsid w:val="00812124"/>
    <w:rsid w:val="00814526"/>
    <w:rsid w:val="008177CC"/>
    <w:rsid w:val="0082358B"/>
    <w:rsid w:val="00823DAD"/>
    <w:rsid w:val="00833259"/>
    <w:rsid w:val="00835AA5"/>
    <w:rsid w:val="008457AB"/>
    <w:rsid w:val="00852DED"/>
    <w:rsid w:val="0087011D"/>
    <w:rsid w:val="0089011A"/>
    <w:rsid w:val="00891B4F"/>
    <w:rsid w:val="00895134"/>
    <w:rsid w:val="00895CCE"/>
    <w:rsid w:val="00897252"/>
    <w:rsid w:val="008A0E85"/>
    <w:rsid w:val="008A33CC"/>
    <w:rsid w:val="008B2AB4"/>
    <w:rsid w:val="008C133C"/>
    <w:rsid w:val="008C3082"/>
    <w:rsid w:val="008C5DA5"/>
    <w:rsid w:val="008C7A1E"/>
    <w:rsid w:val="008D2408"/>
    <w:rsid w:val="008D2EEC"/>
    <w:rsid w:val="008D4276"/>
    <w:rsid w:val="008E14B9"/>
    <w:rsid w:val="008E3FCD"/>
    <w:rsid w:val="008E4696"/>
    <w:rsid w:val="008E5192"/>
    <w:rsid w:val="008F09DF"/>
    <w:rsid w:val="00920AE5"/>
    <w:rsid w:val="00924320"/>
    <w:rsid w:val="00932E02"/>
    <w:rsid w:val="00934100"/>
    <w:rsid w:val="00937B11"/>
    <w:rsid w:val="00947EB9"/>
    <w:rsid w:val="00950F83"/>
    <w:rsid w:val="00952F8A"/>
    <w:rsid w:val="0095622C"/>
    <w:rsid w:val="00963E08"/>
    <w:rsid w:val="00964065"/>
    <w:rsid w:val="00966435"/>
    <w:rsid w:val="00972F86"/>
    <w:rsid w:val="00973023"/>
    <w:rsid w:val="00974F8E"/>
    <w:rsid w:val="00981783"/>
    <w:rsid w:val="00993C32"/>
    <w:rsid w:val="009966A6"/>
    <w:rsid w:val="009A0A0C"/>
    <w:rsid w:val="009A3FA1"/>
    <w:rsid w:val="009A47DF"/>
    <w:rsid w:val="009A7149"/>
    <w:rsid w:val="009A72AC"/>
    <w:rsid w:val="009B4C7A"/>
    <w:rsid w:val="009C3717"/>
    <w:rsid w:val="009D6183"/>
    <w:rsid w:val="009D72BC"/>
    <w:rsid w:val="009E22F4"/>
    <w:rsid w:val="009E3AED"/>
    <w:rsid w:val="009E5BCE"/>
    <w:rsid w:val="009E5EF8"/>
    <w:rsid w:val="009F32D0"/>
    <w:rsid w:val="009F775E"/>
    <w:rsid w:val="00A16095"/>
    <w:rsid w:val="00A20171"/>
    <w:rsid w:val="00A22268"/>
    <w:rsid w:val="00A23A23"/>
    <w:rsid w:val="00A3583E"/>
    <w:rsid w:val="00A408F6"/>
    <w:rsid w:val="00A40B49"/>
    <w:rsid w:val="00A42186"/>
    <w:rsid w:val="00A531A2"/>
    <w:rsid w:val="00A6044A"/>
    <w:rsid w:val="00A63696"/>
    <w:rsid w:val="00A64476"/>
    <w:rsid w:val="00A652AC"/>
    <w:rsid w:val="00A70B90"/>
    <w:rsid w:val="00A77994"/>
    <w:rsid w:val="00A97F91"/>
    <w:rsid w:val="00AA39A8"/>
    <w:rsid w:val="00AA5E8F"/>
    <w:rsid w:val="00AA6DF7"/>
    <w:rsid w:val="00AB0A58"/>
    <w:rsid w:val="00AB1C1C"/>
    <w:rsid w:val="00AB1FD5"/>
    <w:rsid w:val="00AC5251"/>
    <w:rsid w:val="00AC77C3"/>
    <w:rsid w:val="00AD19A9"/>
    <w:rsid w:val="00AD257E"/>
    <w:rsid w:val="00AD4D97"/>
    <w:rsid w:val="00AE1927"/>
    <w:rsid w:val="00AE25C3"/>
    <w:rsid w:val="00AE28CB"/>
    <w:rsid w:val="00AE59B2"/>
    <w:rsid w:val="00AE6017"/>
    <w:rsid w:val="00AF4896"/>
    <w:rsid w:val="00AF514D"/>
    <w:rsid w:val="00B03A99"/>
    <w:rsid w:val="00B12158"/>
    <w:rsid w:val="00B12D1D"/>
    <w:rsid w:val="00B24746"/>
    <w:rsid w:val="00B26246"/>
    <w:rsid w:val="00B41256"/>
    <w:rsid w:val="00B44458"/>
    <w:rsid w:val="00B478C7"/>
    <w:rsid w:val="00B47F37"/>
    <w:rsid w:val="00B50013"/>
    <w:rsid w:val="00B5170A"/>
    <w:rsid w:val="00B529AF"/>
    <w:rsid w:val="00B5527D"/>
    <w:rsid w:val="00B5611B"/>
    <w:rsid w:val="00B609C8"/>
    <w:rsid w:val="00B61588"/>
    <w:rsid w:val="00B63732"/>
    <w:rsid w:val="00B72A12"/>
    <w:rsid w:val="00B83AE6"/>
    <w:rsid w:val="00B85983"/>
    <w:rsid w:val="00B92F0E"/>
    <w:rsid w:val="00BA2A9F"/>
    <w:rsid w:val="00BA2C48"/>
    <w:rsid w:val="00BA5E61"/>
    <w:rsid w:val="00BB108B"/>
    <w:rsid w:val="00BB1E26"/>
    <w:rsid w:val="00BB37D9"/>
    <w:rsid w:val="00BB5B91"/>
    <w:rsid w:val="00BB66CA"/>
    <w:rsid w:val="00BB7D1E"/>
    <w:rsid w:val="00BC2E0E"/>
    <w:rsid w:val="00BC5E92"/>
    <w:rsid w:val="00BC71FE"/>
    <w:rsid w:val="00BD2929"/>
    <w:rsid w:val="00BD64F2"/>
    <w:rsid w:val="00BF077A"/>
    <w:rsid w:val="00BF3B1E"/>
    <w:rsid w:val="00BF3D92"/>
    <w:rsid w:val="00C04DE0"/>
    <w:rsid w:val="00C06CF8"/>
    <w:rsid w:val="00C07C7E"/>
    <w:rsid w:val="00C12E03"/>
    <w:rsid w:val="00C132D1"/>
    <w:rsid w:val="00C17F35"/>
    <w:rsid w:val="00C318DD"/>
    <w:rsid w:val="00C3702C"/>
    <w:rsid w:val="00C40B4B"/>
    <w:rsid w:val="00C4528E"/>
    <w:rsid w:val="00C4738F"/>
    <w:rsid w:val="00C518B1"/>
    <w:rsid w:val="00C622A2"/>
    <w:rsid w:val="00C6442A"/>
    <w:rsid w:val="00C66D98"/>
    <w:rsid w:val="00C679E7"/>
    <w:rsid w:val="00C7045D"/>
    <w:rsid w:val="00C75C27"/>
    <w:rsid w:val="00C765AA"/>
    <w:rsid w:val="00C77C9A"/>
    <w:rsid w:val="00C81D47"/>
    <w:rsid w:val="00C856C4"/>
    <w:rsid w:val="00C90031"/>
    <w:rsid w:val="00C930DB"/>
    <w:rsid w:val="00CA33BA"/>
    <w:rsid w:val="00CA720B"/>
    <w:rsid w:val="00CB0C8E"/>
    <w:rsid w:val="00CB2701"/>
    <w:rsid w:val="00CB7000"/>
    <w:rsid w:val="00CB74E6"/>
    <w:rsid w:val="00CC01DA"/>
    <w:rsid w:val="00CC2489"/>
    <w:rsid w:val="00CC68CE"/>
    <w:rsid w:val="00CC736E"/>
    <w:rsid w:val="00CD28A0"/>
    <w:rsid w:val="00CD66B4"/>
    <w:rsid w:val="00CE1AE6"/>
    <w:rsid w:val="00CE20E1"/>
    <w:rsid w:val="00CE4C43"/>
    <w:rsid w:val="00CE7139"/>
    <w:rsid w:val="00CF2273"/>
    <w:rsid w:val="00CF2F47"/>
    <w:rsid w:val="00CF3071"/>
    <w:rsid w:val="00D04723"/>
    <w:rsid w:val="00D05085"/>
    <w:rsid w:val="00D119E9"/>
    <w:rsid w:val="00D11EAC"/>
    <w:rsid w:val="00D249E0"/>
    <w:rsid w:val="00D24B71"/>
    <w:rsid w:val="00D315A2"/>
    <w:rsid w:val="00D31C30"/>
    <w:rsid w:val="00D32456"/>
    <w:rsid w:val="00D4022A"/>
    <w:rsid w:val="00D44DA5"/>
    <w:rsid w:val="00D528BB"/>
    <w:rsid w:val="00D5397C"/>
    <w:rsid w:val="00D53B5F"/>
    <w:rsid w:val="00D57F7F"/>
    <w:rsid w:val="00D62DC2"/>
    <w:rsid w:val="00D62F19"/>
    <w:rsid w:val="00D637E4"/>
    <w:rsid w:val="00D64D63"/>
    <w:rsid w:val="00D66834"/>
    <w:rsid w:val="00D672A9"/>
    <w:rsid w:val="00D72B8C"/>
    <w:rsid w:val="00D763C9"/>
    <w:rsid w:val="00D829D2"/>
    <w:rsid w:val="00D830A8"/>
    <w:rsid w:val="00D83DE4"/>
    <w:rsid w:val="00D8477D"/>
    <w:rsid w:val="00D862C6"/>
    <w:rsid w:val="00D90F62"/>
    <w:rsid w:val="00D925D4"/>
    <w:rsid w:val="00D93163"/>
    <w:rsid w:val="00D96512"/>
    <w:rsid w:val="00DA2817"/>
    <w:rsid w:val="00DA5D53"/>
    <w:rsid w:val="00DB4B88"/>
    <w:rsid w:val="00DC1E25"/>
    <w:rsid w:val="00DC1F7C"/>
    <w:rsid w:val="00DC411D"/>
    <w:rsid w:val="00DC4391"/>
    <w:rsid w:val="00DC6F58"/>
    <w:rsid w:val="00DE5311"/>
    <w:rsid w:val="00DE5D0A"/>
    <w:rsid w:val="00DF2C62"/>
    <w:rsid w:val="00DF2F77"/>
    <w:rsid w:val="00DF4C6D"/>
    <w:rsid w:val="00DF7F0D"/>
    <w:rsid w:val="00E04C41"/>
    <w:rsid w:val="00E04FD8"/>
    <w:rsid w:val="00E1007D"/>
    <w:rsid w:val="00E113D1"/>
    <w:rsid w:val="00E128FE"/>
    <w:rsid w:val="00E22859"/>
    <w:rsid w:val="00E342E8"/>
    <w:rsid w:val="00E4188E"/>
    <w:rsid w:val="00E50F6E"/>
    <w:rsid w:val="00E529AF"/>
    <w:rsid w:val="00E54077"/>
    <w:rsid w:val="00E607C2"/>
    <w:rsid w:val="00E64287"/>
    <w:rsid w:val="00E64BA5"/>
    <w:rsid w:val="00E72ED6"/>
    <w:rsid w:val="00E7785C"/>
    <w:rsid w:val="00E80988"/>
    <w:rsid w:val="00E838A8"/>
    <w:rsid w:val="00E8477D"/>
    <w:rsid w:val="00E87234"/>
    <w:rsid w:val="00E92401"/>
    <w:rsid w:val="00E96B49"/>
    <w:rsid w:val="00E96D9F"/>
    <w:rsid w:val="00EA004A"/>
    <w:rsid w:val="00EB3FC1"/>
    <w:rsid w:val="00EB49A5"/>
    <w:rsid w:val="00EB4E97"/>
    <w:rsid w:val="00EC4B86"/>
    <w:rsid w:val="00ED71B8"/>
    <w:rsid w:val="00ED7689"/>
    <w:rsid w:val="00EE40E1"/>
    <w:rsid w:val="00EF0BD2"/>
    <w:rsid w:val="00EF6B41"/>
    <w:rsid w:val="00EF6B86"/>
    <w:rsid w:val="00EF7010"/>
    <w:rsid w:val="00F0724A"/>
    <w:rsid w:val="00F12584"/>
    <w:rsid w:val="00F14C37"/>
    <w:rsid w:val="00F17236"/>
    <w:rsid w:val="00F20DF1"/>
    <w:rsid w:val="00F2418E"/>
    <w:rsid w:val="00F25DA8"/>
    <w:rsid w:val="00F2610C"/>
    <w:rsid w:val="00F30379"/>
    <w:rsid w:val="00F30A35"/>
    <w:rsid w:val="00F31184"/>
    <w:rsid w:val="00F42CBD"/>
    <w:rsid w:val="00F5109A"/>
    <w:rsid w:val="00F56605"/>
    <w:rsid w:val="00F70505"/>
    <w:rsid w:val="00F71D89"/>
    <w:rsid w:val="00F753E7"/>
    <w:rsid w:val="00F756DD"/>
    <w:rsid w:val="00F761EC"/>
    <w:rsid w:val="00F85956"/>
    <w:rsid w:val="00F90F80"/>
    <w:rsid w:val="00F91C66"/>
    <w:rsid w:val="00F97CE6"/>
    <w:rsid w:val="00FA09B6"/>
    <w:rsid w:val="00FB1F8A"/>
    <w:rsid w:val="00FB483D"/>
    <w:rsid w:val="00FB7EF0"/>
    <w:rsid w:val="00FC2EE8"/>
    <w:rsid w:val="00FC3E6E"/>
    <w:rsid w:val="00FC5F7E"/>
    <w:rsid w:val="00FD1DC4"/>
    <w:rsid w:val="00FE13B1"/>
    <w:rsid w:val="00FE21AA"/>
    <w:rsid w:val="00FE3DBB"/>
    <w:rsid w:val="00FF6A59"/>
    <w:rsid w:val="09E986F7"/>
    <w:rsid w:val="0B1E0542"/>
    <w:rsid w:val="0E6BE7CB"/>
    <w:rsid w:val="13FF7AA2"/>
    <w:rsid w:val="1B5360F2"/>
    <w:rsid w:val="29EA24D1"/>
    <w:rsid w:val="31FC2296"/>
    <w:rsid w:val="398E15C3"/>
    <w:rsid w:val="401E83D4"/>
    <w:rsid w:val="4D5C705F"/>
    <w:rsid w:val="4EF39A82"/>
    <w:rsid w:val="5A5AE191"/>
    <w:rsid w:val="5B3E8ED1"/>
    <w:rsid w:val="5D9B3778"/>
    <w:rsid w:val="62FD3D05"/>
    <w:rsid w:val="657C4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7616"/>
  <w15:chartTrackingRefBased/>
  <w15:docId w15:val="{E5051C47-7E2B-4385-B578-37DC6D13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6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6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66D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66D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66D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66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66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66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66D9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D9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66D9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66D9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66D9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66D9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66D9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66D9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66D9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66D98"/>
    <w:rPr>
      <w:rFonts w:eastAsiaTheme="majorEastAsia" w:cstheme="majorBidi"/>
      <w:color w:val="272727" w:themeColor="text1" w:themeTint="D8"/>
    </w:rPr>
  </w:style>
  <w:style w:type="paragraph" w:styleId="Ttulo">
    <w:name w:val="Title"/>
    <w:basedOn w:val="Normal"/>
    <w:next w:val="Normal"/>
    <w:link w:val="TtuloCarter"/>
    <w:uiPriority w:val="10"/>
    <w:qFormat/>
    <w:rsid w:val="00C6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66D9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66D9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66D9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66D98"/>
    <w:rPr>
      <w:i/>
      <w:iCs/>
      <w:color w:val="404040" w:themeColor="text1" w:themeTint="BF"/>
    </w:rPr>
  </w:style>
  <w:style w:type="paragraph" w:styleId="PargrafodaLista">
    <w:name w:val="List Paragraph"/>
    <w:basedOn w:val="Normal"/>
    <w:uiPriority w:val="34"/>
    <w:qFormat/>
    <w:rsid w:val="00C66D98"/>
    <w:pPr>
      <w:ind w:left="720"/>
      <w:contextualSpacing/>
    </w:pPr>
  </w:style>
  <w:style w:type="character" w:styleId="nfaseIntensa">
    <w:name w:val="Intense Emphasis"/>
    <w:basedOn w:val="Tipodeletrapredefinidodopargrafo"/>
    <w:uiPriority w:val="21"/>
    <w:qFormat/>
    <w:rsid w:val="00C66D98"/>
    <w:rPr>
      <w:i/>
      <w:iCs/>
      <w:color w:val="0F4761" w:themeColor="accent1" w:themeShade="BF"/>
    </w:rPr>
  </w:style>
  <w:style w:type="paragraph" w:styleId="CitaoIntensa">
    <w:name w:val="Intense Quote"/>
    <w:basedOn w:val="Normal"/>
    <w:next w:val="Normal"/>
    <w:link w:val="CitaoIntensaCarter"/>
    <w:uiPriority w:val="30"/>
    <w:qFormat/>
    <w:rsid w:val="00C6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66D98"/>
    <w:rPr>
      <w:i/>
      <w:iCs/>
      <w:color w:val="0F4761" w:themeColor="accent1" w:themeShade="BF"/>
    </w:rPr>
  </w:style>
  <w:style w:type="character" w:styleId="RefernciaIntensa">
    <w:name w:val="Intense Reference"/>
    <w:basedOn w:val="Tipodeletrapredefinidodopargrafo"/>
    <w:uiPriority w:val="32"/>
    <w:qFormat/>
    <w:rsid w:val="00C66D98"/>
    <w:rPr>
      <w:b/>
      <w:bCs/>
      <w:smallCaps/>
      <w:color w:val="0F4761" w:themeColor="accent1" w:themeShade="BF"/>
      <w:spacing w:val="5"/>
    </w:rPr>
  </w:style>
  <w:style w:type="paragraph" w:styleId="Cabealho">
    <w:name w:val="header"/>
    <w:basedOn w:val="Normal"/>
    <w:link w:val="CabealhoCarter"/>
    <w:uiPriority w:val="99"/>
    <w:unhideWhenUsed/>
    <w:rsid w:val="00C66D98"/>
    <w:pPr>
      <w:tabs>
        <w:tab w:val="center" w:pos="4419"/>
        <w:tab w:val="right" w:pos="8838"/>
      </w:tabs>
      <w:spacing w:after="0" w:line="240" w:lineRule="auto"/>
    </w:pPr>
  </w:style>
  <w:style w:type="character" w:customStyle="1" w:styleId="CabealhoCarter">
    <w:name w:val="Cabeçalho Caráter"/>
    <w:basedOn w:val="Tipodeletrapredefinidodopargrafo"/>
    <w:link w:val="Cabealho"/>
    <w:uiPriority w:val="99"/>
    <w:rsid w:val="00C66D98"/>
  </w:style>
  <w:style w:type="paragraph" w:styleId="Rodap">
    <w:name w:val="footer"/>
    <w:basedOn w:val="Normal"/>
    <w:link w:val="RodapCarter"/>
    <w:uiPriority w:val="99"/>
    <w:unhideWhenUsed/>
    <w:rsid w:val="00C66D98"/>
    <w:pPr>
      <w:tabs>
        <w:tab w:val="center" w:pos="4419"/>
        <w:tab w:val="right" w:pos="8838"/>
      </w:tabs>
      <w:spacing w:after="0" w:line="240" w:lineRule="auto"/>
    </w:pPr>
  </w:style>
  <w:style w:type="character" w:customStyle="1" w:styleId="RodapCarter">
    <w:name w:val="Rodapé Caráter"/>
    <w:basedOn w:val="Tipodeletrapredefinidodopargrafo"/>
    <w:link w:val="Rodap"/>
    <w:uiPriority w:val="99"/>
    <w:rsid w:val="00C66D98"/>
  </w:style>
  <w:style w:type="character" w:styleId="Hiperligao">
    <w:name w:val="Hyperlink"/>
    <w:basedOn w:val="Tipodeletrapredefinidodopargrafo"/>
    <w:uiPriority w:val="99"/>
    <w:unhideWhenUsed/>
    <w:rsid w:val="002E2AE9"/>
    <w:rPr>
      <w:color w:val="467886" w:themeColor="hyperlink"/>
      <w:u w:val="single"/>
    </w:rPr>
  </w:style>
  <w:style w:type="character" w:styleId="MenoNoResolvida">
    <w:name w:val="Unresolved Mention"/>
    <w:basedOn w:val="Tipodeletrapredefinidodopargrafo"/>
    <w:uiPriority w:val="99"/>
    <w:semiHidden/>
    <w:unhideWhenUsed/>
    <w:rsid w:val="002E2AE9"/>
    <w:rPr>
      <w:color w:val="605E5C"/>
      <w:shd w:val="clear" w:color="auto" w:fill="E1DFDD"/>
    </w:rPr>
  </w:style>
  <w:style w:type="character" w:styleId="Refdecomentrio">
    <w:name w:val="annotation reference"/>
    <w:basedOn w:val="Tipodeletrapredefinidodopargrafo"/>
    <w:uiPriority w:val="99"/>
    <w:semiHidden/>
    <w:unhideWhenUsed/>
    <w:rsid w:val="002E2AE9"/>
    <w:rPr>
      <w:sz w:val="16"/>
      <w:szCs w:val="16"/>
    </w:rPr>
  </w:style>
  <w:style w:type="paragraph" w:styleId="Textodecomentrio">
    <w:name w:val="annotation text"/>
    <w:basedOn w:val="Normal"/>
    <w:link w:val="TextodecomentrioCarter"/>
    <w:uiPriority w:val="99"/>
    <w:unhideWhenUsed/>
    <w:rsid w:val="002E2AE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2E2AE9"/>
    <w:rPr>
      <w:sz w:val="20"/>
      <w:szCs w:val="20"/>
    </w:rPr>
  </w:style>
  <w:style w:type="paragraph" w:styleId="Assuntodecomentrio">
    <w:name w:val="annotation subject"/>
    <w:basedOn w:val="Textodecomentrio"/>
    <w:next w:val="Textodecomentrio"/>
    <w:link w:val="AssuntodecomentrioCarter"/>
    <w:uiPriority w:val="99"/>
    <w:semiHidden/>
    <w:unhideWhenUsed/>
    <w:rsid w:val="002E2AE9"/>
    <w:rPr>
      <w:b/>
      <w:bCs/>
    </w:rPr>
  </w:style>
  <w:style w:type="character" w:customStyle="1" w:styleId="AssuntodecomentrioCarter">
    <w:name w:val="Assunto de comentário Caráter"/>
    <w:basedOn w:val="TextodecomentrioCarter"/>
    <w:link w:val="Assuntodecomentrio"/>
    <w:uiPriority w:val="99"/>
    <w:semiHidden/>
    <w:rsid w:val="002E2AE9"/>
    <w:rPr>
      <w:b/>
      <w:bCs/>
      <w:sz w:val="20"/>
      <w:szCs w:val="20"/>
    </w:rPr>
  </w:style>
  <w:style w:type="paragraph" w:styleId="Reviso">
    <w:name w:val="Revision"/>
    <w:hidden/>
    <w:uiPriority w:val="99"/>
    <w:semiHidden/>
    <w:rsid w:val="00167F99"/>
    <w:pPr>
      <w:spacing w:after="0" w:line="240" w:lineRule="auto"/>
    </w:pPr>
  </w:style>
  <w:style w:type="character" w:styleId="Hiperligaovisitada">
    <w:name w:val="FollowedHyperlink"/>
    <w:basedOn w:val="Tipodeletrapredefinidodopargrafo"/>
    <w:uiPriority w:val="99"/>
    <w:semiHidden/>
    <w:unhideWhenUsed/>
    <w:rsid w:val="006445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quel.rogeiro@lift.com.p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utorfinancas.pt/sobre-doutor-financa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utorfinancas.pt/vida-e-familia/pensoes/guia-financeiro-proteja-o-seu-dinheiro-depois-da-reform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outorfinancas.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iguel.carrilho@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2CC265F5C2334985E4B3FC6F05D8EC" ma:contentTypeVersion="11" ma:contentTypeDescription="Criar um novo documento." ma:contentTypeScope="" ma:versionID="3e0c0f55a9c5d0c1b4c732b1ee1ee6dc">
  <xsd:schema xmlns:xsd="http://www.w3.org/2001/XMLSchema" xmlns:xs="http://www.w3.org/2001/XMLSchema" xmlns:p="http://schemas.microsoft.com/office/2006/metadata/properties" xmlns:ns2="5b430281-fad7-436a-b902-e011d6f73fb0" xmlns:ns3="758c6338-9cc2-440b-9e2c-ab0d12a0ff25" targetNamespace="http://schemas.microsoft.com/office/2006/metadata/properties" ma:root="true" ma:fieldsID="266be52e6d20fefa9b2cb8ff3e2c2dc4" ns2:_="" ns3:_="">
    <xsd:import namespace="5b430281-fad7-436a-b902-e011d6f73fb0"/>
    <xsd:import namespace="758c6338-9cc2-440b-9e2c-ab0d12a0f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281-fad7-436a-b902-e011d6f73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c6338-9cc2-440b-9e2c-ab0d12a0f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6d457-6d3e-4a1d-bab7-9564f40c69ee}" ma:internalName="TaxCatchAll" ma:showField="CatchAllData" ma:web="758c6338-9cc2-440b-9e2c-ab0d12a0f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30281-fad7-436a-b902-e011d6f73fb0">
      <Terms xmlns="http://schemas.microsoft.com/office/infopath/2007/PartnerControls"/>
    </lcf76f155ced4ddcb4097134ff3c332f>
    <TaxCatchAll xmlns="758c6338-9cc2-440b-9e2c-ab0d12a0ff25" xsi:nil="true"/>
  </documentManagement>
</p:properties>
</file>

<file path=customXml/itemProps1.xml><?xml version="1.0" encoding="utf-8"?>
<ds:datastoreItem xmlns:ds="http://schemas.openxmlformats.org/officeDocument/2006/customXml" ds:itemID="{2CAE7453-388D-4124-A3CD-9E70FB91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281-fad7-436a-b902-e011d6f73fb0"/>
    <ds:schemaRef ds:uri="758c6338-9cc2-440b-9e2c-ab0d12a0f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B4A6B-0C42-4D8E-97A6-8E18AB38C41A}">
  <ds:schemaRefs>
    <ds:schemaRef ds:uri="http://schemas.microsoft.com/sharepoint/v3/contenttype/forms"/>
  </ds:schemaRefs>
</ds:datastoreItem>
</file>

<file path=customXml/itemProps3.xml><?xml version="1.0" encoding="utf-8"?>
<ds:datastoreItem xmlns:ds="http://schemas.openxmlformats.org/officeDocument/2006/customXml" ds:itemID="{F57C5965-E003-404F-A887-C3ED02F3D5D5}">
  <ds:schemaRefs>
    <ds:schemaRef ds:uri="http://schemas.microsoft.com/office/2006/metadata/properties"/>
    <ds:schemaRef ds:uri="http://schemas.microsoft.com/office/infopath/2007/PartnerControls"/>
    <ds:schemaRef ds:uri="5b430281-fad7-436a-b902-e011d6f73fb0"/>
    <ds:schemaRef ds:uri="758c6338-9cc2-440b-9e2c-ab0d12a0ff2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1303</Words>
  <Characters>7042</Characters>
  <Application>Microsoft Office Word</Application>
  <DocSecurity>4</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Duarte</dc:creator>
  <cp:keywords/>
  <dc:description/>
  <cp:lastModifiedBy>Sara  Antunes</cp:lastModifiedBy>
  <cp:revision>2</cp:revision>
  <cp:lastPrinted>2025-11-12T10:24:00Z</cp:lastPrinted>
  <dcterms:created xsi:type="dcterms:W3CDTF">2026-09-21T08:07:00Z</dcterms:created>
  <dcterms:modified xsi:type="dcterms:W3CDTF">2026-09-21T08:07:00Z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0x010100CE2CC265F5C2334985E4B3FC6F05D8EC</vt:lpwstr>
  </property>
  <property fmtid="{D5CDD505-2E9C-101B-9397-08002B2CF9AE}" pid="3" name="MediaServiceImageTags">
    <vt:lpwstr/>
  </property>
</Properties>
</file>