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C070A" w14:textId="77777777" w:rsidR="00647B5D" w:rsidRDefault="00647B5D" w:rsidP="689D99A4">
      <w:pPr>
        <w:jc w:val="right"/>
        <w:rPr>
          <w:rFonts w:ascii="Calibri" w:hAnsi="Calibri" w:cs="Calibri"/>
          <w:sz w:val="22"/>
          <w:szCs w:val="22"/>
        </w:rPr>
      </w:pPr>
    </w:p>
    <w:p w14:paraId="2DB177A2" w14:textId="6A006628" w:rsidR="005D37AE" w:rsidRDefault="689D99A4" w:rsidP="689D99A4">
      <w:pPr>
        <w:jc w:val="right"/>
        <w:rPr>
          <w:rFonts w:ascii="Calibri" w:hAnsi="Calibri" w:cs="Calibri"/>
          <w:sz w:val="22"/>
          <w:szCs w:val="22"/>
        </w:rPr>
      </w:pPr>
      <w:r w:rsidRPr="689D99A4">
        <w:rPr>
          <w:rFonts w:ascii="Calibri" w:hAnsi="Calibri" w:cs="Calibri"/>
          <w:sz w:val="22"/>
          <w:szCs w:val="22"/>
        </w:rPr>
        <w:t xml:space="preserve">Materiał prasowy, </w:t>
      </w:r>
      <w:r w:rsidR="00AE08F5">
        <w:rPr>
          <w:rFonts w:ascii="Calibri" w:hAnsi="Calibri" w:cs="Calibri"/>
          <w:sz w:val="22"/>
          <w:szCs w:val="22"/>
        </w:rPr>
        <w:t>2</w:t>
      </w:r>
      <w:r w:rsidR="00665BB7">
        <w:rPr>
          <w:rFonts w:ascii="Calibri" w:hAnsi="Calibri" w:cs="Calibri"/>
          <w:sz w:val="22"/>
          <w:szCs w:val="22"/>
        </w:rPr>
        <w:t>1</w:t>
      </w:r>
      <w:r w:rsidRPr="689D99A4">
        <w:rPr>
          <w:rFonts w:ascii="Calibri" w:hAnsi="Calibri" w:cs="Calibri"/>
          <w:sz w:val="22"/>
          <w:szCs w:val="22"/>
        </w:rPr>
        <w:t>.0</w:t>
      </w:r>
      <w:r w:rsidR="004219D8">
        <w:rPr>
          <w:rFonts w:ascii="Calibri" w:hAnsi="Calibri" w:cs="Calibri"/>
          <w:sz w:val="22"/>
          <w:szCs w:val="22"/>
        </w:rPr>
        <w:t>9</w:t>
      </w:r>
      <w:r w:rsidRPr="689D99A4">
        <w:rPr>
          <w:rFonts w:ascii="Calibri" w:hAnsi="Calibri" w:cs="Calibri"/>
          <w:sz w:val="22"/>
          <w:szCs w:val="22"/>
        </w:rPr>
        <w:t>.2026 r.</w:t>
      </w:r>
    </w:p>
    <w:p w14:paraId="3929D6BA" w14:textId="05E22C35" w:rsidR="00813C79" w:rsidRDefault="00042CC7" w:rsidP="689D99A4">
      <w:pPr>
        <w:jc w:val="center"/>
        <w:rPr>
          <w:rFonts w:ascii="Calibri" w:eastAsia="Calibri" w:hAnsi="Calibri" w:cs="Calibri"/>
          <w:b/>
          <w:bCs/>
          <w:sz w:val="28"/>
          <w:szCs w:val="28"/>
        </w:rPr>
      </w:pPr>
      <w:r w:rsidRPr="00042CC7">
        <w:rPr>
          <w:rFonts w:ascii="Calibri" w:eastAsia="Calibri" w:hAnsi="Calibri" w:cs="Calibri"/>
          <w:b/>
          <w:bCs/>
          <w:sz w:val="28"/>
          <w:szCs w:val="28"/>
        </w:rPr>
        <w:t xml:space="preserve">Co Polacy </w:t>
      </w:r>
      <w:r>
        <w:rPr>
          <w:rFonts w:ascii="Calibri" w:eastAsia="Calibri" w:hAnsi="Calibri" w:cs="Calibri"/>
          <w:b/>
          <w:bCs/>
          <w:sz w:val="28"/>
          <w:szCs w:val="28"/>
        </w:rPr>
        <w:t>wiedzą</w:t>
      </w:r>
      <w:r w:rsidRPr="00042CC7">
        <w:rPr>
          <w:rFonts w:ascii="Calibri" w:eastAsia="Calibri" w:hAnsi="Calibri" w:cs="Calibri"/>
          <w:b/>
          <w:bCs/>
          <w:sz w:val="28"/>
          <w:szCs w:val="28"/>
        </w:rPr>
        <w:t xml:space="preserve"> o żywieniu medycznym? Wyniki badania pokazują dużą lukę w</w:t>
      </w:r>
      <w:r w:rsidR="00741354">
        <w:rPr>
          <w:rFonts w:ascii="Calibri" w:eastAsia="Calibri" w:hAnsi="Calibri" w:cs="Calibri"/>
          <w:b/>
          <w:bCs/>
          <w:sz w:val="28"/>
          <w:szCs w:val="28"/>
        </w:rPr>
        <w:t xml:space="preserve"> świadomości pacjentów</w:t>
      </w:r>
    </w:p>
    <w:p w14:paraId="158CB705" w14:textId="63470F30" w:rsidR="00411048" w:rsidRPr="007E4026" w:rsidRDefault="00411048" w:rsidP="00411048">
      <w:pPr>
        <w:jc w:val="both"/>
        <w:rPr>
          <w:rFonts w:ascii="Calibri" w:hAnsi="Calibri" w:cs="Calibri"/>
          <w:b/>
          <w:bCs/>
          <w:sz w:val="22"/>
          <w:szCs w:val="22"/>
        </w:rPr>
      </w:pPr>
      <w:r w:rsidRPr="007E4026">
        <w:rPr>
          <w:rFonts w:ascii="Calibri" w:hAnsi="Calibri" w:cs="Calibri"/>
          <w:b/>
          <w:bCs/>
          <w:sz w:val="22"/>
          <w:szCs w:val="22"/>
        </w:rPr>
        <w:t>Trzech na czterech Polaków zetknęło się z pojęciem „żywienie medyczne”, ale tylko 16% dokładnie wie, co ono oznacza. Wyniki badania Fundacji Nutricia pokazują wyraźną lukę między znajomością terminu a rozumieniem jego znaczenia. Wskazują także, że o wsparciu żywieniowym w chorobie wciąż zaczynamy myśleć zbyt późno.</w:t>
      </w:r>
    </w:p>
    <w:p w14:paraId="1E63D28C" w14:textId="038CFCF2" w:rsidR="009E7F98" w:rsidRPr="009E7F98" w:rsidRDefault="004E5B06" w:rsidP="009E7F98">
      <w:pPr>
        <w:jc w:val="both"/>
        <w:rPr>
          <w:rFonts w:ascii="Calibri" w:hAnsi="Calibri" w:cs="Calibri"/>
          <w:b/>
          <w:bCs/>
          <w:sz w:val="22"/>
          <w:szCs w:val="22"/>
        </w:rPr>
      </w:pPr>
      <w:r w:rsidRPr="004E5B06">
        <w:rPr>
          <w:rFonts w:ascii="Calibri" w:hAnsi="Calibri" w:cs="Calibri"/>
          <w:b/>
          <w:bCs/>
          <w:sz w:val="22"/>
          <w:szCs w:val="22"/>
        </w:rPr>
        <w:t>Znamy termin, nie znamy znaczenia</w:t>
      </w:r>
    </w:p>
    <w:p w14:paraId="42A033AA" w14:textId="608E1F46" w:rsidR="000F737C" w:rsidRPr="000F737C" w:rsidRDefault="000F737C" w:rsidP="000F737C">
      <w:pPr>
        <w:jc w:val="both"/>
        <w:rPr>
          <w:rFonts w:ascii="Calibri" w:hAnsi="Calibri" w:cs="Calibri"/>
          <w:sz w:val="22"/>
          <w:szCs w:val="22"/>
        </w:rPr>
      </w:pPr>
      <w:r w:rsidRPr="000F737C">
        <w:rPr>
          <w:rFonts w:ascii="Calibri" w:hAnsi="Calibri" w:cs="Calibri"/>
          <w:sz w:val="22"/>
          <w:szCs w:val="22"/>
        </w:rPr>
        <w:t>Wiedza o zdrowym</w:t>
      </w:r>
      <w:r w:rsidR="00732091">
        <w:rPr>
          <w:rFonts w:ascii="Calibri" w:hAnsi="Calibri" w:cs="Calibri"/>
          <w:sz w:val="22"/>
          <w:szCs w:val="22"/>
        </w:rPr>
        <w:t xml:space="preserve"> żywieniu</w:t>
      </w:r>
      <w:r w:rsidRPr="000F737C">
        <w:rPr>
          <w:rFonts w:ascii="Calibri" w:hAnsi="Calibri" w:cs="Calibri"/>
          <w:sz w:val="22"/>
          <w:szCs w:val="22"/>
        </w:rPr>
        <w:t xml:space="preserve"> jest dziś</w:t>
      </w:r>
      <w:r w:rsidR="005D53DA">
        <w:rPr>
          <w:rFonts w:ascii="Calibri" w:hAnsi="Calibri" w:cs="Calibri"/>
          <w:sz w:val="22"/>
          <w:szCs w:val="22"/>
        </w:rPr>
        <w:t xml:space="preserve"> powszechnie dostępna</w:t>
      </w:r>
      <w:r w:rsidRPr="000F737C">
        <w:rPr>
          <w:rFonts w:ascii="Calibri" w:hAnsi="Calibri" w:cs="Calibri"/>
          <w:sz w:val="22"/>
          <w:szCs w:val="22"/>
        </w:rPr>
        <w:t>. Znacznie rzadziej mówi się jednak o tym, jak zmienia się rola żywienia, gdy pojawia się choroba. Jak pokazuje raport, właśnie w tym obszarze wiedza Polaków jest wyraźnie słabsza – co trzecia osoba ocenia swoją wiedzę dotyczącą żywienia w chorobie jako niską lub bardzo niską.</w:t>
      </w:r>
      <w:r w:rsidR="00A52D79">
        <w:rPr>
          <w:rFonts w:ascii="Calibri" w:hAnsi="Calibri" w:cs="Calibri"/>
          <w:sz w:val="22"/>
          <w:szCs w:val="22"/>
        </w:rPr>
        <w:t xml:space="preserve"> </w:t>
      </w:r>
      <w:r w:rsidRPr="000F737C">
        <w:rPr>
          <w:rFonts w:ascii="Calibri" w:hAnsi="Calibri" w:cs="Calibri"/>
          <w:sz w:val="22"/>
          <w:szCs w:val="22"/>
        </w:rPr>
        <w:t xml:space="preserve">Jeszcze wyraźniej problem widać w przypadku samego żywienia medycznego. Choć zetknęło się z tym terminem aż 75% badanych, tylko </w:t>
      </w:r>
      <w:r w:rsidR="00A2184D">
        <w:rPr>
          <w:rFonts w:ascii="Calibri" w:hAnsi="Calibri" w:cs="Calibri"/>
          <w:sz w:val="22"/>
          <w:szCs w:val="22"/>
        </w:rPr>
        <w:t xml:space="preserve">blisko </w:t>
      </w:r>
      <w:r w:rsidR="00BA2DD1">
        <w:rPr>
          <w:rFonts w:ascii="Calibri" w:hAnsi="Calibri" w:cs="Calibri"/>
          <w:sz w:val="22"/>
          <w:szCs w:val="22"/>
        </w:rPr>
        <w:t>1 na 6 osób</w:t>
      </w:r>
      <w:r w:rsidRPr="000F737C">
        <w:rPr>
          <w:rFonts w:ascii="Calibri" w:hAnsi="Calibri" w:cs="Calibri"/>
          <w:sz w:val="22"/>
          <w:szCs w:val="22"/>
        </w:rPr>
        <w:t xml:space="preserve"> wie dokładnie, co on</w:t>
      </w:r>
      <w:r w:rsidR="00BA2DD1">
        <w:rPr>
          <w:rFonts w:ascii="Calibri" w:hAnsi="Calibri" w:cs="Calibri"/>
          <w:sz w:val="22"/>
          <w:szCs w:val="22"/>
        </w:rPr>
        <w:t>o</w:t>
      </w:r>
      <w:r w:rsidRPr="000F737C">
        <w:rPr>
          <w:rFonts w:ascii="Calibri" w:hAnsi="Calibri" w:cs="Calibri"/>
          <w:sz w:val="22"/>
          <w:szCs w:val="22"/>
        </w:rPr>
        <w:t xml:space="preserve"> oznacza. </w:t>
      </w:r>
    </w:p>
    <w:p w14:paraId="66F2F42D" w14:textId="7142A9D5" w:rsidR="00E55FBE" w:rsidRPr="005114C1" w:rsidRDefault="000F737C" w:rsidP="000F737C">
      <w:pPr>
        <w:jc w:val="both"/>
        <w:rPr>
          <w:rFonts w:ascii="Calibri" w:hAnsi="Calibri" w:cs="Calibri"/>
          <w:i/>
          <w:iCs/>
          <w:sz w:val="22"/>
          <w:szCs w:val="22"/>
        </w:rPr>
      </w:pPr>
      <w:r w:rsidRPr="000F737C">
        <w:rPr>
          <w:rFonts w:ascii="Calibri" w:hAnsi="Calibri" w:cs="Calibri"/>
          <w:sz w:val="22"/>
          <w:szCs w:val="22"/>
        </w:rPr>
        <w:t xml:space="preserve">– </w:t>
      </w:r>
      <w:r w:rsidRPr="000F737C">
        <w:rPr>
          <w:rFonts w:ascii="Calibri" w:hAnsi="Calibri" w:cs="Calibri"/>
          <w:i/>
          <w:iCs/>
          <w:sz w:val="22"/>
          <w:szCs w:val="22"/>
        </w:rPr>
        <w:t xml:space="preserve">Sama znajomość pojęcia nie </w:t>
      </w:r>
      <w:r w:rsidR="001C2E6B">
        <w:rPr>
          <w:rFonts w:ascii="Calibri" w:hAnsi="Calibri" w:cs="Calibri"/>
          <w:i/>
          <w:iCs/>
          <w:sz w:val="22"/>
          <w:szCs w:val="22"/>
        </w:rPr>
        <w:t>świadczy</w:t>
      </w:r>
      <w:r w:rsidRPr="000F737C">
        <w:rPr>
          <w:rFonts w:ascii="Calibri" w:hAnsi="Calibri" w:cs="Calibri"/>
          <w:i/>
          <w:iCs/>
          <w:sz w:val="22"/>
          <w:szCs w:val="22"/>
        </w:rPr>
        <w:t xml:space="preserve"> jeszcze</w:t>
      </w:r>
      <w:r w:rsidR="001C2E6B">
        <w:rPr>
          <w:rFonts w:ascii="Calibri" w:hAnsi="Calibri" w:cs="Calibri"/>
          <w:i/>
          <w:iCs/>
          <w:sz w:val="22"/>
          <w:szCs w:val="22"/>
        </w:rPr>
        <w:t xml:space="preserve"> o tym</w:t>
      </w:r>
      <w:r w:rsidRPr="000F737C">
        <w:rPr>
          <w:rFonts w:ascii="Calibri" w:hAnsi="Calibri" w:cs="Calibri"/>
          <w:i/>
          <w:iCs/>
          <w:sz w:val="22"/>
          <w:szCs w:val="22"/>
        </w:rPr>
        <w:t xml:space="preserve">, że potrafimy przełożyć je na konkretne decyzje </w:t>
      </w:r>
      <w:r w:rsidR="0012479D">
        <w:rPr>
          <w:rFonts w:ascii="Calibri" w:hAnsi="Calibri" w:cs="Calibri"/>
          <w:i/>
          <w:iCs/>
          <w:sz w:val="22"/>
          <w:szCs w:val="22"/>
        </w:rPr>
        <w:t>żywieniowe</w:t>
      </w:r>
      <w:r w:rsidRPr="000F737C">
        <w:rPr>
          <w:rFonts w:ascii="Calibri" w:hAnsi="Calibri" w:cs="Calibri"/>
          <w:i/>
          <w:iCs/>
          <w:sz w:val="22"/>
          <w:szCs w:val="22"/>
        </w:rPr>
        <w:t>. Wyniki badania pokazują, że żywienie medyczne wciąż jest dla wielu osób pojęciem niejasnym i obudowanym</w:t>
      </w:r>
      <w:r w:rsidR="00C42F47">
        <w:rPr>
          <w:rFonts w:ascii="Calibri" w:hAnsi="Calibri" w:cs="Calibri"/>
          <w:i/>
          <w:iCs/>
          <w:sz w:val="22"/>
          <w:szCs w:val="22"/>
        </w:rPr>
        <w:t xml:space="preserve"> różnymi, nie zawsze właściwymi</w:t>
      </w:r>
      <w:r w:rsidRPr="000F737C">
        <w:rPr>
          <w:rFonts w:ascii="Calibri" w:hAnsi="Calibri" w:cs="Calibri"/>
          <w:i/>
          <w:iCs/>
          <w:sz w:val="22"/>
          <w:szCs w:val="22"/>
        </w:rPr>
        <w:t xml:space="preserve"> skojarzeniami</w:t>
      </w:r>
      <w:r w:rsidR="00665969">
        <w:rPr>
          <w:rFonts w:ascii="Calibri" w:hAnsi="Calibri" w:cs="Calibri"/>
          <w:i/>
          <w:iCs/>
          <w:sz w:val="22"/>
          <w:szCs w:val="22"/>
        </w:rPr>
        <w:t>.</w:t>
      </w:r>
      <w:r w:rsidRPr="000F737C">
        <w:rPr>
          <w:rFonts w:ascii="Calibri" w:hAnsi="Calibri" w:cs="Calibri"/>
          <w:i/>
          <w:iCs/>
          <w:sz w:val="22"/>
          <w:szCs w:val="22"/>
        </w:rPr>
        <w:t xml:space="preserve"> Dlatego potrzebujemy nie tylko większej ilości informacji, ale przede wszystkim prostego i spójnego języka, który pomoże pacjentom i ich bliskim zrozumieć, czym jest żywienie medyczne i jaką rolę może pełnić w procesie leczenia</w:t>
      </w:r>
      <w:r w:rsidR="00046AAE">
        <w:rPr>
          <w:rFonts w:ascii="Calibri" w:hAnsi="Calibri" w:cs="Calibri"/>
          <w:i/>
          <w:iCs/>
          <w:sz w:val="22"/>
          <w:szCs w:val="22"/>
        </w:rPr>
        <w:t xml:space="preserve"> dzięki odpowiedniemu odżywianiu organizmu</w:t>
      </w:r>
      <w:r w:rsidR="00046AAE" w:rsidRPr="000F737C">
        <w:rPr>
          <w:rFonts w:ascii="Calibri" w:hAnsi="Calibri" w:cs="Calibri"/>
          <w:sz w:val="22"/>
          <w:szCs w:val="22"/>
        </w:rPr>
        <w:t xml:space="preserve"> </w:t>
      </w:r>
      <w:r w:rsidRPr="000F737C">
        <w:rPr>
          <w:rFonts w:ascii="Calibri" w:hAnsi="Calibri" w:cs="Calibri"/>
          <w:sz w:val="22"/>
          <w:szCs w:val="22"/>
        </w:rPr>
        <w:t xml:space="preserve">– </w:t>
      </w:r>
      <w:r w:rsidRPr="000F737C">
        <w:rPr>
          <w:rFonts w:ascii="Calibri" w:hAnsi="Calibri" w:cs="Calibri"/>
          <w:b/>
          <w:bCs/>
          <w:sz w:val="22"/>
          <w:szCs w:val="22"/>
        </w:rPr>
        <w:t>komentuje Magdalena Siuba-Strzelińska, dietetyczka kliniczna współpracująca z Fundacją Nutricia.</w:t>
      </w:r>
    </w:p>
    <w:p w14:paraId="253085FF" w14:textId="71B1313E" w:rsidR="009E7F98" w:rsidRPr="009E7F98" w:rsidRDefault="00465983" w:rsidP="009E7F98">
      <w:pPr>
        <w:jc w:val="both"/>
        <w:rPr>
          <w:rFonts w:ascii="Calibri" w:hAnsi="Calibri" w:cs="Calibri"/>
          <w:b/>
          <w:bCs/>
          <w:sz w:val="22"/>
          <w:szCs w:val="22"/>
        </w:rPr>
      </w:pPr>
      <w:r w:rsidRPr="00465983">
        <w:rPr>
          <w:rFonts w:ascii="Calibri" w:hAnsi="Calibri" w:cs="Calibri"/>
          <w:b/>
          <w:bCs/>
          <w:sz w:val="22"/>
          <w:szCs w:val="22"/>
        </w:rPr>
        <w:t>Błędne skojarzenia</w:t>
      </w:r>
    </w:p>
    <w:p w14:paraId="28DD90EA" w14:textId="3DF4F242" w:rsidR="00CE61D0" w:rsidRPr="00CE61D0" w:rsidRDefault="00CE61D0" w:rsidP="00CE61D0">
      <w:pPr>
        <w:jc w:val="both"/>
        <w:rPr>
          <w:rFonts w:ascii="Calibri" w:hAnsi="Calibri" w:cs="Calibri"/>
          <w:sz w:val="22"/>
          <w:szCs w:val="22"/>
        </w:rPr>
      </w:pPr>
      <w:r w:rsidRPr="00CE61D0">
        <w:rPr>
          <w:rFonts w:ascii="Calibri" w:hAnsi="Calibri" w:cs="Calibri"/>
          <w:sz w:val="22"/>
          <w:szCs w:val="22"/>
        </w:rPr>
        <w:t xml:space="preserve">Co dokładnie Polacy rozumieją pod pojęciem żywienia medycznego? </w:t>
      </w:r>
      <w:r w:rsidR="00BA0B90">
        <w:rPr>
          <w:rFonts w:ascii="Calibri" w:hAnsi="Calibri" w:cs="Calibri"/>
          <w:sz w:val="22"/>
          <w:szCs w:val="22"/>
        </w:rPr>
        <w:t>Gdy badanym przedstawiono konkretne mo</w:t>
      </w:r>
      <w:r w:rsidR="00A56E4C">
        <w:rPr>
          <w:rFonts w:ascii="Calibri" w:hAnsi="Calibri" w:cs="Calibri"/>
          <w:sz w:val="22"/>
          <w:szCs w:val="22"/>
        </w:rPr>
        <w:t xml:space="preserve">żliwości </w:t>
      </w:r>
      <w:r w:rsidR="002355E1">
        <w:rPr>
          <w:rFonts w:ascii="Calibri" w:hAnsi="Calibri" w:cs="Calibri"/>
          <w:sz w:val="22"/>
          <w:szCs w:val="22"/>
        </w:rPr>
        <w:t xml:space="preserve">odpowiedzi, 44% </w:t>
      </w:r>
      <w:r w:rsidR="00910861">
        <w:rPr>
          <w:rFonts w:ascii="Calibri" w:hAnsi="Calibri" w:cs="Calibri"/>
          <w:sz w:val="22"/>
          <w:szCs w:val="22"/>
        </w:rPr>
        <w:t xml:space="preserve">wskazało, że żywienie medyczne </w:t>
      </w:r>
      <w:r w:rsidR="00996B95">
        <w:rPr>
          <w:rFonts w:ascii="Calibri" w:hAnsi="Calibri" w:cs="Calibri"/>
          <w:sz w:val="22"/>
          <w:szCs w:val="22"/>
        </w:rPr>
        <w:t xml:space="preserve">obejmuje </w:t>
      </w:r>
      <w:r w:rsidRPr="00CE61D0">
        <w:rPr>
          <w:rFonts w:ascii="Calibri" w:hAnsi="Calibri" w:cs="Calibri"/>
          <w:sz w:val="22"/>
          <w:szCs w:val="22"/>
        </w:rPr>
        <w:t>specjalistyczn</w:t>
      </w:r>
      <w:r w:rsidR="00996B95">
        <w:rPr>
          <w:rFonts w:ascii="Calibri" w:hAnsi="Calibri" w:cs="Calibri"/>
          <w:sz w:val="22"/>
          <w:szCs w:val="22"/>
        </w:rPr>
        <w:t>e</w:t>
      </w:r>
      <w:r w:rsidRPr="00CE61D0">
        <w:rPr>
          <w:rFonts w:ascii="Calibri" w:hAnsi="Calibri" w:cs="Calibri"/>
          <w:sz w:val="22"/>
          <w:szCs w:val="22"/>
        </w:rPr>
        <w:t xml:space="preserve"> preparat</w:t>
      </w:r>
      <w:r w:rsidR="00C22FBA">
        <w:rPr>
          <w:rFonts w:ascii="Calibri" w:hAnsi="Calibri" w:cs="Calibri"/>
          <w:sz w:val="22"/>
          <w:szCs w:val="22"/>
        </w:rPr>
        <w:t>y</w:t>
      </w:r>
      <w:r w:rsidRPr="00CE61D0">
        <w:rPr>
          <w:rFonts w:ascii="Calibri" w:hAnsi="Calibri" w:cs="Calibri"/>
          <w:sz w:val="22"/>
          <w:szCs w:val="22"/>
        </w:rPr>
        <w:t xml:space="preserve"> odżywcz</w:t>
      </w:r>
      <w:r w:rsidR="00C22FBA">
        <w:rPr>
          <w:rFonts w:ascii="Calibri" w:hAnsi="Calibri" w:cs="Calibri"/>
          <w:sz w:val="22"/>
          <w:szCs w:val="22"/>
        </w:rPr>
        <w:t>e</w:t>
      </w:r>
      <w:r w:rsidR="00665969">
        <w:rPr>
          <w:rFonts w:ascii="Calibri" w:hAnsi="Calibri" w:cs="Calibri"/>
          <w:sz w:val="22"/>
          <w:szCs w:val="22"/>
        </w:rPr>
        <w:t xml:space="preserve">. </w:t>
      </w:r>
      <w:r w:rsidR="00A43DCC">
        <w:rPr>
          <w:rFonts w:ascii="Calibri" w:hAnsi="Calibri" w:cs="Calibri"/>
          <w:sz w:val="22"/>
          <w:szCs w:val="22"/>
        </w:rPr>
        <w:t>Natomiast kolejne odpowiedzi wskazują na błędne interpretacje pojęcia: d</w:t>
      </w:r>
      <w:r w:rsidRPr="00CE61D0">
        <w:rPr>
          <w:rFonts w:ascii="Calibri" w:hAnsi="Calibri" w:cs="Calibri"/>
          <w:sz w:val="22"/>
          <w:szCs w:val="22"/>
        </w:rPr>
        <w:t xml:space="preserve">la </w:t>
      </w:r>
      <w:r w:rsidR="00217DE0">
        <w:rPr>
          <w:rFonts w:ascii="Calibri" w:hAnsi="Calibri" w:cs="Calibri"/>
          <w:sz w:val="22"/>
          <w:szCs w:val="22"/>
        </w:rPr>
        <w:t xml:space="preserve">ponad </w:t>
      </w:r>
      <w:r w:rsidRPr="00CE61D0">
        <w:rPr>
          <w:rFonts w:ascii="Calibri" w:hAnsi="Calibri" w:cs="Calibri"/>
          <w:sz w:val="22"/>
          <w:szCs w:val="22"/>
        </w:rPr>
        <w:t>3</w:t>
      </w:r>
      <w:r w:rsidR="00217DE0">
        <w:rPr>
          <w:rFonts w:ascii="Calibri" w:hAnsi="Calibri" w:cs="Calibri"/>
          <w:sz w:val="22"/>
          <w:szCs w:val="22"/>
        </w:rPr>
        <w:t>0</w:t>
      </w:r>
      <w:r w:rsidRPr="00CE61D0">
        <w:rPr>
          <w:rFonts w:ascii="Calibri" w:hAnsi="Calibri" w:cs="Calibri"/>
          <w:sz w:val="22"/>
          <w:szCs w:val="22"/>
        </w:rPr>
        <w:t>% jest to specjalna dieta przygotowana według wytycznych lekarza, dietetyka lub innego specjalisty</w:t>
      </w:r>
      <w:r w:rsidR="00A43DCC">
        <w:rPr>
          <w:rFonts w:ascii="Calibri" w:hAnsi="Calibri" w:cs="Calibri"/>
          <w:sz w:val="22"/>
          <w:szCs w:val="22"/>
        </w:rPr>
        <w:t>;</w:t>
      </w:r>
      <w:r w:rsidRPr="00CE61D0">
        <w:rPr>
          <w:rFonts w:ascii="Calibri" w:hAnsi="Calibri" w:cs="Calibri"/>
          <w:sz w:val="22"/>
          <w:szCs w:val="22"/>
        </w:rPr>
        <w:t xml:space="preserve"> </w:t>
      </w:r>
      <w:r w:rsidR="00217DE0">
        <w:rPr>
          <w:rFonts w:ascii="Calibri" w:hAnsi="Calibri" w:cs="Calibri"/>
          <w:sz w:val="22"/>
          <w:szCs w:val="22"/>
        </w:rPr>
        <w:t>blisko 1/4</w:t>
      </w:r>
      <w:r w:rsidRPr="00CE61D0">
        <w:rPr>
          <w:rFonts w:ascii="Calibri" w:hAnsi="Calibri" w:cs="Calibri"/>
          <w:sz w:val="22"/>
          <w:szCs w:val="22"/>
        </w:rPr>
        <w:t xml:space="preserve"> utożsamia żywienie medyczne ze specjalną dietą szpitalną</w:t>
      </w:r>
      <w:r w:rsidR="007E5E92">
        <w:rPr>
          <w:rFonts w:ascii="Calibri" w:hAnsi="Calibri" w:cs="Calibri"/>
          <w:sz w:val="22"/>
          <w:szCs w:val="22"/>
        </w:rPr>
        <w:t xml:space="preserve"> </w:t>
      </w:r>
      <w:r w:rsidRPr="00CE61D0">
        <w:rPr>
          <w:rFonts w:ascii="Calibri" w:hAnsi="Calibri" w:cs="Calibri"/>
          <w:sz w:val="22"/>
          <w:szCs w:val="22"/>
        </w:rPr>
        <w:t>oraz z preparatami proteinowymi (20%). Co dziesiąty badany uważa natomiast, że żywienie medyczne to suplementy diety dostępne bez recepty.</w:t>
      </w:r>
    </w:p>
    <w:p w14:paraId="47B3C737" w14:textId="77BA875F" w:rsidR="007E4026" w:rsidRPr="009B30C8" w:rsidRDefault="007E4026" w:rsidP="007E4026">
      <w:pPr>
        <w:jc w:val="both"/>
        <w:rPr>
          <w:rFonts w:ascii="Calibri" w:hAnsi="Calibri" w:cs="Calibri"/>
          <w:sz w:val="22"/>
          <w:szCs w:val="22"/>
        </w:rPr>
      </w:pPr>
      <w:r w:rsidRPr="009B30C8">
        <w:rPr>
          <w:rFonts w:ascii="Calibri" w:hAnsi="Calibri" w:cs="Calibri"/>
          <w:sz w:val="22"/>
          <w:szCs w:val="22"/>
        </w:rPr>
        <w:t>Żywienie medyczne</w:t>
      </w:r>
      <w:r w:rsidR="00046AAE">
        <w:rPr>
          <w:rFonts w:ascii="Calibri" w:hAnsi="Calibri" w:cs="Calibri"/>
          <w:sz w:val="22"/>
          <w:szCs w:val="22"/>
        </w:rPr>
        <w:t>, czyli żywność</w:t>
      </w:r>
      <w:r w:rsidR="005448CD">
        <w:rPr>
          <w:rFonts w:ascii="Calibri" w:hAnsi="Calibri" w:cs="Calibri"/>
          <w:sz w:val="22"/>
          <w:szCs w:val="22"/>
        </w:rPr>
        <w:t xml:space="preserve"> </w:t>
      </w:r>
      <w:r w:rsidRPr="009B30C8">
        <w:rPr>
          <w:rFonts w:ascii="Calibri" w:hAnsi="Calibri" w:cs="Calibri"/>
          <w:sz w:val="22"/>
          <w:szCs w:val="22"/>
        </w:rPr>
        <w:t>specjalnego przeznaczenia medycznego</w:t>
      </w:r>
      <w:r w:rsidR="0006631C" w:rsidRPr="009B30C8">
        <w:rPr>
          <w:rStyle w:val="Odwoanieprzypisudolnego"/>
          <w:rFonts w:ascii="Calibri" w:hAnsi="Calibri" w:cs="Calibri"/>
          <w:sz w:val="22"/>
          <w:szCs w:val="22"/>
        </w:rPr>
        <w:footnoteReference w:id="1"/>
      </w:r>
      <w:r w:rsidR="00046AAE">
        <w:rPr>
          <w:rFonts w:ascii="Calibri" w:hAnsi="Calibri" w:cs="Calibri"/>
          <w:sz w:val="22"/>
          <w:szCs w:val="22"/>
        </w:rPr>
        <w:t xml:space="preserve"> j</w:t>
      </w:r>
      <w:r w:rsidRPr="009B30C8">
        <w:rPr>
          <w:rFonts w:ascii="Calibri" w:hAnsi="Calibri" w:cs="Calibri"/>
          <w:sz w:val="22"/>
          <w:szCs w:val="22"/>
        </w:rPr>
        <w:t xml:space="preserve">est </w:t>
      </w:r>
      <w:r w:rsidR="00046AAE">
        <w:rPr>
          <w:rFonts w:ascii="Calibri" w:hAnsi="Calibri" w:cs="Calibri"/>
          <w:sz w:val="22"/>
          <w:szCs w:val="22"/>
        </w:rPr>
        <w:t xml:space="preserve">dedykowane </w:t>
      </w:r>
      <w:r w:rsidRPr="009B30C8">
        <w:rPr>
          <w:rFonts w:ascii="Calibri" w:hAnsi="Calibri" w:cs="Calibri"/>
          <w:sz w:val="22"/>
          <w:szCs w:val="22"/>
        </w:rPr>
        <w:t>pacjent</w:t>
      </w:r>
      <w:r w:rsidR="00046AAE">
        <w:rPr>
          <w:rFonts w:ascii="Calibri" w:hAnsi="Calibri" w:cs="Calibri"/>
          <w:sz w:val="22"/>
          <w:szCs w:val="22"/>
        </w:rPr>
        <w:t>om</w:t>
      </w:r>
      <w:r w:rsidRPr="009B30C8">
        <w:rPr>
          <w:rFonts w:ascii="Calibri" w:hAnsi="Calibri" w:cs="Calibri"/>
          <w:sz w:val="22"/>
          <w:szCs w:val="22"/>
        </w:rPr>
        <w:t xml:space="preserve">, którzy ze względu na chorobę nie są w stanie pokryć swoich potrzeb żywieniowych za pomocą zwykłej diety. </w:t>
      </w:r>
      <w:r w:rsidR="00046AAE" w:rsidRPr="009B30C8">
        <w:rPr>
          <w:rFonts w:ascii="Calibri" w:hAnsi="Calibri" w:cs="Calibri"/>
          <w:sz w:val="22"/>
          <w:szCs w:val="22"/>
        </w:rPr>
        <w:t>M</w:t>
      </w:r>
      <w:r w:rsidR="00046AAE">
        <w:rPr>
          <w:rFonts w:ascii="Calibri" w:hAnsi="Calibri" w:cs="Calibri"/>
          <w:sz w:val="22"/>
          <w:szCs w:val="22"/>
        </w:rPr>
        <w:t>usi</w:t>
      </w:r>
      <w:r w:rsidR="00046AAE" w:rsidRPr="009B30C8">
        <w:rPr>
          <w:rFonts w:ascii="Calibri" w:hAnsi="Calibri" w:cs="Calibri"/>
          <w:sz w:val="22"/>
          <w:szCs w:val="22"/>
        </w:rPr>
        <w:t xml:space="preserve"> </w:t>
      </w:r>
      <w:r w:rsidRPr="009B30C8">
        <w:rPr>
          <w:rFonts w:ascii="Calibri" w:hAnsi="Calibri" w:cs="Calibri"/>
          <w:sz w:val="22"/>
          <w:szCs w:val="22"/>
        </w:rPr>
        <w:t xml:space="preserve">być stosowane </w:t>
      </w:r>
      <w:r w:rsidR="00046AAE" w:rsidRPr="009B30C8">
        <w:rPr>
          <w:rFonts w:ascii="Calibri" w:hAnsi="Calibri" w:cs="Calibri"/>
          <w:sz w:val="22"/>
          <w:szCs w:val="22"/>
        </w:rPr>
        <w:t xml:space="preserve">pod nadzorem </w:t>
      </w:r>
      <w:r w:rsidR="00046AAE">
        <w:rPr>
          <w:rFonts w:ascii="Calibri" w:hAnsi="Calibri" w:cs="Calibri"/>
          <w:sz w:val="22"/>
          <w:szCs w:val="22"/>
        </w:rPr>
        <w:t>lekarza</w:t>
      </w:r>
      <w:r w:rsidR="00046AAE" w:rsidRPr="009B30C8">
        <w:rPr>
          <w:rFonts w:ascii="Calibri" w:hAnsi="Calibri" w:cs="Calibri"/>
          <w:sz w:val="22"/>
          <w:szCs w:val="22"/>
        </w:rPr>
        <w:t xml:space="preserve"> </w:t>
      </w:r>
      <w:r w:rsidR="00046AAE">
        <w:rPr>
          <w:rFonts w:ascii="Calibri" w:hAnsi="Calibri" w:cs="Calibri"/>
          <w:sz w:val="22"/>
          <w:szCs w:val="22"/>
        </w:rPr>
        <w:t xml:space="preserve">np. </w:t>
      </w:r>
      <w:r w:rsidRPr="009B30C8">
        <w:rPr>
          <w:rFonts w:ascii="Calibri" w:hAnsi="Calibri" w:cs="Calibri"/>
          <w:sz w:val="22"/>
          <w:szCs w:val="22"/>
        </w:rPr>
        <w:t xml:space="preserve">u osób niedożywionych lub </w:t>
      </w:r>
      <w:r w:rsidRPr="009B30C8">
        <w:rPr>
          <w:rFonts w:ascii="Calibri" w:hAnsi="Calibri" w:cs="Calibri"/>
          <w:sz w:val="22"/>
          <w:szCs w:val="22"/>
        </w:rPr>
        <w:lastRenderedPageBreak/>
        <w:t>zagrożonych niedożywieniem</w:t>
      </w:r>
      <w:r w:rsidR="00AA6EB5">
        <w:rPr>
          <w:rFonts w:ascii="Calibri" w:hAnsi="Calibri" w:cs="Calibri"/>
          <w:sz w:val="22"/>
          <w:szCs w:val="22"/>
        </w:rPr>
        <w:t xml:space="preserve"> z </w:t>
      </w:r>
      <w:r w:rsidR="00A64F3E">
        <w:rPr>
          <w:rFonts w:ascii="Calibri" w:hAnsi="Calibri" w:cs="Calibri"/>
          <w:sz w:val="22"/>
          <w:szCs w:val="22"/>
        </w:rPr>
        <w:t xml:space="preserve">powodu </w:t>
      </w:r>
      <w:r w:rsidR="00AA6EB5">
        <w:rPr>
          <w:rFonts w:ascii="Calibri" w:hAnsi="Calibri" w:cs="Calibri"/>
          <w:sz w:val="22"/>
          <w:szCs w:val="22"/>
        </w:rPr>
        <w:t>różny</w:t>
      </w:r>
      <w:r w:rsidR="00A64F3E">
        <w:rPr>
          <w:rFonts w:ascii="Calibri" w:hAnsi="Calibri" w:cs="Calibri"/>
          <w:sz w:val="22"/>
          <w:szCs w:val="22"/>
        </w:rPr>
        <w:t xml:space="preserve">ch </w:t>
      </w:r>
      <w:r w:rsidR="00AA6EB5">
        <w:rPr>
          <w:rFonts w:ascii="Calibri" w:hAnsi="Calibri" w:cs="Calibri"/>
          <w:sz w:val="22"/>
          <w:szCs w:val="22"/>
        </w:rPr>
        <w:t>chor</w:t>
      </w:r>
      <w:r w:rsidR="00A64F3E">
        <w:rPr>
          <w:rFonts w:ascii="Calibri" w:hAnsi="Calibri" w:cs="Calibri"/>
          <w:sz w:val="22"/>
          <w:szCs w:val="22"/>
        </w:rPr>
        <w:t>ób</w:t>
      </w:r>
      <w:r w:rsidR="00F316FC">
        <w:rPr>
          <w:rFonts w:ascii="Calibri" w:hAnsi="Calibri" w:cs="Calibri"/>
          <w:sz w:val="22"/>
          <w:szCs w:val="22"/>
        </w:rPr>
        <w:t>, w tym</w:t>
      </w:r>
      <w:r w:rsidR="00A64F3E">
        <w:rPr>
          <w:rFonts w:ascii="Calibri" w:hAnsi="Calibri" w:cs="Calibri"/>
          <w:sz w:val="22"/>
          <w:szCs w:val="22"/>
        </w:rPr>
        <w:t xml:space="preserve"> </w:t>
      </w:r>
      <w:r w:rsidR="00AA6EB5">
        <w:rPr>
          <w:rFonts w:ascii="Calibri" w:hAnsi="Calibri" w:cs="Calibri"/>
          <w:sz w:val="22"/>
          <w:szCs w:val="22"/>
        </w:rPr>
        <w:t>przewlekły</w:t>
      </w:r>
      <w:r w:rsidR="00A64F3E">
        <w:rPr>
          <w:rFonts w:ascii="Calibri" w:hAnsi="Calibri" w:cs="Calibri"/>
          <w:sz w:val="22"/>
          <w:szCs w:val="22"/>
        </w:rPr>
        <w:t>ch</w:t>
      </w:r>
      <w:r w:rsidR="00957994">
        <w:rPr>
          <w:rFonts w:ascii="Calibri" w:hAnsi="Calibri" w:cs="Calibri"/>
          <w:sz w:val="22"/>
          <w:szCs w:val="22"/>
        </w:rPr>
        <w:t xml:space="preserve"> </w:t>
      </w:r>
      <w:r w:rsidR="0028730A">
        <w:rPr>
          <w:rFonts w:ascii="Calibri" w:hAnsi="Calibri" w:cs="Calibri"/>
          <w:sz w:val="22"/>
          <w:szCs w:val="22"/>
        </w:rPr>
        <w:t>czy też</w:t>
      </w:r>
      <w:r w:rsidRPr="009B30C8">
        <w:rPr>
          <w:rFonts w:ascii="Calibri" w:hAnsi="Calibri" w:cs="Calibri"/>
          <w:sz w:val="22"/>
          <w:szCs w:val="22"/>
        </w:rPr>
        <w:t xml:space="preserve"> </w:t>
      </w:r>
      <w:r w:rsidR="0028730A">
        <w:rPr>
          <w:rFonts w:ascii="Calibri" w:hAnsi="Calibri" w:cs="Calibri"/>
          <w:sz w:val="22"/>
          <w:szCs w:val="22"/>
        </w:rPr>
        <w:t xml:space="preserve">u </w:t>
      </w:r>
      <w:r w:rsidR="00F316FC">
        <w:rPr>
          <w:rFonts w:ascii="Calibri" w:hAnsi="Calibri" w:cs="Calibri"/>
          <w:sz w:val="22"/>
          <w:szCs w:val="22"/>
        </w:rPr>
        <w:t xml:space="preserve">pacjentów z </w:t>
      </w:r>
      <w:r w:rsidR="0028730A">
        <w:rPr>
          <w:rFonts w:ascii="Calibri" w:hAnsi="Calibri" w:cs="Calibri"/>
          <w:sz w:val="22"/>
          <w:szCs w:val="22"/>
        </w:rPr>
        <w:t>trudno gojącymi ranami</w:t>
      </w:r>
      <w:r w:rsidRPr="009B30C8">
        <w:rPr>
          <w:rFonts w:ascii="Calibri" w:hAnsi="Calibri" w:cs="Calibri"/>
          <w:sz w:val="22"/>
          <w:szCs w:val="22"/>
        </w:rPr>
        <w:t>. Nie należy utożsamiać go z suplementami diety.</w:t>
      </w:r>
    </w:p>
    <w:p w14:paraId="43EF01CD" w14:textId="31319DEA" w:rsidR="00C25822" w:rsidRPr="00C25822" w:rsidRDefault="00C25822" w:rsidP="00C25822">
      <w:pPr>
        <w:jc w:val="both"/>
        <w:rPr>
          <w:rFonts w:ascii="Calibri" w:hAnsi="Calibri" w:cs="Calibri"/>
          <w:b/>
          <w:bCs/>
          <w:sz w:val="22"/>
          <w:szCs w:val="22"/>
        </w:rPr>
      </w:pPr>
      <w:r w:rsidRPr="00C25822">
        <w:rPr>
          <w:rFonts w:ascii="Calibri" w:hAnsi="Calibri" w:cs="Calibri"/>
          <w:b/>
          <w:bCs/>
          <w:sz w:val="22"/>
          <w:szCs w:val="22"/>
        </w:rPr>
        <w:t xml:space="preserve">„Ostatnia deska ratunku” zamiast </w:t>
      </w:r>
      <w:r w:rsidR="00720630">
        <w:rPr>
          <w:rFonts w:ascii="Calibri" w:hAnsi="Calibri" w:cs="Calibri"/>
          <w:b/>
          <w:bCs/>
          <w:sz w:val="22"/>
          <w:szCs w:val="22"/>
        </w:rPr>
        <w:t>wsparcia</w:t>
      </w:r>
      <w:r w:rsidRPr="00C25822">
        <w:rPr>
          <w:rFonts w:ascii="Calibri" w:hAnsi="Calibri" w:cs="Calibri"/>
          <w:b/>
          <w:bCs/>
          <w:sz w:val="22"/>
          <w:szCs w:val="22"/>
        </w:rPr>
        <w:t xml:space="preserve"> terapii</w:t>
      </w:r>
    </w:p>
    <w:p w14:paraId="3342C5E2" w14:textId="77777777" w:rsidR="00FF3552" w:rsidRDefault="00C25822" w:rsidP="00C25822">
      <w:pPr>
        <w:jc w:val="both"/>
        <w:rPr>
          <w:rFonts w:ascii="Calibri" w:hAnsi="Calibri" w:cs="Calibri"/>
          <w:b/>
          <w:bCs/>
          <w:sz w:val="22"/>
          <w:szCs w:val="22"/>
        </w:rPr>
      </w:pPr>
      <w:r w:rsidRPr="00C25822">
        <w:rPr>
          <w:rFonts w:ascii="Calibri" w:hAnsi="Calibri" w:cs="Calibri"/>
          <w:sz w:val="22"/>
          <w:szCs w:val="22"/>
        </w:rPr>
        <w:t>Problem nie kończy się jednak na samej definicji. Badanie pokazuje również, że Polacy mają określone wyobrażenie o tym, kiedy żywienie medyczne powinno być stosowane.</w:t>
      </w:r>
      <w:r w:rsidR="00D7797A" w:rsidRPr="00D7797A">
        <w:rPr>
          <w:rFonts w:ascii="Calibri" w:hAnsi="Calibri" w:cs="Calibri"/>
          <w:b/>
          <w:bCs/>
          <w:sz w:val="22"/>
          <w:szCs w:val="22"/>
        </w:rPr>
        <w:t xml:space="preserve"> </w:t>
      </w:r>
    </w:p>
    <w:p w14:paraId="4442E352" w14:textId="039F9618" w:rsidR="00C25822" w:rsidRPr="00C25822" w:rsidRDefault="00C25822" w:rsidP="00C25822">
      <w:pPr>
        <w:jc w:val="both"/>
        <w:rPr>
          <w:rFonts w:ascii="Calibri" w:hAnsi="Calibri" w:cs="Calibri"/>
          <w:sz w:val="22"/>
          <w:szCs w:val="22"/>
        </w:rPr>
      </w:pPr>
      <w:r w:rsidRPr="00C25822">
        <w:rPr>
          <w:rFonts w:ascii="Calibri" w:hAnsi="Calibri" w:cs="Calibri"/>
          <w:sz w:val="22"/>
          <w:szCs w:val="22"/>
        </w:rPr>
        <w:t>Najsilniej kojarzymy je z okresem po operacji lub hospitalizacji – wskazuje na to</w:t>
      </w:r>
      <w:r w:rsidR="002A5304">
        <w:rPr>
          <w:rFonts w:ascii="Calibri" w:hAnsi="Calibri" w:cs="Calibri"/>
          <w:sz w:val="22"/>
          <w:szCs w:val="22"/>
        </w:rPr>
        <w:t xml:space="preserve"> ponad połowa</w:t>
      </w:r>
      <w:r w:rsidRPr="00C25822">
        <w:rPr>
          <w:rFonts w:ascii="Calibri" w:hAnsi="Calibri" w:cs="Calibri"/>
          <w:sz w:val="22"/>
          <w:szCs w:val="22"/>
        </w:rPr>
        <w:t xml:space="preserve"> </w:t>
      </w:r>
      <w:r w:rsidR="002A5304">
        <w:rPr>
          <w:rFonts w:ascii="Calibri" w:hAnsi="Calibri" w:cs="Calibri"/>
          <w:sz w:val="22"/>
          <w:szCs w:val="22"/>
        </w:rPr>
        <w:t>(</w:t>
      </w:r>
      <w:r w:rsidRPr="00C25822">
        <w:rPr>
          <w:rFonts w:ascii="Calibri" w:hAnsi="Calibri" w:cs="Calibri"/>
          <w:sz w:val="22"/>
          <w:szCs w:val="22"/>
        </w:rPr>
        <w:t>52%</w:t>
      </w:r>
      <w:r w:rsidR="002A5304">
        <w:rPr>
          <w:rFonts w:ascii="Calibri" w:hAnsi="Calibri" w:cs="Calibri"/>
          <w:sz w:val="22"/>
          <w:szCs w:val="22"/>
        </w:rPr>
        <w:t>)</w:t>
      </w:r>
      <w:r w:rsidRPr="00C25822">
        <w:rPr>
          <w:rFonts w:ascii="Calibri" w:hAnsi="Calibri" w:cs="Calibri"/>
          <w:sz w:val="22"/>
          <w:szCs w:val="22"/>
        </w:rPr>
        <w:t xml:space="preserve"> badanych oraz z leczeniem onkologicznym (47%). </w:t>
      </w:r>
      <w:r w:rsidR="0068673B">
        <w:rPr>
          <w:rFonts w:ascii="Calibri" w:hAnsi="Calibri" w:cs="Calibri"/>
          <w:sz w:val="22"/>
          <w:szCs w:val="22"/>
        </w:rPr>
        <w:t xml:space="preserve">To </w:t>
      </w:r>
      <w:r w:rsidR="00325806">
        <w:rPr>
          <w:rFonts w:ascii="Calibri" w:hAnsi="Calibri" w:cs="Calibri"/>
          <w:sz w:val="22"/>
          <w:szCs w:val="22"/>
        </w:rPr>
        <w:t>dobra wiadomość</w:t>
      </w:r>
      <w:r w:rsidR="00650393">
        <w:rPr>
          <w:rFonts w:ascii="Calibri" w:hAnsi="Calibri" w:cs="Calibri"/>
          <w:sz w:val="22"/>
          <w:szCs w:val="22"/>
        </w:rPr>
        <w:t>, natomiast są też niepokojące sygnały.</w:t>
      </w:r>
      <w:r w:rsidR="0068673B">
        <w:rPr>
          <w:rFonts w:ascii="Calibri" w:hAnsi="Calibri" w:cs="Calibri"/>
          <w:sz w:val="22"/>
          <w:szCs w:val="22"/>
        </w:rPr>
        <w:t xml:space="preserve"> </w:t>
      </w:r>
      <w:r w:rsidR="00884C6E">
        <w:rPr>
          <w:rFonts w:ascii="Calibri" w:hAnsi="Calibri" w:cs="Calibri"/>
          <w:sz w:val="22"/>
          <w:szCs w:val="22"/>
        </w:rPr>
        <w:t>Blisko 4 na 10</w:t>
      </w:r>
      <w:r w:rsidRPr="00C25822">
        <w:rPr>
          <w:rFonts w:ascii="Calibri" w:hAnsi="Calibri" w:cs="Calibri"/>
          <w:sz w:val="22"/>
          <w:szCs w:val="22"/>
        </w:rPr>
        <w:t xml:space="preserve"> respondentów uważa, że żywienie medyczne stosuje się w bardzo ciężkich stanach, gdy inne metody </w:t>
      </w:r>
      <w:r w:rsidR="00957994">
        <w:rPr>
          <w:rFonts w:ascii="Calibri" w:hAnsi="Calibri" w:cs="Calibri"/>
          <w:sz w:val="22"/>
          <w:szCs w:val="22"/>
        </w:rPr>
        <w:t xml:space="preserve">wsparcia żywieniowego </w:t>
      </w:r>
      <w:r w:rsidRPr="00C25822">
        <w:rPr>
          <w:rFonts w:ascii="Calibri" w:hAnsi="Calibri" w:cs="Calibri"/>
          <w:sz w:val="22"/>
          <w:szCs w:val="22"/>
        </w:rPr>
        <w:t>są już niemożliwe. W społecznym odbiorze żywienie medyczne nadal jest więc przede wszystkim reakcją na poważny problem, a nie elementem wcześniejszego wsparcia.</w:t>
      </w:r>
    </w:p>
    <w:p w14:paraId="08A7FAE0" w14:textId="79D018CA" w:rsidR="00D75CF3" w:rsidRPr="002C1D5E" w:rsidRDefault="00C25822" w:rsidP="00C25822">
      <w:pPr>
        <w:jc w:val="both"/>
        <w:rPr>
          <w:rFonts w:ascii="Calibri" w:hAnsi="Calibri" w:cs="Calibri"/>
          <w:b/>
          <w:bCs/>
          <w:sz w:val="22"/>
          <w:szCs w:val="22"/>
        </w:rPr>
      </w:pPr>
      <w:r w:rsidRPr="00C25822">
        <w:rPr>
          <w:rFonts w:ascii="Calibri" w:hAnsi="Calibri" w:cs="Calibri"/>
          <w:sz w:val="22"/>
          <w:szCs w:val="22"/>
        </w:rPr>
        <w:t xml:space="preserve">– </w:t>
      </w:r>
      <w:r w:rsidRPr="00C25822">
        <w:rPr>
          <w:rFonts w:ascii="Calibri" w:hAnsi="Calibri" w:cs="Calibri"/>
          <w:i/>
          <w:iCs/>
          <w:sz w:val="22"/>
          <w:szCs w:val="22"/>
        </w:rPr>
        <w:t xml:space="preserve">Szczególnie ważna jest różnica między podejściem reaktywnym a proaktywnym. Jeżeli żywienie medyczne kojarzymy przede wszystkim z bardzo ciężkim stanem zdrowia, możemy przeoczyć moment, w którym </w:t>
      </w:r>
      <w:r w:rsidR="001C0C69" w:rsidRPr="001C0C69">
        <w:rPr>
          <w:rFonts w:ascii="Calibri" w:hAnsi="Calibri" w:cs="Calibri"/>
          <w:i/>
          <w:iCs/>
          <w:sz w:val="22"/>
          <w:szCs w:val="22"/>
        </w:rPr>
        <w:t>mamy największą szansę, aby skutecznie wesprzeć organizm</w:t>
      </w:r>
      <w:r w:rsidR="001C0C69">
        <w:rPr>
          <w:rFonts w:ascii="Calibri" w:hAnsi="Calibri" w:cs="Calibri"/>
          <w:i/>
          <w:iCs/>
          <w:sz w:val="22"/>
          <w:szCs w:val="22"/>
        </w:rPr>
        <w:t xml:space="preserve"> pacjenta</w:t>
      </w:r>
      <w:r w:rsidR="001C0C69" w:rsidRPr="001C0C69">
        <w:rPr>
          <w:rFonts w:ascii="Calibri" w:hAnsi="Calibri" w:cs="Calibri"/>
          <w:i/>
          <w:iCs/>
          <w:sz w:val="22"/>
          <w:szCs w:val="22"/>
        </w:rPr>
        <w:t xml:space="preserve">. To właśnie wcześniej, gdy dolegliwości są jeszcze mniej nasilone, możemy lepiej przygotować </w:t>
      </w:r>
      <w:r w:rsidR="001C0C69">
        <w:rPr>
          <w:rFonts w:ascii="Calibri" w:hAnsi="Calibri" w:cs="Calibri"/>
          <w:i/>
          <w:iCs/>
          <w:sz w:val="22"/>
          <w:szCs w:val="22"/>
        </w:rPr>
        <w:t>go</w:t>
      </w:r>
      <w:r w:rsidR="001C0C69" w:rsidRPr="001C0C69">
        <w:rPr>
          <w:rFonts w:ascii="Calibri" w:hAnsi="Calibri" w:cs="Calibri"/>
          <w:i/>
          <w:iCs/>
          <w:sz w:val="22"/>
          <w:szCs w:val="22"/>
        </w:rPr>
        <w:t xml:space="preserve"> do leczenia, pomóc mu utrzymać siły i ograniczyć ryzyko pogorszenia stanu odżywienia. Dlatego tak ważne jest, aby o wsparciu żywieniowym myśleć już od momentu diagnozy, a nie dopiero wtedy, gdy organizm jest wyczerpany. –</w:t>
      </w:r>
      <w:r w:rsidR="00136FD6">
        <w:rPr>
          <w:rFonts w:ascii="Calibri" w:hAnsi="Calibri" w:cs="Calibri"/>
          <w:i/>
          <w:iCs/>
          <w:sz w:val="22"/>
          <w:szCs w:val="22"/>
        </w:rPr>
        <w:t xml:space="preserve"> </w:t>
      </w:r>
      <w:r w:rsidRPr="00C25822">
        <w:rPr>
          <w:rFonts w:ascii="Calibri" w:hAnsi="Calibri" w:cs="Calibri"/>
          <w:sz w:val="22"/>
          <w:szCs w:val="22"/>
        </w:rPr>
        <w:t xml:space="preserve">– </w:t>
      </w:r>
      <w:r w:rsidRPr="00C25822">
        <w:rPr>
          <w:rFonts w:ascii="Calibri" w:hAnsi="Calibri" w:cs="Calibri"/>
          <w:b/>
          <w:bCs/>
          <w:sz w:val="22"/>
          <w:szCs w:val="22"/>
        </w:rPr>
        <w:t>mówi Magdalena Siuba-Strzelińska.</w:t>
      </w:r>
    </w:p>
    <w:p w14:paraId="15665AA0" w14:textId="49E83B80" w:rsidR="00C25822" w:rsidRPr="00C25822" w:rsidRDefault="00C25822" w:rsidP="00C25822">
      <w:pPr>
        <w:jc w:val="both"/>
        <w:rPr>
          <w:rFonts w:ascii="Calibri" w:hAnsi="Calibri" w:cs="Calibri"/>
          <w:sz w:val="22"/>
          <w:szCs w:val="22"/>
        </w:rPr>
      </w:pPr>
      <w:r w:rsidRPr="00C25822">
        <w:rPr>
          <w:rFonts w:ascii="Calibri" w:hAnsi="Calibri" w:cs="Calibri"/>
          <w:sz w:val="22"/>
          <w:szCs w:val="22"/>
        </w:rPr>
        <w:t xml:space="preserve">Kluczowe jest więc przejście od myślenia o żywieniu medycznym jako „ostatniej desce ratunku” do postrzegania go jako elementu kompleksowego wsparcia żywieniowego pacjenta. </w:t>
      </w:r>
      <w:r w:rsidR="005448CD">
        <w:rPr>
          <w:rFonts w:ascii="Calibri" w:hAnsi="Calibri" w:cs="Calibri"/>
          <w:sz w:val="22"/>
          <w:szCs w:val="22"/>
        </w:rPr>
        <w:t xml:space="preserve">Włączenie żywienia medycznego należy </w:t>
      </w:r>
      <w:r w:rsidR="00A64F3E">
        <w:rPr>
          <w:rFonts w:ascii="Calibri" w:hAnsi="Calibri" w:cs="Calibri"/>
          <w:sz w:val="22"/>
          <w:szCs w:val="22"/>
        </w:rPr>
        <w:t>skonsultować ze</w:t>
      </w:r>
      <w:r w:rsidR="005448CD">
        <w:rPr>
          <w:rFonts w:ascii="Calibri" w:hAnsi="Calibri" w:cs="Calibri"/>
          <w:sz w:val="22"/>
          <w:szCs w:val="22"/>
        </w:rPr>
        <w:t xml:space="preserve"> specjalistą </w:t>
      </w:r>
      <w:r w:rsidR="008E213B">
        <w:rPr>
          <w:rFonts w:ascii="Calibri" w:hAnsi="Calibri" w:cs="Calibri"/>
          <w:sz w:val="22"/>
          <w:szCs w:val="22"/>
        </w:rPr>
        <w:t>–</w:t>
      </w:r>
      <w:r w:rsidR="005448CD">
        <w:rPr>
          <w:rFonts w:ascii="Calibri" w:hAnsi="Calibri" w:cs="Calibri"/>
          <w:sz w:val="22"/>
          <w:szCs w:val="22"/>
        </w:rPr>
        <w:t xml:space="preserve"> lekarzem lub dietetykiem., </w:t>
      </w:r>
      <w:r w:rsidRPr="00C25822">
        <w:rPr>
          <w:rFonts w:ascii="Calibri" w:hAnsi="Calibri" w:cs="Calibri"/>
          <w:sz w:val="22"/>
          <w:szCs w:val="22"/>
        </w:rPr>
        <w:t>Ważne jest przy tym także dopasowanie formy żywienia do indywidualnych potrzeb</w:t>
      </w:r>
      <w:r w:rsidR="005448CD">
        <w:rPr>
          <w:rFonts w:ascii="Calibri" w:hAnsi="Calibri" w:cs="Calibri"/>
          <w:sz w:val="22"/>
          <w:szCs w:val="22"/>
        </w:rPr>
        <w:t xml:space="preserve"> pacjenta</w:t>
      </w:r>
      <w:r w:rsidR="00046AAE">
        <w:rPr>
          <w:rFonts w:ascii="Calibri" w:hAnsi="Calibri" w:cs="Calibri"/>
          <w:sz w:val="22"/>
          <w:szCs w:val="22"/>
        </w:rPr>
        <w:t xml:space="preserve">. </w:t>
      </w:r>
    </w:p>
    <w:p w14:paraId="060FAC02" w14:textId="269686B5" w:rsidR="00C25822" w:rsidRDefault="00C25822" w:rsidP="00C25822">
      <w:pPr>
        <w:jc w:val="both"/>
        <w:rPr>
          <w:rFonts w:ascii="Calibri" w:hAnsi="Calibri" w:cs="Calibri"/>
          <w:b/>
          <w:bCs/>
          <w:sz w:val="22"/>
          <w:szCs w:val="22"/>
        </w:rPr>
      </w:pPr>
      <w:r w:rsidRPr="00C25822">
        <w:rPr>
          <w:rFonts w:ascii="Calibri" w:hAnsi="Calibri" w:cs="Calibri"/>
          <w:i/>
          <w:iCs/>
          <w:sz w:val="22"/>
          <w:szCs w:val="22"/>
        </w:rPr>
        <w:t xml:space="preserve">– Warto pamiętać, że pacjenci mają różne potrzeby i preferencje. Dlatego na rynku dostępne są dziś produkty o różnych konsystencjach i smakach, także wytrawnych, co daje większy wybór </w:t>
      </w:r>
      <w:r w:rsidR="005448CD">
        <w:rPr>
          <w:rFonts w:ascii="Calibri" w:hAnsi="Calibri" w:cs="Calibri"/>
          <w:i/>
          <w:iCs/>
          <w:sz w:val="22"/>
          <w:szCs w:val="22"/>
        </w:rPr>
        <w:t xml:space="preserve">dla </w:t>
      </w:r>
      <w:r w:rsidRPr="00C25822">
        <w:rPr>
          <w:rFonts w:ascii="Calibri" w:hAnsi="Calibri" w:cs="Calibri"/>
          <w:i/>
          <w:iCs/>
          <w:sz w:val="22"/>
          <w:szCs w:val="22"/>
        </w:rPr>
        <w:t>os</w:t>
      </w:r>
      <w:r w:rsidR="005448CD">
        <w:rPr>
          <w:rFonts w:ascii="Calibri" w:hAnsi="Calibri" w:cs="Calibri"/>
          <w:i/>
          <w:iCs/>
          <w:sz w:val="22"/>
          <w:szCs w:val="22"/>
        </w:rPr>
        <w:t>ób</w:t>
      </w:r>
      <w:r w:rsidRPr="00C25822">
        <w:rPr>
          <w:rFonts w:ascii="Calibri" w:hAnsi="Calibri" w:cs="Calibri"/>
          <w:i/>
          <w:iCs/>
          <w:sz w:val="22"/>
          <w:szCs w:val="22"/>
        </w:rPr>
        <w:t>, które wymagają długotrwałego wsparcia żywieniowego</w:t>
      </w:r>
      <w:r w:rsidRPr="00C25822">
        <w:rPr>
          <w:rFonts w:ascii="Calibri" w:hAnsi="Calibri" w:cs="Calibri"/>
          <w:sz w:val="22"/>
          <w:szCs w:val="22"/>
        </w:rPr>
        <w:t xml:space="preserve"> </w:t>
      </w:r>
      <w:r w:rsidRPr="00C25822">
        <w:rPr>
          <w:rFonts w:ascii="Calibri" w:hAnsi="Calibri" w:cs="Calibri"/>
          <w:b/>
          <w:bCs/>
          <w:sz w:val="22"/>
          <w:szCs w:val="22"/>
        </w:rPr>
        <w:t>– podsumowuje Magdalena Siuba-Strzelińska.</w:t>
      </w:r>
    </w:p>
    <w:p w14:paraId="2F3C39C0" w14:textId="77777777" w:rsidR="00D75CF3" w:rsidRPr="00D75CF3" w:rsidRDefault="00D75CF3" w:rsidP="00D75CF3">
      <w:pPr>
        <w:jc w:val="both"/>
        <w:rPr>
          <w:rFonts w:ascii="Calibri" w:hAnsi="Calibri" w:cs="Calibri"/>
          <w:sz w:val="22"/>
          <w:szCs w:val="22"/>
        </w:rPr>
      </w:pPr>
      <w:r w:rsidRPr="00D75CF3">
        <w:rPr>
          <w:rFonts w:ascii="Calibri" w:hAnsi="Calibri" w:cs="Calibri"/>
          <w:sz w:val="22"/>
          <w:szCs w:val="22"/>
        </w:rPr>
        <w:t>Wyniki badania pokazują, że samo upowszechnienie terminu „żywienie medyczne” nie wystarczy. Potrzebna jest edukacja, która pomoże pacjentom i ich bliskim rozpoznawać ryzyko niedożywienia, odpowiednio wcześnie szukać specjalistycznego wsparcia i traktować żywienie jako ważny element kompleksowej opieki nad chorym.</w:t>
      </w:r>
    </w:p>
    <w:p w14:paraId="63685B77" w14:textId="79C258FC" w:rsidR="00A604E5" w:rsidRDefault="00F77ADE" w:rsidP="689D99A4">
      <w:pPr>
        <w:jc w:val="both"/>
        <w:rPr>
          <w:rFonts w:ascii="Calibri" w:eastAsia="Calibri" w:hAnsi="Calibri" w:cs="Calibri"/>
          <w:sz w:val="22"/>
          <w:szCs w:val="22"/>
        </w:rPr>
      </w:pPr>
      <w:r>
        <w:rPr>
          <w:rFonts w:ascii="Calibri" w:eastAsia="Calibri" w:hAnsi="Calibri" w:cs="Calibri"/>
          <w:sz w:val="22"/>
          <w:szCs w:val="22"/>
        </w:rPr>
        <w:t>Treść raportu „Dezinformacja żywieniowa. Co Polacy wiedzą o żywieniu w chorobie?” dostępna jest na</w:t>
      </w:r>
      <w:r w:rsidR="00AC68DC">
        <w:rPr>
          <w:rFonts w:ascii="Calibri" w:eastAsia="Calibri" w:hAnsi="Calibri" w:cs="Calibri"/>
          <w:sz w:val="22"/>
          <w:szCs w:val="22"/>
        </w:rPr>
        <w:t> </w:t>
      </w:r>
      <w:r>
        <w:rPr>
          <w:rFonts w:ascii="Calibri" w:eastAsia="Calibri" w:hAnsi="Calibri" w:cs="Calibri"/>
          <w:sz w:val="22"/>
          <w:szCs w:val="22"/>
        </w:rPr>
        <w:t xml:space="preserve">stronie </w:t>
      </w:r>
      <w:hyperlink r:id="rId11" w:history="1">
        <w:r w:rsidRPr="00F77ADE">
          <w:rPr>
            <w:rStyle w:val="Hipercze"/>
            <w:rFonts w:ascii="Calibri" w:eastAsia="Calibri" w:hAnsi="Calibri" w:cs="Calibri"/>
            <w:sz w:val="22"/>
            <w:szCs w:val="22"/>
          </w:rPr>
          <w:t>ŻywienieMedyczne.pl</w:t>
        </w:r>
      </w:hyperlink>
      <w:r>
        <w:rPr>
          <w:rFonts w:ascii="Calibri" w:eastAsia="Calibri" w:hAnsi="Calibri" w:cs="Calibri"/>
          <w:sz w:val="22"/>
          <w:szCs w:val="22"/>
        </w:rPr>
        <w:t>.</w:t>
      </w:r>
    </w:p>
    <w:p w14:paraId="7A783BD1" w14:textId="6CD6B554" w:rsidR="00553554" w:rsidRPr="00D0798B" w:rsidRDefault="00665BB7" w:rsidP="005C0B79">
      <w:pPr>
        <w:jc w:val="both"/>
        <w:rPr>
          <w:rFonts w:ascii="Calibri" w:hAnsi="Calibri" w:cs="Calibri"/>
          <w:b/>
          <w:bCs/>
          <w:sz w:val="18"/>
          <w:szCs w:val="18"/>
        </w:rPr>
      </w:pPr>
      <w:r w:rsidRPr="00D0798B">
        <w:rPr>
          <w:rFonts w:ascii="Calibri" w:hAnsi="Calibri" w:cs="Calibri"/>
          <w:b/>
          <w:bCs/>
          <w:sz w:val="18"/>
          <w:szCs w:val="18"/>
        </w:rPr>
        <w:t>Więcej informacji:</w:t>
      </w:r>
    </w:p>
    <w:p w14:paraId="4251C693" w14:textId="5A8FFB80" w:rsidR="00665BB7" w:rsidRPr="00D0798B" w:rsidRDefault="00665BB7" w:rsidP="00D0798B">
      <w:pPr>
        <w:spacing w:after="0"/>
        <w:jc w:val="both"/>
        <w:rPr>
          <w:rFonts w:ascii="Calibri" w:hAnsi="Calibri" w:cs="Calibri"/>
          <w:sz w:val="18"/>
          <w:szCs w:val="18"/>
        </w:rPr>
      </w:pPr>
      <w:r w:rsidRPr="00D0798B">
        <w:rPr>
          <w:rFonts w:ascii="Calibri" w:hAnsi="Calibri" w:cs="Calibri"/>
          <w:sz w:val="18"/>
          <w:szCs w:val="18"/>
        </w:rPr>
        <w:t>Pamela Tomicka</w:t>
      </w:r>
    </w:p>
    <w:p w14:paraId="67C8826A" w14:textId="09D3DE6D" w:rsidR="00665BB7" w:rsidRPr="00D0798B" w:rsidRDefault="00D0798B" w:rsidP="00D0798B">
      <w:pPr>
        <w:spacing w:after="0"/>
        <w:jc w:val="both"/>
        <w:rPr>
          <w:rFonts w:ascii="Calibri" w:hAnsi="Calibri" w:cs="Calibri"/>
          <w:sz w:val="18"/>
          <w:szCs w:val="18"/>
        </w:rPr>
      </w:pPr>
      <w:hyperlink r:id="rId12" w:tooltip="mailto:pamela.tomicka@38pr.pl" w:history="1">
        <w:r w:rsidRPr="00D0798B">
          <w:rPr>
            <w:rStyle w:val="Hipercze"/>
            <w:rFonts w:ascii="Calibri" w:hAnsi="Calibri" w:cs="Calibri"/>
            <w:sz w:val="18"/>
            <w:szCs w:val="18"/>
          </w:rPr>
          <w:t>pamela.tomicka@38</w:t>
        </w:r>
      </w:hyperlink>
      <w:hyperlink r:id="rId13" w:tooltip="mailto:pamela.tomicka@38pr.pl" w:history="1">
        <w:r w:rsidRPr="00D0798B">
          <w:rPr>
            <w:rStyle w:val="Hipercze"/>
            <w:rFonts w:ascii="Calibri" w:hAnsi="Calibri" w:cs="Calibri"/>
            <w:sz w:val="18"/>
            <w:szCs w:val="18"/>
          </w:rPr>
          <w:t>pr.pl</w:t>
        </w:r>
      </w:hyperlink>
      <w:r w:rsidRPr="00D0798B">
        <w:rPr>
          <w:rFonts w:ascii="Calibri" w:hAnsi="Calibri" w:cs="Calibri"/>
          <w:sz w:val="18"/>
          <w:szCs w:val="18"/>
        </w:rPr>
        <w:br/>
        <w:t>+48 512 029 778</w:t>
      </w:r>
    </w:p>
    <w:sectPr w:rsidR="00665BB7" w:rsidRPr="00D0798B" w:rsidSect="000907DF">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30842" w14:textId="77777777" w:rsidR="004F7493" w:rsidRDefault="004F7493" w:rsidP="000907DF">
      <w:pPr>
        <w:spacing w:after="0" w:line="240" w:lineRule="auto"/>
      </w:pPr>
      <w:r>
        <w:separator/>
      </w:r>
    </w:p>
  </w:endnote>
  <w:endnote w:type="continuationSeparator" w:id="0">
    <w:p w14:paraId="77A753D2" w14:textId="77777777" w:rsidR="004F7493" w:rsidRDefault="004F7493" w:rsidP="0009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95F38" w14:textId="77777777" w:rsidR="004F7493" w:rsidRDefault="004F7493" w:rsidP="000907DF">
      <w:pPr>
        <w:spacing w:after="0" w:line="240" w:lineRule="auto"/>
      </w:pPr>
      <w:r>
        <w:separator/>
      </w:r>
    </w:p>
  </w:footnote>
  <w:footnote w:type="continuationSeparator" w:id="0">
    <w:p w14:paraId="6F892248" w14:textId="77777777" w:rsidR="004F7493" w:rsidRDefault="004F7493" w:rsidP="000907DF">
      <w:pPr>
        <w:spacing w:after="0" w:line="240" w:lineRule="auto"/>
      </w:pPr>
      <w:r>
        <w:continuationSeparator/>
      </w:r>
    </w:p>
  </w:footnote>
  <w:footnote w:id="1">
    <w:p w14:paraId="34788E47" w14:textId="5DA5AE50" w:rsidR="0006631C" w:rsidRPr="00082B32" w:rsidRDefault="0006631C" w:rsidP="0006631C">
      <w:pPr>
        <w:pStyle w:val="Tekstprzypisudolnego"/>
        <w:jc w:val="both"/>
        <w:rPr>
          <w:sz w:val="16"/>
          <w:szCs w:val="16"/>
        </w:rPr>
      </w:pPr>
      <w:r w:rsidRPr="00082B32">
        <w:rPr>
          <w:rStyle w:val="Odwoanieprzypisudolnego"/>
          <w:sz w:val="16"/>
          <w:szCs w:val="16"/>
        </w:rPr>
        <w:footnoteRef/>
      </w:r>
      <w:r w:rsidRPr="00082B32">
        <w:rPr>
          <w:sz w:val="16"/>
          <w:szCs w:val="16"/>
        </w:rPr>
        <w:t xml:space="preserve"> Zgodnie z przepisami prawa (Rozporządzenie 609/2013</w:t>
      </w:r>
      <w:r w:rsidR="00665BB7" w:rsidRPr="00082B32">
        <w:rPr>
          <w:sz w:val="16"/>
          <w:szCs w:val="16"/>
        </w:rPr>
        <w:t>) żywność</w:t>
      </w:r>
      <w:r w:rsidRPr="00082B32">
        <w:rPr>
          <w:sz w:val="16"/>
          <w:szCs w:val="16"/>
        </w:rPr>
        <w:t xml:space="preserve"> specjalnego przeznaczenia medycznego (ang. Food for Special </w:t>
      </w:r>
      <w:proofErr w:type="spellStart"/>
      <w:r w:rsidRPr="00082B32">
        <w:rPr>
          <w:sz w:val="16"/>
          <w:szCs w:val="16"/>
        </w:rPr>
        <w:t>Medical</w:t>
      </w:r>
      <w:proofErr w:type="spellEnd"/>
      <w:r w:rsidRPr="00082B32">
        <w:rPr>
          <w:sz w:val="16"/>
          <w:szCs w:val="16"/>
        </w:rPr>
        <w:t xml:space="preserve"> </w:t>
      </w:r>
      <w:proofErr w:type="spellStart"/>
      <w:r w:rsidRPr="00082B32">
        <w:rPr>
          <w:sz w:val="16"/>
          <w:szCs w:val="16"/>
        </w:rPr>
        <w:t>Purposes</w:t>
      </w:r>
      <w:proofErr w:type="spellEnd"/>
      <w:r w:rsidRPr="00082B32">
        <w:rPr>
          <w:sz w:val="16"/>
          <w:szCs w:val="16"/>
        </w:rPr>
        <w:t xml:space="preserve"> – FSMP) jest przeznaczona do postępowania dietetycznego u pacjentów i należy ją stosować pod nadzorem lekarza. Kategoria ta obejmuje produkty opracowane dla pacjentów z ograniczoną, upośledzoną lub zaburzoną zdolnością przyjmowania, trawienia, wchłaniania, metabolizowania lub wydalania zwykłej żywności lub niektórych składników odżywczych zawartych w tej żywności lub jej metabolitach, a także dla pacjentów posiadających inne medycznie uzasadnione wymagania żywieniowe. Produkty FSMP są przeznaczone dla pacjentów, których potrzeb żywieniowych nie można zaspokoić wyłącznie poprzez stosowanie standardowej diety lub jej modyfikację. Żywienie medyczne może być stosowane m.in. u osób niedożywionych lub zagrożonych niedożywieniem. Należy przy tym pamiętać, że FSMP nie można mylić z żywnością zaliczaną do kategorii „suplementy diety”, która podlega odrębnym wymaganiom prawnym.</w:t>
      </w:r>
      <w:r w:rsidRPr="00082B32" w:rsidDel="00285AC1">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235C" w14:textId="4F78852B" w:rsidR="000907DF" w:rsidRDefault="00727F85">
    <w:pPr>
      <w:pStyle w:val="Nagwek"/>
    </w:pPr>
    <w:r>
      <w:rPr>
        <w:noProof/>
        <w:lang w:eastAsia="pl-PL"/>
      </w:rPr>
      <w:drawing>
        <wp:anchor distT="0" distB="0" distL="114300" distR="114300" simplePos="0" relativeHeight="251658241" behindDoc="0" locked="0" layoutInCell="1" allowOverlap="1" wp14:anchorId="1E63ED59" wp14:editId="17DA9473">
          <wp:simplePos x="0" y="0"/>
          <wp:positionH relativeFrom="column">
            <wp:posOffset>3977640</wp:posOffset>
          </wp:positionH>
          <wp:positionV relativeFrom="paragraph">
            <wp:posOffset>-350520</wp:posOffset>
          </wp:positionV>
          <wp:extent cx="1089660" cy="1089660"/>
          <wp:effectExtent l="0" t="0" r="0" b="0"/>
          <wp:wrapNone/>
          <wp:docPr id="2063364360" name="Obraz 1" descr="Obraz zawierający Czcionka, logo, Grafika, projekt graficzny&#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64360" name="Obraz 1" descr="Obraz zawierający Czcionka, logo, Grafika, projekt graficzny&#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089660" cy="1089660"/>
                  </a:xfrm>
                  <a:prstGeom prst="rect">
                    <a:avLst/>
                  </a:prstGeom>
                </pic:spPr>
              </pic:pic>
            </a:graphicData>
          </a:graphic>
          <wp14:sizeRelH relativeFrom="margin">
            <wp14:pctWidth>0</wp14:pctWidth>
          </wp14:sizeRelH>
          <wp14:sizeRelV relativeFrom="margin">
            <wp14:pctHeight>0</wp14:pctHeight>
          </wp14:sizeRelV>
        </wp:anchor>
      </w:drawing>
    </w:r>
    <w:r>
      <w:rPr>
        <w:noProof/>
        <w:lang w:eastAsia="pl-PL"/>
      </w:rPr>
      <w:drawing>
        <wp:anchor distT="0" distB="0" distL="114300" distR="114300" simplePos="0" relativeHeight="251658240" behindDoc="0" locked="0" layoutInCell="1" allowOverlap="1" wp14:anchorId="2F234F30" wp14:editId="43A96C53">
          <wp:simplePos x="0" y="0"/>
          <wp:positionH relativeFrom="margin">
            <wp:posOffset>5049520</wp:posOffset>
          </wp:positionH>
          <wp:positionV relativeFrom="paragraph">
            <wp:posOffset>-183515</wp:posOffset>
          </wp:positionV>
          <wp:extent cx="1388110" cy="641350"/>
          <wp:effectExtent l="0" t="0" r="2540" b="6350"/>
          <wp:wrapSquare wrapText="bothSides"/>
          <wp:docPr id="16" name="Obraz 16" descr="A purpl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A purple circle with white text&#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l="5264" t="9573" r="6670" b="9062"/>
                  <a:stretch/>
                </pic:blipFill>
                <pic:spPr bwMode="auto">
                  <a:xfrm>
                    <a:off x="0" y="0"/>
                    <a:ext cx="1388110" cy="641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751E"/>
    <w:multiLevelType w:val="multilevel"/>
    <w:tmpl w:val="AC140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BC6AD4"/>
    <w:multiLevelType w:val="hybridMultilevel"/>
    <w:tmpl w:val="4B66F9CC"/>
    <w:lvl w:ilvl="0" w:tplc="A7BA3152">
      <w:start w:val="1"/>
      <w:numFmt w:val="bullet"/>
      <w:lvlText w:val=""/>
      <w:lvlJc w:val="left"/>
      <w:pPr>
        <w:ind w:left="720" w:hanging="360"/>
      </w:pPr>
      <w:rPr>
        <w:rFonts w:ascii="Symbol" w:hAnsi="Symbol"/>
      </w:rPr>
    </w:lvl>
    <w:lvl w:ilvl="1" w:tplc="9864A6E0">
      <w:start w:val="1"/>
      <w:numFmt w:val="bullet"/>
      <w:lvlText w:val=""/>
      <w:lvlJc w:val="left"/>
      <w:pPr>
        <w:ind w:left="720" w:hanging="360"/>
      </w:pPr>
      <w:rPr>
        <w:rFonts w:ascii="Symbol" w:hAnsi="Symbol"/>
      </w:rPr>
    </w:lvl>
    <w:lvl w:ilvl="2" w:tplc="57665BAE">
      <w:start w:val="1"/>
      <w:numFmt w:val="bullet"/>
      <w:lvlText w:val=""/>
      <w:lvlJc w:val="left"/>
      <w:pPr>
        <w:ind w:left="720" w:hanging="360"/>
      </w:pPr>
      <w:rPr>
        <w:rFonts w:ascii="Symbol" w:hAnsi="Symbol"/>
      </w:rPr>
    </w:lvl>
    <w:lvl w:ilvl="3" w:tplc="83AE3D7C">
      <w:start w:val="1"/>
      <w:numFmt w:val="bullet"/>
      <w:lvlText w:val=""/>
      <w:lvlJc w:val="left"/>
      <w:pPr>
        <w:ind w:left="720" w:hanging="360"/>
      </w:pPr>
      <w:rPr>
        <w:rFonts w:ascii="Symbol" w:hAnsi="Symbol"/>
      </w:rPr>
    </w:lvl>
    <w:lvl w:ilvl="4" w:tplc="2564CC76">
      <w:start w:val="1"/>
      <w:numFmt w:val="bullet"/>
      <w:lvlText w:val=""/>
      <w:lvlJc w:val="left"/>
      <w:pPr>
        <w:ind w:left="720" w:hanging="360"/>
      </w:pPr>
      <w:rPr>
        <w:rFonts w:ascii="Symbol" w:hAnsi="Symbol"/>
      </w:rPr>
    </w:lvl>
    <w:lvl w:ilvl="5" w:tplc="7CF66438">
      <w:start w:val="1"/>
      <w:numFmt w:val="bullet"/>
      <w:lvlText w:val=""/>
      <w:lvlJc w:val="left"/>
      <w:pPr>
        <w:ind w:left="720" w:hanging="360"/>
      </w:pPr>
      <w:rPr>
        <w:rFonts w:ascii="Symbol" w:hAnsi="Symbol"/>
      </w:rPr>
    </w:lvl>
    <w:lvl w:ilvl="6" w:tplc="0EA2D674">
      <w:start w:val="1"/>
      <w:numFmt w:val="bullet"/>
      <w:lvlText w:val=""/>
      <w:lvlJc w:val="left"/>
      <w:pPr>
        <w:ind w:left="720" w:hanging="360"/>
      </w:pPr>
      <w:rPr>
        <w:rFonts w:ascii="Symbol" w:hAnsi="Symbol"/>
      </w:rPr>
    </w:lvl>
    <w:lvl w:ilvl="7" w:tplc="BF3CEF3A">
      <w:start w:val="1"/>
      <w:numFmt w:val="bullet"/>
      <w:lvlText w:val=""/>
      <w:lvlJc w:val="left"/>
      <w:pPr>
        <w:ind w:left="720" w:hanging="360"/>
      </w:pPr>
      <w:rPr>
        <w:rFonts w:ascii="Symbol" w:hAnsi="Symbol"/>
      </w:rPr>
    </w:lvl>
    <w:lvl w:ilvl="8" w:tplc="0E96F572">
      <w:start w:val="1"/>
      <w:numFmt w:val="bullet"/>
      <w:lvlText w:val=""/>
      <w:lvlJc w:val="left"/>
      <w:pPr>
        <w:ind w:left="720" w:hanging="360"/>
      </w:pPr>
      <w:rPr>
        <w:rFonts w:ascii="Symbol" w:hAnsi="Symbol"/>
      </w:rPr>
    </w:lvl>
  </w:abstractNum>
  <w:abstractNum w:abstractNumId="2" w15:restartNumberingAfterBreak="0">
    <w:nsid w:val="1C5E3CBB"/>
    <w:multiLevelType w:val="hybridMultilevel"/>
    <w:tmpl w:val="5012294A"/>
    <w:lvl w:ilvl="0" w:tplc="5B82FC3A">
      <w:start w:val="1"/>
      <w:numFmt w:val="decimal"/>
      <w:lvlText w:val="%1."/>
      <w:lvlJc w:val="left"/>
      <w:pPr>
        <w:ind w:left="720" w:hanging="360"/>
      </w:pPr>
    </w:lvl>
    <w:lvl w:ilvl="1" w:tplc="EDEE5B02">
      <w:start w:val="1"/>
      <w:numFmt w:val="lowerLetter"/>
      <w:lvlText w:val="%2."/>
      <w:lvlJc w:val="left"/>
      <w:pPr>
        <w:ind w:left="1440" w:hanging="360"/>
      </w:pPr>
    </w:lvl>
    <w:lvl w:ilvl="2" w:tplc="C05C30D0">
      <w:start w:val="1"/>
      <w:numFmt w:val="lowerRoman"/>
      <w:lvlText w:val="%3."/>
      <w:lvlJc w:val="right"/>
      <w:pPr>
        <w:ind w:left="2160" w:hanging="180"/>
      </w:pPr>
    </w:lvl>
    <w:lvl w:ilvl="3" w:tplc="0DFAB090">
      <w:start w:val="1"/>
      <w:numFmt w:val="decimal"/>
      <w:lvlText w:val="%4."/>
      <w:lvlJc w:val="left"/>
      <w:pPr>
        <w:ind w:left="2880" w:hanging="360"/>
      </w:pPr>
    </w:lvl>
    <w:lvl w:ilvl="4" w:tplc="F3F0D6D4">
      <w:start w:val="1"/>
      <w:numFmt w:val="lowerLetter"/>
      <w:lvlText w:val="%5."/>
      <w:lvlJc w:val="left"/>
      <w:pPr>
        <w:ind w:left="3600" w:hanging="360"/>
      </w:pPr>
    </w:lvl>
    <w:lvl w:ilvl="5" w:tplc="10C6DB3A">
      <w:start w:val="1"/>
      <w:numFmt w:val="lowerRoman"/>
      <w:lvlText w:val="%6."/>
      <w:lvlJc w:val="right"/>
      <w:pPr>
        <w:ind w:left="4320" w:hanging="180"/>
      </w:pPr>
    </w:lvl>
    <w:lvl w:ilvl="6" w:tplc="C456A7F4">
      <w:start w:val="1"/>
      <w:numFmt w:val="decimal"/>
      <w:lvlText w:val="%7."/>
      <w:lvlJc w:val="left"/>
      <w:pPr>
        <w:ind w:left="5040" w:hanging="360"/>
      </w:pPr>
    </w:lvl>
    <w:lvl w:ilvl="7" w:tplc="C76C2A72">
      <w:start w:val="1"/>
      <w:numFmt w:val="lowerLetter"/>
      <w:lvlText w:val="%8."/>
      <w:lvlJc w:val="left"/>
      <w:pPr>
        <w:ind w:left="5760" w:hanging="360"/>
      </w:pPr>
    </w:lvl>
    <w:lvl w:ilvl="8" w:tplc="B3E4C36E">
      <w:start w:val="1"/>
      <w:numFmt w:val="lowerRoman"/>
      <w:lvlText w:val="%9."/>
      <w:lvlJc w:val="right"/>
      <w:pPr>
        <w:ind w:left="6480" w:hanging="180"/>
      </w:pPr>
    </w:lvl>
  </w:abstractNum>
  <w:abstractNum w:abstractNumId="3" w15:restartNumberingAfterBreak="0">
    <w:nsid w:val="270051D9"/>
    <w:multiLevelType w:val="hybridMultilevel"/>
    <w:tmpl w:val="6540C4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FDDB9B"/>
    <w:multiLevelType w:val="hybridMultilevel"/>
    <w:tmpl w:val="C2D28AF2"/>
    <w:lvl w:ilvl="0" w:tplc="FE5479D2">
      <w:start w:val="1"/>
      <w:numFmt w:val="bullet"/>
      <w:lvlText w:val="-"/>
      <w:lvlJc w:val="left"/>
      <w:pPr>
        <w:ind w:left="720" w:hanging="360"/>
      </w:pPr>
      <w:rPr>
        <w:rFonts w:ascii="Aptos" w:hAnsi="Aptos" w:hint="default"/>
      </w:rPr>
    </w:lvl>
    <w:lvl w:ilvl="1" w:tplc="E5D4B9B4">
      <w:start w:val="1"/>
      <w:numFmt w:val="bullet"/>
      <w:lvlText w:val="o"/>
      <w:lvlJc w:val="left"/>
      <w:pPr>
        <w:ind w:left="1440" w:hanging="360"/>
      </w:pPr>
      <w:rPr>
        <w:rFonts w:ascii="Courier New" w:hAnsi="Courier New" w:hint="default"/>
      </w:rPr>
    </w:lvl>
    <w:lvl w:ilvl="2" w:tplc="DC705098">
      <w:start w:val="1"/>
      <w:numFmt w:val="bullet"/>
      <w:lvlText w:val=""/>
      <w:lvlJc w:val="left"/>
      <w:pPr>
        <w:ind w:left="2160" w:hanging="360"/>
      </w:pPr>
      <w:rPr>
        <w:rFonts w:ascii="Wingdings" w:hAnsi="Wingdings" w:hint="default"/>
      </w:rPr>
    </w:lvl>
    <w:lvl w:ilvl="3" w:tplc="3C9E0DD2">
      <w:start w:val="1"/>
      <w:numFmt w:val="bullet"/>
      <w:lvlText w:val=""/>
      <w:lvlJc w:val="left"/>
      <w:pPr>
        <w:ind w:left="2880" w:hanging="360"/>
      </w:pPr>
      <w:rPr>
        <w:rFonts w:ascii="Symbol" w:hAnsi="Symbol" w:hint="default"/>
      </w:rPr>
    </w:lvl>
    <w:lvl w:ilvl="4" w:tplc="7F960D4A">
      <w:start w:val="1"/>
      <w:numFmt w:val="bullet"/>
      <w:lvlText w:val="o"/>
      <w:lvlJc w:val="left"/>
      <w:pPr>
        <w:ind w:left="3600" w:hanging="360"/>
      </w:pPr>
      <w:rPr>
        <w:rFonts w:ascii="Courier New" w:hAnsi="Courier New" w:hint="default"/>
      </w:rPr>
    </w:lvl>
    <w:lvl w:ilvl="5" w:tplc="386CDA50">
      <w:start w:val="1"/>
      <w:numFmt w:val="bullet"/>
      <w:lvlText w:val=""/>
      <w:lvlJc w:val="left"/>
      <w:pPr>
        <w:ind w:left="4320" w:hanging="360"/>
      </w:pPr>
      <w:rPr>
        <w:rFonts w:ascii="Wingdings" w:hAnsi="Wingdings" w:hint="default"/>
      </w:rPr>
    </w:lvl>
    <w:lvl w:ilvl="6" w:tplc="D3423792">
      <w:start w:val="1"/>
      <w:numFmt w:val="bullet"/>
      <w:lvlText w:val=""/>
      <w:lvlJc w:val="left"/>
      <w:pPr>
        <w:ind w:left="5040" w:hanging="360"/>
      </w:pPr>
      <w:rPr>
        <w:rFonts w:ascii="Symbol" w:hAnsi="Symbol" w:hint="default"/>
      </w:rPr>
    </w:lvl>
    <w:lvl w:ilvl="7" w:tplc="36523AE4">
      <w:start w:val="1"/>
      <w:numFmt w:val="bullet"/>
      <w:lvlText w:val="o"/>
      <w:lvlJc w:val="left"/>
      <w:pPr>
        <w:ind w:left="5760" w:hanging="360"/>
      </w:pPr>
      <w:rPr>
        <w:rFonts w:ascii="Courier New" w:hAnsi="Courier New" w:hint="default"/>
      </w:rPr>
    </w:lvl>
    <w:lvl w:ilvl="8" w:tplc="86329E78">
      <w:start w:val="1"/>
      <w:numFmt w:val="bullet"/>
      <w:lvlText w:val=""/>
      <w:lvlJc w:val="left"/>
      <w:pPr>
        <w:ind w:left="6480" w:hanging="360"/>
      </w:pPr>
      <w:rPr>
        <w:rFonts w:ascii="Wingdings" w:hAnsi="Wingdings" w:hint="default"/>
      </w:rPr>
    </w:lvl>
  </w:abstractNum>
  <w:abstractNum w:abstractNumId="5" w15:restartNumberingAfterBreak="0">
    <w:nsid w:val="4FFD59E9"/>
    <w:multiLevelType w:val="multilevel"/>
    <w:tmpl w:val="1AB0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51806"/>
    <w:multiLevelType w:val="hybridMultilevel"/>
    <w:tmpl w:val="3E8852F4"/>
    <w:lvl w:ilvl="0" w:tplc="D1A08644">
      <w:start w:val="1"/>
      <w:numFmt w:val="bullet"/>
      <w:lvlText w:val="-"/>
      <w:lvlJc w:val="left"/>
      <w:pPr>
        <w:ind w:left="720" w:hanging="360"/>
      </w:pPr>
      <w:rPr>
        <w:rFonts w:ascii="Aptos" w:hAnsi="Aptos" w:hint="default"/>
      </w:rPr>
    </w:lvl>
    <w:lvl w:ilvl="1" w:tplc="7374AA28">
      <w:start w:val="1"/>
      <w:numFmt w:val="bullet"/>
      <w:lvlText w:val="o"/>
      <w:lvlJc w:val="left"/>
      <w:pPr>
        <w:ind w:left="1440" w:hanging="360"/>
      </w:pPr>
      <w:rPr>
        <w:rFonts w:ascii="Courier New" w:hAnsi="Courier New" w:hint="default"/>
      </w:rPr>
    </w:lvl>
    <w:lvl w:ilvl="2" w:tplc="72DCBE50">
      <w:start w:val="1"/>
      <w:numFmt w:val="bullet"/>
      <w:lvlText w:val=""/>
      <w:lvlJc w:val="left"/>
      <w:pPr>
        <w:ind w:left="2160" w:hanging="360"/>
      </w:pPr>
      <w:rPr>
        <w:rFonts w:ascii="Wingdings" w:hAnsi="Wingdings" w:hint="default"/>
      </w:rPr>
    </w:lvl>
    <w:lvl w:ilvl="3" w:tplc="B1FC8364">
      <w:start w:val="1"/>
      <w:numFmt w:val="bullet"/>
      <w:lvlText w:val=""/>
      <w:lvlJc w:val="left"/>
      <w:pPr>
        <w:ind w:left="2880" w:hanging="360"/>
      </w:pPr>
      <w:rPr>
        <w:rFonts w:ascii="Symbol" w:hAnsi="Symbol" w:hint="default"/>
      </w:rPr>
    </w:lvl>
    <w:lvl w:ilvl="4" w:tplc="314A39A8">
      <w:start w:val="1"/>
      <w:numFmt w:val="bullet"/>
      <w:lvlText w:val="o"/>
      <w:lvlJc w:val="left"/>
      <w:pPr>
        <w:ind w:left="3600" w:hanging="360"/>
      </w:pPr>
      <w:rPr>
        <w:rFonts w:ascii="Courier New" w:hAnsi="Courier New" w:hint="default"/>
      </w:rPr>
    </w:lvl>
    <w:lvl w:ilvl="5" w:tplc="5CB01FA0">
      <w:start w:val="1"/>
      <w:numFmt w:val="bullet"/>
      <w:lvlText w:val=""/>
      <w:lvlJc w:val="left"/>
      <w:pPr>
        <w:ind w:left="4320" w:hanging="360"/>
      </w:pPr>
      <w:rPr>
        <w:rFonts w:ascii="Wingdings" w:hAnsi="Wingdings" w:hint="default"/>
      </w:rPr>
    </w:lvl>
    <w:lvl w:ilvl="6" w:tplc="96C6972E">
      <w:start w:val="1"/>
      <w:numFmt w:val="bullet"/>
      <w:lvlText w:val=""/>
      <w:lvlJc w:val="left"/>
      <w:pPr>
        <w:ind w:left="5040" w:hanging="360"/>
      </w:pPr>
      <w:rPr>
        <w:rFonts w:ascii="Symbol" w:hAnsi="Symbol" w:hint="default"/>
      </w:rPr>
    </w:lvl>
    <w:lvl w:ilvl="7" w:tplc="401CFFC4">
      <w:start w:val="1"/>
      <w:numFmt w:val="bullet"/>
      <w:lvlText w:val="o"/>
      <w:lvlJc w:val="left"/>
      <w:pPr>
        <w:ind w:left="5760" w:hanging="360"/>
      </w:pPr>
      <w:rPr>
        <w:rFonts w:ascii="Courier New" w:hAnsi="Courier New" w:hint="default"/>
      </w:rPr>
    </w:lvl>
    <w:lvl w:ilvl="8" w:tplc="892CE92A">
      <w:start w:val="1"/>
      <w:numFmt w:val="bullet"/>
      <w:lvlText w:val=""/>
      <w:lvlJc w:val="left"/>
      <w:pPr>
        <w:ind w:left="6480" w:hanging="360"/>
      </w:pPr>
      <w:rPr>
        <w:rFonts w:ascii="Wingdings" w:hAnsi="Wingdings" w:hint="default"/>
      </w:rPr>
    </w:lvl>
  </w:abstractNum>
  <w:abstractNum w:abstractNumId="7" w15:restartNumberingAfterBreak="0">
    <w:nsid w:val="736E0196"/>
    <w:multiLevelType w:val="multilevel"/>
    <w:tmpl w:val="146E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910F18"/>
    <w:multiLevelType w:val="hybridMultilevel"/>
    <w:tmpl w:val="D856EB04"/>
    <w:lvl w:ilvl="0" w:tplc="A9C44670">
      <w:start w:val="1"/>
      <w:numFmt w:val="bullet"/>
      <w:lvlText w:val="-"/>
      <w:lvlJc w:val="left"/>
      <w:pPr>
        <w:ind w:left="720" w:hanging="360"/>
      </w:pPr>
      <w:rPr>
        <w:rFonts w:ascii="Aptos" w:hAnsi="Aptos" w:hint="default"/>
      </w:rPr>
    </w:lvl>
    <w:lvl w:ilvl="1" w:tplc="CB04E836">
      <w:start w:val="1"/>
      <w:numFmt w:val="bullet"/>
      <w:lvlText w:val="o"/>
      <w:lvlJc w:val="left"/>
      <w:pPr>
        <w:ind w:left="1440" w:hanging="360"/>
      </w:pPr>
      <w:rPr>
        <w:rFonts w:ascii="Courier New" w:hAnsi="Courier New" w:hint="default"/>
      </w:rPr>
    </w:lvl>
    <w:lvl w:ilvl="2" w:tplc="08227146">
      <w:start w:val="1"/>
      <w:numFmt w:val="bullet"/>
      <w:lvlText w:val=""/>
      <w:lvlJc w:val="left"/>
      <w:pPr>
        <w:ind w:left="2160" w:hanging="360"/>
      </w:pPr>
      <w:rPr>
        <w:rFonts w:ascii="Wingdings" w:hAnsi="Wingdings" w:hint="default"/>
      </w:rPr>
    </w:lvl>
    <w:lvl w:ilvl="3" w:tplc="0A6C4ED2">
      <w:start w:val="1"/>
      <w:numFmt w:val="bullet"/>
      <w:lvlText w:val=""/>
      <w:lvlJc w:val="left"/>
      <w:pPr>
        <w:ind w:left="2880" w:hanging="360"/>
      </w:pPr>
      <w:rPr>
        <w:rFonts w:ascii="Symbol" w:hAnsi="Symbol" w:hint="default"/>
      </w:rPr>
    </w:lvl>
    <w:lvl w:ilvl="4" w:tplc="5DD8836A">
      <w:start w:val="1"/>
      <w:numFmt w:val="bullet"/>
      <w:lvlText w:val="o"/>
      <w:lvlJc w:val="left"/>
      <w:pPr>
        <w:ind w:left="3600" w:hanging="360"/>
      </w:pPr>
      <w:rPr>
        <w:rFonts w:ascii="Courier New" w:hAnsi="Courier New" w:hint="default"/>
      </w:rPr>
    </w:lvl>
    <w:lvl w:ilvl="5" w:tplc="21ECCFBC">
      <w:start w:val="1"/>
      <w:numFmt w:val="bullet"/>
      <w:lvlText w:val=""/>
      <w:lvlJc w:val="left"/>
      <w:pPr>
        <w:ind w:left="4320" w:hanging="360"/>
      </w:pPr>
      <w:rPr>
        <w:rFonts w:ascii="Wingdings" w:hAnsi="Wingdings" w:hint="default"/>
      </w:rPr>
    </w:lvl>
    <w:lvl w:ilvl="6" w:tplc="0D083012">
      <w:start w:val="1"/>
      <w:numFmt w:val="bullet"/>
      <w:lvlText w:val=""/>
      <w:lvlJc w:val="left"/>
      <w:pPr>
        <w:ind w:left="5040" w:hanging="360"/>
      </w:pPr>
      <w:rPr>
        <w:rFonts w:ascii="Symbol" w:hAnsi="Symbol" w:hint="default"/>
      </w:rPr>
    </w:lvl>
    <w:lvl w:ilvl="7" w:tplc="A5C04036">
      <w:start w:val="1"/>
      <w:numFmt w:val="bullet"/>
      <w:lvlText w:val="o"/>
      <w:lvlJc w:val="left"/>
      <w:pPr>
        <w:ind w:left="5760" w:hanging="360"/>
      </w:pPr>
      <w:rPr>
        <w:rFonts w:ascii="Courier New" w:hAnsi="Courier New" w:hint="default"/>
      </w:rPr>
    </w:lvl>
    <w:lvl w:ilvl="8" w:tplc="CA3AC656">
      <w:start w:val="1"/>
      <w:numFmt w:val="bullet"/>
      <w:lvlText w:val=""/>
      <w:lvlJc w:val="left"/>
      <w:pPr>
        <w:ind w:left="6480" w:hanging="360"/>
      </w:pPr>
      <w:rPr>
        <w:rFonts w:ascii="Wingdings" w:hAnsi="Wingdings" w:hint="default"/>
      </w:rPr>
    </w:lvl>
  </w:abstractNum>
  <w:abstractNum w:abstractNumId="9" w15:restartNumberingAfterBreak="0">
    <w:nsid w:val="7E7E01E7"/>
    <w:multiLevelType w:val="multilevel"/>
    <w:tmpl w:val="6F9A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2421938">
    <w:abstractNumId w:val="6"/>
  </w:num>
  <w:num w:numId="2" w16cid:durableId="1913270133">
    <w:abstractNumId w:val="2"/>
  </w:num>
  <w:num w:numId="3" w16cid:durableId="1111316220">
    <w:abstractNumId w:val="4"/>
  </w:num>
  <w:num w:numId="4" w16cid:durableId="1863854563">
    <w:abstractNumId w:val="8"/>
  </w:num>
  <w:num w:numId="5" w16cid:durableId="1003361470">
    <w:abstractNumId w:val="0"/>
  </w:num>
  <w:num w:numId="6" w16cid:durableId="870067034">
    <w:abstractNumId w:val="7"/>
  </w:num>
  <w:num w:numId="7" w16cid:durableId="1243179602">
    <w:abstractNumId w:val="3"/>
  </w:num>
  <w:num w:numId="8" w16cid:durableId="850998222">
    <w:abstractNumId w:val="9"/>
  </w:num>
  <w:num w:numId="9" w16cid:durableId="1263763133">
    <w:abstractNumId w:val="5"/>
  </w:num>
  <w:num w:numId="10" w16cid:durableId="1803422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94"/>
    <w:rsid w:val="0000037F"/>
    <w:rsid w:val="00000725"/>
    <w:rsid w:val="00000BF2"/>
    <w:rsid w:val="000025D4"/>
    <w:rsid w:val="000069CA"/>
    <w:rsid w:val="00012377"/>
    <w:rsid w:val="00014D4E"/>
    <w:rsid w:val="00015109"/>
    <w:rsid w:val="000256B4"/>
    <w:rsid w:val="0002670F"/>
    <w:rsid w:val="00026999"/>
    <w:rsid w:val="00032003"/>
    <w:rsid w:val="000350AE"/>
    <w:rsid w:val="00042CC7"/>
    <w:rsid w:val="000443BA"/>
    <w:rsid w:val="00045246"/>
    <w:rsid w:val="00045999"/>
    <w:rsid w:val="0004624F"/>
    <w:rsid w:val="00046AAE"/>
    <w:rsid w:val="000471E9"/>
    <w:rsid w:val="000507F6"/>
    <w:rsid w:val="00051015"/>
    <w:rsid w:val="00053E82"/>
    <w:rsid w:val="000562AA"/>
    <w:rsid w:val="000579A6"/>
    <w:rsid w:val="0006235F"/>
    <w:rsid w:val="0006631C"/>
    <w:rsid w:val="00072A45"/>
    <w:rsid w:val="00073477"/>
    <w:rsid w:val="00076523"/>
    <w:rsid w:val="00076FF2"/>
    <w:rsid w:val="00081C89"/>
    <w:rsid w:val="00082148"/>
    <w:rsid w:val="0008296D"/>
    <w:rsid w:val="00082B32"/>
    <w:rsid w:val="0008375E"/>
    <w:rsid w:val="000858B8"/>
    <w:rsid w:val="00085A02"/>
    <w:rsid w:val="00086486"/>
    <w:rsid w:val="000907DF"/>
    <w:rsid w:val="00093262"/>
    <w:rsid w:val="00094B49"/>
    <w:rsid w:val="00095527"/>
    <w:rsid w:val="000A1AB7"/>
    <w:rsid w:val="000A2268"/>
    <w:rsid w:val="000A452E"/>
    <w:rsid w:val="000A46D6"/>
    <w:rsid w:val="000A7B1C"/>
    <w:rsid w:val="000B4D0E"/>
    <w:rsid w:val="000B7B4A"/>
    <w:rsid w:val="000C4E2F"/>
    <w:rsid w:val="000D05BE"/>
    <w:rsid w:val="000D1F40"/>
    <w:rsid w:val="000D2862"/>
    <w:rsid w:val="000D7F99"/>
    <w:rsid w:val="000E14B0"/>
    <w:rsid w:val="000E5FD8"/>
    <w:rsid w:val="000E69B0"/>
    <w:rsid w:val="000E702D"/>
    <w:rsid w:val="000F338F"/>
    <w:rsid w:val="000F3575"/>
    <w:rsid w:val="000F49B2"/>
    <w:rsid w:val="000F49EA"/>
    <w:rsid w:val="000F6E6B"/>
    <w:rsid w:val="000F737C"/>
    <w:rsid w:val="000F7FB7"/>
    <w:rsid w:val="00100023"/>
    <w:rsid w:val="001015AB"/>
    <w:rsid w:val="00107A96"/>
    <w:rsid w:val="00107BF2"/>
    <w:rsid w:val="00113A20"/>
    <w:rsid w:val="00115B04"/>
    <w:rsid w:val="00122342"/>
    <w:rsid w:val="00123766"/>
    <w:rsid w:val="0012479D"/>
    <w:rsid w:val="001265EF"/>
    <w:rsid w:val="00130F6C"/>
    <w:rsid w:val="00133654"/>
    <w:rsid w:val="00133AB0"/>
    <w:rsid w:val="001347B3"/>
    <w:rsid w:val="00136FD6"/>
    <w:rsid w:val="00137EA9"/>
    <w:rsid w:val="001412EE"/>
    <w:rsid w:val="001424D2"/>
    <w:rsid w:val="0014292A"/>
    <w:rsid w:val="0015363E"/>
    <w:rsid w:val="0015750F"/>
    <w:rsid w:val="00157CFE"/>
    <w:rsid w:val="001608F5"/>
    <w:rsid w:val="00160CA5"/>
    <w:rsid w:val="0016343F"/>
    <w:rsid w:val="001649A8"/>
    <w:rsid w:val="001674F0"/>
    <w:rsid w:val="00171F93"/>
    <w:rsid w:val="00175311"/>
    <w:rsid w:val="00176980"/>
    <w:rsid w:val="001845FA"/>
    <w:rsid w:val="00186CE8"/>
    <w:rsid w:val="00192471"/>
    <w:rsid w:val="00192600"/>
    <w:rsid w:val="00193272"/>
    <w:rsid w:val="00195CB3"/>
    <w:rsid w:val="0019699D"/>
    <w:rsid w:val="001972D3"/>
    <w:rsid w:val="001A0F1B"/>
    <w:rsid w:val="001A1485"/>
    <w:rsid w:val="001A14F0"/>
    <w:rsid w:val="001A1FEA"/>
    <w:rsid w:val="001A315E"/>
    <w:rsid w:val="001A6102"/>
    <w:rsid w:val="001A6EDE"/>
    <w:rsid w:val="001A724C"/>
    <w:rsid w:val="001B1FDC"/>
    <w:rsid w:val="001B6956"/>
    <w:rsid w:val="001C0C69"/>
    <w:rsid w:val="001C2682"/>
    <w:rsid w:val="001C2E6B"/>
    <w:rsid w:val="001C4797"/>
    <w:rsid w:val="001C591C"/>
    <w:rsid w:val="001C62E8"/>
    <w:rsid w:val="001D2B6D"/>
    <w:rsid w:val="001D590F"/>
    <w:rsid w:val="001D6175"/>
    <w:rsid w:val="001E199E"/>
    <w:rsid w:val="001E3036"/>
    <w:rsid w:val="001E46C5"/>
    <w:rsid w:val="001E68B7"/>
    <w:rsid w:val="001E7FF4"/>
    <w:rsid w:val="00201C3E"/>
    <w:rsid w:val="00201FC5"/>
    <w:rsid w:val="002169D5"/>
    <w:rsid w:val="00217DE0"/>
    <w:rsid w:val="00220423"/>
    <w:rsid w:val="00222B26"/>
    <w:rsid w:val="002235E9"/>
    <w:rsid w:val="002246E3"/>
    <w:rsid w:val="00224A45"/>
    <w:rsid w:val="002254EF"/>
    <w:rsid w:val="00226F3A"/>
    <w:rsid w:val="002270A7"/>
    <w:rsid w:val="002272E0"/>
    <w:rsid w:val="00232443"/>
    <w:rsid w:val="002338ED"/>
    <w:rsid w:val="002355E1"/>
    <w:rsid w:val="00236ABB"/>
    <w:rsid w:val="00243EC5"/>
    <w:rsid w:val="002446D9"/>
    <w:rsid w:val="0024706E"/>
    <w:rsid w:val="00251497"/>
    <w:rsid w:val="002522BB"/>
    <w:rsid w:val="0025236F"/>
    <w:rsid w:val="002574D1"/>
    <w:rsid w:val="002577B4"/>
    <w:rsid w:val="002603D7"/>
    <w:rsid w:val="00265ACB"/>
    <w:rsid w:val="0026680E"/>
    <w:rsid w:val="00270B07"/>
    <w:rsid w:val="00271965"/>
    <w:rsid w:val="00272D6B"/>
    <w:rsid w:val="00275108"/>
    <w:rsid w:val="00277E50"/>
    <w:rsid w:val="002803B7"/>
    <w:rsid w:val="002814B1"/>
    <w:rsid w:val="00281EB2"/>
    <w:rsid w:val="00285AC1"/>
    <w:rsid w:val="00285D11"/>
    <w:rsid w:val="0028730A"/>
    <w:rsid w:val="00293641"/>
    <w:rsid w:val="002A5304"/>
    <w:rsid w:val="002A6A0C"/>
    <w:rsid w:val="002B1004"/>
    <w:rsid w:val="002B69AA"/>
    <w:rsid w:val="002C0074"/>
    <w:rsid w:val="002C0D7C"/>
    <w:rsid w:val="002C1D5E"/>
    <w:rsid w:val="002C3FD4"/>
    <w:rsid w:val="002C4808"/>
    <w:rsid w:val="002C59F4"/>
    <w:rsid w:val="002C7C11"/>
    <w:rsid w:val="002D10AC"/>
    <w:rsid w:val="002D1E94"/>
    <w:rsid w:val="002D2FA5"/>
    <w:rsid w:val="002D378E"/>
    <w:rsid w:val="002D67CE"/>
    <w:rsid w:val="002D6F79"/>
    <w:rsid w:val="002D7AE5"/>
    <w:rsid w:val="002E6018"/>
    <w:rsid w:val="002E7A7D"/>
    <w:rsid w:val="002F0B49"/>
    <w:rsid w:val="002F1274"/>
    <w:rsid w:val="002F34B2"/>
    <w:rsid w:val="002F7080"/>
    <w:rsid w:val="003021C1"/>
    <w:rsid w:val="00303AE2"/>
    <w:rsid w:val="00304A21"/>
    <w:rsid w:val="00306C80"/>
    <w:rsid w:val="00311752"/>
    <w:rsid w:val="00312668"/>
    <w:rsid w:val="0031519E"/>
    <w:rsid w:val="00316669"/>
    <w:rsid w:val="003202F5"/>
    <w:rsid w:val="00322EE8"/>
    <w:rsid w:val="00324794"/>
    <w:rsid w:val="003248CE"/>
    <w:rsid w:val="003250B7"/>
    <w:rsid w:val="003255C0"/>
    <w:rsid w:val="00325806"/>
    <w:rsid w:val="00326121"/>
    <w:rsid w:val="00330E73"/>
    <w:rsid w:val="0033103F"/>
    <w:rsid w:val="003316E3"/>
    <w:rsid w:val="0034223D"/>
    <w:rsid w:val="00353105"/>
    <w:rsid w:val="0035487A"/>
    <w:rsid w:val="00355C70"/>
    <w:rsid w:val="00372481"/>
    <w:rsid w:val="00377297"/>
    <w:rsid w:val="00382033"/>
    <w:rsid w:val="00383016"/>
    <w:rsid w:val="00390DD6"/>
    <w:rsid w:val="003A2EC1"/>
    <w:rsid w:val="003A4268"/>
    <w:rsid w:val="003A563E"/>
    <w:rsid w:val="003A5903"/>
    <w:rsid w:val="003A5E36"/>
    <w:rsid w:val="003A6271"/>
    <w:rsid w:val="003A652A"/>
    <w:rsid w:val="003A698A"/>
    <w:rsid w:val="003A7B9D"/>
    <w:rsid w:val="003A7EBD"/>
    <w:rsid w:val="003B15EE"/>
    <w:rsid w:val="003B3C69"/>
    <w:rsid w:val="003B790C"/>
    <w:rsid w:val="003C11D4"/>
    <w:rsid w:val="003C3074"/>
    <w:rsid w:val="003C358D"/>
    <w:rsid w:val="003C451C"/>
    <w:rsid w:val="003D1096"/>
    <w:rsid w:val="003D148E"/>
    <w:rsid w:val="003D4077"/>
    <w:rsid w:val="003D54BB"/>
    <w:rsid w:val="003D5AD8"/>
    <w:rsid w:val="003D70B7"/>
    <w:rsid w:val="003E26EB"/>
    <w:rsid w:val="003E4D3E"/>
    <w:rsid w:val="003E5183"/>
    <w:rsid w:val="003F0CFD"/>
    <w:rsid w:val="003F4F82"/>
    <w:rsid w:val="004001CF"/>
    <w:rsid w:val="00400DC6"/>
    <w:rsid w:val="00401D8A"/>
    <w:rsid w:val="004029BA"/>
    <w:rsid w:val="004044E8"/>
    <w:rsid w:val="0040778A"/>
    <w:rsid w:val="0041020D"/>
    <w:rsid w:val="0041026A"/>
    <w:rsid w:val="00411048"/>
    <w:rsid w:val="00411682"/>
    <w:rsid w:val="00413B74"/>
    <w:rsid w:val="00421766"/>
    <w:rsid w:val="004219D8"/>
    <w:rsid w:val="00423DDD"/>
    <w:rsid w:val="0043051E"/>
    <w:rsid w:val="00430DB8"/>
    <w:rsid w:val="0043114D"/>
    <w:rsid w:val="00431FC5"/>
    <w:rsid w:val="00437345"/>
    <w:rsid w:val="0044338C"/>
    <w:rsid w:val="00446B69"/>
    <w:rsid w:val="00450651"/>
    <w:rsid w:val="00451C56"/>
    <w:rsid w:val="0045378C"/>
    <w:rsid w:val="0045471E"/>
    <w:rsid w:val="00454D1E"/>
    <w:rsid w:val="004551BE"/>
    <w:rsid w:val="004559D9"/>
    <w:rsid w:val="00456A14"/>
    <w:rsid w:val="00460200"/>
    <w:rsid w:val="004612D0"/>
    <w:rsid w:val="004617DC"/>
    <w:rsid w:val="00463118"/>
    <w:rsid w:val="00465983"/>
    <w:rsid w:val="0046748D"/>
    <w:rsid w:val="00467733"/>
    <w:rsid w:val="004732F9"/>
    <w:rsid w:val="00473422"/>
    <w:rsid w:val="004735DA"/>
    <w:rsid w:val="00473A16"/>
    <w:rsid w:val="00475B46"/>
    <w:rsid w:val="00477D12"/>
    <w:rsid w:val="00477D9A"/>
    <w:rsid w:val="00483D72"/>
    <w:rsid w:val="00487925"/>
    <w:rsid w:val="00491A59"/>
    <w:rsid w:val="00491BCE"/>
    <w:rsid w:val="0049451D"/>
    <w:rsid w:val="00495A51"/>
    <w:rsid w:val="00495F27"/>
    <w:rsid w:val="004A4FD0"/>
    <w:rsid w:val="004A7E8E"/>
    <w:rsid w:val="004B0288"/>
    <w:rsid w:val="004B2CD8"/>
    <w:rsid w:val="004B3BFB"/>
    <w:rsid w:val="004B4222"/>
    <w:rsid w:val="004B4B20"/>
    <w:rsid w:val="004C18C4"/>
    <w:rsid w:val="004C3A7F"/>
    <w:rsid w:val="004C718D"/>
    <w:rsid w:val="004D0338"/>
    <w:rsid w:val="004D051B"/>
    <w:rsid w:val="004D3DD3"/>
    <w:rsid w:val="004D520F"/>
    <w:rsid w:val="004D7100"/>
    <w:rsid w:val="004E0624"/>
    <w:rsid w:val="004E1707"/>
    <w:rsid w:val="004E27DD"/>
    <w:rsid w:val="004E2F08"/>
    <w:rsid w:val="004E5114"/>
    <w:rsid w:val="004E5B06"/>
    <w:rsid w:val="004E69AC"/>
    <w:rsid w:val="004F1D18"/>
    <w:rsid w:val="004F2B6E"/>
    <w:rsid w:val="004F7493"/>
    <w:rsid w:val="00502229"/>
    <w:rsid w:val="00507CB7"/>
    <w:rsid w:val="00510FD7"/>
    <w:rsid w:val="005114C1"/>
    <w:rsid w:val="005136CE"/>
    <w:rsid w:val="005152AC"/>
    <w:rsid w:val="00515B3A"/>
    <w:rsid w:val="00520671"/>
    <w:rsid w:val="00520847"/>
    <w:rsid w:val="005256A1"/>
    <w:rsid w:val="0053197E"/>
    <w:rsid w:val="00534E9F"/>
    <w:rsid w:val="00537A4C"/>
    <w:rsid w:val="00537E61"/>
    <w:rsid w:val="005402D5"/>
    <w:rsid w:val="00540D56"/>
    <w:rsid w:val="00540DEB"/>
    <w:rsid w:val="005411E6"/>
    <w:rsid w:val="00541673"/>
    <w:rsid w:val="005448CD"/>
    <w:rsid w:val="0054570F"/>
    <w:rsid w:val="00551AEA"/>
    <w:rsid w:val="00551E8C"/>
    <w:rsid w:val="00553554"/>
    <w:rsid w:val="005573BF"/>
    <w:rsid w:val="005668D3"/>
    <w:rsid w:val="00566CAD"/>
    <w:rsid w:val="0057141C"/>
    <w:rsid w:val="005732E1"/>
    <w:rsid w:val="0057435F"/>
    <w:rsid w:val="005749A0"/>
    <w:rsid w:val="00575406"/>
    <w:rsid w:val="0057712E"/>
    <w:rsid w:val="00577149"/>
    <w:rsid w:val="00577A64"/>
    <w:rsid w:val="00580173"/>
    <w:rsid w:val="00584EC4"/>
    <w:rsid w:val="00586DA0"/>
    <w:rsid w:val="00587073"/>
    <w:rsid w:val="00587784"/>
    <w:rsid w:val="00587D52"/>
    <w:rsid w:val="00591BD2"/>
    <w:rsid w:val="00591D53"/>
    <w:rsid w:val="005A0250"/>
    <w:rsid w:val="005A1073"/>
    <w:rsid w:val="005A420D"/>
    <w:rsid w:val="005A5C1F"/>
    <w:rsid w:val="005B1358"/>
    <w:rsid w:val="005B2D1A"/>
    <w:rsid w:val="005B3B88"/>
    <w:rsid w:val="005B4F78"/>
    <w:rsid w:val="005B7ADD"/>
    <w:rsid w:val="005B7F9F"/>
    <w:rsid w:val="005C0B79"/>
    <w:rsid w:val="005C2B5C"/>
    <w:rsid w:val="005C4754"/>
    <w:rsid w:val="005D37AE"/>
    <w:rsid w:val="005D4556"/>
    <w:rsid w:val="005D53DA"/>
    <w:rsid w:val="005D6B18"/>
    <w:rsid w:val="005E1CC8"/>
    <w:rsid w:val="005E46B9"/>
    <w:rsid w:val="005E48A3"/>
    <w:rsid w:val="005E5627"/>
    <w:rsid w:val="005E76F2"/>
    <w:rsid w:val="005F0207"/>
    <w:rsid w:val="005F1770"/>
    <w:rsid w:val="005F22F6"/>
    <w:rsid w:val="005F364B"/>
    <w:rsid w:val="005F79D1"/>
    <w:rsid w:val="00600254"/>
    <w:rsid w:val="00602EBA"/>
    <w:rsid w:val="006041DF"/>
    <w:rsid w:val="00606B9E"/>
    <w:rsid w:val="00613667"/>
    <w:rsid w:val="00614ADC"/>
    <w:rsid w:val="00614CA3"/>
    <w:rsid w:val="00616CD6"/>
    <w:rsid w:val="00622D24"/>
    <w:rsid w:val="00624E11"/>
    <w:rsid w:val="00625212"/>
    <w:rsid w:val="00634063"/>
    <w:rsid w:val="00635F53"/>
    <w:rsid w:val="00640289"/>
    <w:rsid w:val="00644511"/>
    <w:rsid w:val="00647B5D"/>
    <w:rsid w:val="00650393"/>
    <w:rsid w:val="00650957"/>
    <w:rsid w:val="00653F36"/>
    <w:rsid w:val="00654407"/>
    <w:rsid w:val="00660B53"/>
    <w:rsid w:val="0066239D"/>
    <w:rsid w:val="00665630"/>
    <w:rsid w:val="00665969"/>
    <w:rsid w:val="00665BB7"/>
    <w:rsid w:val="0066729B"/>
    <w:rsid w:val="006756A6"/>
    <w:rsid w:val="0067723F"/>
    <w:rsid w:val="0068168D"/>
    <w:rsid w:val="0068540F"/>
    <w:rsid w:val="0068673B"/>
    <w:rsid w:val="006879F1"/>
    <w:rsid w:val="00690998"/>
    <w:rsid w:val="006935A7"/>
    <w:rsid w:val="006A13FA"/>
    <w:rsid w:val="006A2896"/>
    <w:rsid w:val="006A45B4"/>
    <w:rsid w:val="006A46D4"/>
    <w:rsid w:val="006A5306"/>
    <w:rsid w:val="006A642E"/>
    <w:rsid w:val="006B09B6"/>
    <w:rsid w:val="006B44C9"/>
    <w:rsid w:val="006B4A01"/>
    <w:rsid w:val="006B65BF"/>
    <w:rsid w:val="006C5943"/>
    <w:rsid w:val="006C60F2"/>
    <w:rsid w:val="006C71CC"/>
    <w:rsid w:val="006D1767"/>
    <w:rsid w:val="006D2549"/>
    <w:rsid w:val="006D57A6"/>
    <w:rsid w:val="006E0493"/>
    <w:rsid w:val="006E1F9C"/>
    <w:rsid w:val="006E43A4"/>
    <w:rsid w:val="006E473F"/>
    <w:rsid w:val="006E4749"/>
    <w:rsid w:val="006E78AA"/>
    <w:rsid w:val="006F3A78"/>
    <w:rsid w:val="006F4368"/>
    <w:rsid w:val="006F474C"/>
    <w:rsid w:val="006F5C79"/>
    <w:rsid w:val="006F6763"/>
    <w:rsid w:val="006F720E"/>
    <w:rsid w:val="00701CFA"/>
    <w:rsid w:val="007020C9"/>
    <w:rsid w:val="00703E1B"/>
    <w:rsid w:val="00704649"/>
    <w:rsid w:val="0071116A"/>
    <w:rsid w:val="00712B7B"/>
    <w:rsid w:val="00712E20"/>
    <w:rsid w:val="00713B56"/>
    <w:rsid w:val="00720630"/>
    <w:rsid w:val="00721905"/>
    <w:rsid w:val="00727F85"/>
    <w:rsid w:val="00730980"/>
    <w:rsid w:val="00732091"/>
    <w:rsid w:val="007338D5"/>
    <w:rsid w:val="00736019"/>
    <w:rsid w:val="00741354"/>
    <w:rsid w:val="00741EC1"/>
    <w:rsid w:val="00742386"/>
    <w:rsid w:val="007464FC"/>
    <w:rsid w:val="007465BF"/>
    <w:rsid w:val="0075240B"/>
    <w:rsid w:val="007559A1"/>
    <w:rsid w:val="00755F81"/>
    <w:rsid w:val="0075664D"/>
    <w:rsid w:val="0076027E"/>
    <w:rsid w:val="00761B56"/>
    <w:rsid w:val="0076393F"/>
    <w:rsid w:val="007656DE"/>
    <w:rsid w:val="00770F7E"/>
    <w:rsid w:val="007717E2"/>
    <w:rsid w:val="007732C5"/>
    <w:rsid w:val="0077632A"/>
    <w:rsid w:val="0078118B"/>
    <w:rsid w:val="00781A0F"/>
    <w:rsid w:val="00793BA3"/>
    <w:rsid w:val="007A0668"/>
    <w:rsid w:val="007A279F"/>
    <w:rsid w:val="007A60C5"/>
    <w:rsid w:val="007B03EB"/>
    <w:rsid w:val="007B40B3"/>
    <w:rsid w:val="007B4630"/>
    <w:rsid w:val="007B49F2"/>
    <w:rsid w:val="007B6983"/>
    <w:rsid w:val="007B723C"/>
    <w:rsid w:val="007C1BBB"/>
    <w:rsid w:val="007C2946"/>
    <w:rsid w:val="007C4980"/>
    <w:rsid w:val="007C5561"/>
    <w:rsid w:val="007D0A18"/>
    <w:rsid w:val="007D5721"/>
    <w:rsid w:val="007E4026"/>
    <w:rsid w:val="007E5E92"/>
    <w:rsid w:val="007F0A44"/>
    <w:rsid w:val="007F0E41"/>
    <w:rsid w:val="007F366A"/>
    <w:rsid w:val="007F3895"/>
    <w:rsid w:val="0080188F"/>
    <w:rsid w:val="0080327A"/>
    <w:rsid w:val="00803A1A"/>
    <w:rsid w:val="00810CA1"/>
    <w:rsid w:val="00813C79"/>
    <w:rsid w:val="0081646C"/>
    <w:rsid w:val="00816B46"/>
    <w:rsid w:val="00820EA0"/>
    <w:rsid w:val="00824A20"/>
    <w:rsid w:val="00826433"/>
    <w:rsid w:val="008278F7"/>
    <w:rsid w:val="00837451"/>
    <w:rsid w:val="00841A15"/>
    <w:rsid w:val="00842C9C"/>
    <w:rsid w:val="0084379B"/>
    <w:rsid w:val="00844D2E"/>
    <w:rsid w:val="00845CFB"/>
    <w:rsid w:val="008466C2"/>
    <w:rsid w:val="00847D59"/>
    <w:rsid w:val="00850F25"/>
    <w:rsid w:val="0085102F"/>
    <w:rsid w:val="00853E63"/>
    <w:rsid w:val="0085558B"/>
    <w:rsid w:val="00863943"/>
    <w:rsid w:val="00866505"/>
    <w:rsid w:val="0086755D"/>
    <w:rsid w:val="00882190"/>
    <w:rsid w:val="00884C6E"/>
    <w:rsid w:val="008861D7"/>
    <w:rsid w:val="008904C4"/>
    <w:rsid w:val="00891188"/>
    <w:rsid w:val="00891D12"/>
    <w:rsid w:val="008928AD"/>
    <w:rsid w:val="00894CDC"/>
    <w:rsid w:val="00895D62"/>
    <w:rsid w:val="00896197"/>
    <w:rsid w:val="0089624F"/>
    <w:rsid w:val="00896C13"/>
    <w:rsid w:val="0089796D"/>
    <w:rsid w:val="008A02A5"/>
    <w:rsid w:val="008A0858"/>
    <w:rsid w:val="008A2D4C"/>
    <w:rsid w:val="008A373F"/>
    <w:rsid w:val="008A42C5"/>
    <w:rsid w:val="008A5DEC"/>
    <w:rsid w:val="008B16D3"/>
    <w:rsid w:val="008B1968"/>
    <w:rsid w:val="008C00BB"/>
    <w:rsid w:val="008C2E8B"/>
    <w:rsid w:val="008C59BA"/>
    <w:rsid w:val="008D272D"/>
    <w:rsid w:val="008D4742"/>
    <w:rsid w:val="008D538A"/>
    <w:rsid w:val="008D5A8E"/>
    <w:rsid w:val="008D7754"/>
    <w:rsid w:val="008E0E30"/>
    <w:rsid w:val="008E213B"/>
    <w:rsid w:val="008E2D5D"/>
    <w:rsid w:val="008E3F84"/>
    <w:rsid w:val="008E73D2"/>
    <w:rsid w:val="008F2B22"/>
    <w:rsid w:val="008F38E1"/>
    <w:rsid w:val="008F56C5"/>
    <w:rsid w:val="008F7818"/>
    <w:rsid w:val="00900E91"/>
    <w:rsid w:val="00901C9C"/>
    <w:rsid w:val="00902F7C"/>
    <w:rsid w:val="00903E2D"/>
    <w:rsid w:val="00905781"/>
    <w:rsid w:val="00905CA0"/>
    <w:rsid w:val="00906F27"/>
    <w:rsid w:val="00910861"/>
    <w:rsid w:val="00913AB7"/>
    <w:rsid w:val="009176B8"/>
    <w:rsid w:val="00917C0B"/>
    <w:rsid w:val="00922B27"/>
    <w:rsid w:val="00925425"/>
    <w:rsid w:val="00926F5E"/>
    <w:rsid w:val="00927755"/>
    <w:rsid w:val="0093121E"/>
    <w:rsid w:val="0093195D"/>
    <w:rsid w:val="00931E16"/>
    <w:rsid w:val="00931F4E"/>
    <w:rsid w:val="009332E4"/>
    <w:rsid w:val="00934E51"/>
    <w:rsid w:val="00934E74"/>
    <w:rsid w:val="009352A3"/>
    <w:rsid w:val="0094194B"/>
    <w:rsid w:val="00942300"/>
    <w:rsid w:val="0094289B"/>
    <w:rsid w:val="00946A67"/>
    <w:rsid w:val="00947A13"/>
    <w:rsid w:val="009519B9"/>
    <w:rsid w:val="009550DA"/>
    <w:rsid w:val="0095568F"/>
    <w:rsid w:val="00956A14"/>
    <w:rsid w:val="00957994"/>
    <w:rsid w:val="0096309C"/>
    <w:rsid w:val="00963BB5"/>
    <w:rsid w:val="0096440C"/>
    <w:rsid w:val="00964A5A"/>
    <w:rsid w:val="00965F10"/>
    <w:rsid w:val="00973BAA"/>
    <w:rsid w:val="00976649"/>
    <w:rsid w:val="00977208"/>
    <w:rsid w:val="00983315"/>
    <w:rsid w:val="00983A79"/>
    <w:rsid w:val="009852D0"/>
    <w:rsid w:val="00986E94"/>
    <w:rsid w:val="0099094A"/>
    <w:rsid w:val="00990EAA"/>
    <w:rsid w:val="00991858"/>
    <w:rsid w:val="00992DBC"/>
    <w:rsid w:val="0099319F"/>
    <w:rsid w:val="00996B95"/>
    <w:rsid w:val="009A2FBF"/>
    <w:rsid w:val="009A7E10"/>
    <w:rsid w:val="009A7ECE"/>
    <w:rsid w:val="009B30C8"/>
    <w:rsid w:val="009C0B34"/>
    <w:rsid w:val="009C52A1"/>
    <w:rsid w:val="009C6103"/>
    <w:rsid w:val="009D266E"/>
    <w:rsid w:val="009D456D"/>
    <w:rsid w:val="009D6397"/>
    <w:rsid w:val="009D644B"/>
    <w:rsid w:val="009D667F"/>
    <w:rsid w:val="009D774E"/>
    <w:rsid w:val="009E3474"/>
    <w:rsid w:val="009E4C0A"/>
    <w:rsid w:val="009E726B"/>
    <w:rsid w:val="009E7F98"/>
    <w:rsid w:val="009F16D2"/>
    <w:rsid w:val="009F238D"/>
    <w:rsid w:val="009F2E5D"/>
    <w:rsid w:val="009F62C9"/>
    <w:rsid w:val="00A04C63"/>
    <w:rsid w:val="00A06489"/>
    <w:rsid w:val="00A07367"/>
    <w:rsid w:val="00A115A4"/>
    <w:rsid w:val="00A12543"/>
    <w:rsid w:val="00A12F97"/>
    <w:rsid w:val="00A133D0"/>
    <w:rsid w:val="00A16F76"/>
    <w:rsid w:val="00A17A44"/>
    <w:rsid w:val="00A17ACB"/>
    <w:rsid w:val="00A2184D"/>
    <w:rsid w:val="00A21980"/>
    <w:rsid w:val="00A26B06"/>
    <w:rsid w:val="00A3126F"/>
    <w:rsid w:val="00A313CE"/>
    <w:rsid w:val="00A31C17"/>
    <w:rsid w:val="00A31FB4"/>
    <w:rsid w:val="00A341A2"/>
    <w:rsid w:val="00A375FF"/>
    <w:rsid w:val="00A4368D"/>
    <w:rsid w:val="00A43DCC"/>
    <w:rsid w:val="00A45EC8"/>
    <w:rsid w:val="00A478A2"/>
    <w:rsid w:val="00A5119C"/>
    <w:rsid w:val="00A5172C"/>
    <w:rsid w:val="00A52CAC"/>
    <w:rsid w:val="00A52D79"/>
    <w:rsid w:val="00A52FBF"/>
    <w:rsid w:val="00A54DBD"/>
    <w:rsid w:val="00A557B2"/>
    <w:rsid w:val="00A56E4C"/>
    <w:rsid w:val="00A604E5"/>
    <w:rsid w:val="00A63725"/>
    <w:rsid w:val="00A64116"/>
    <w:rsid w:val="00A64F3E"/>
    <w:rsid w:val="00A66774"/>
    <w:rsid w:val="00A758E3"/>
    <w:rsid w:val="00A77EB3"/>
    <w:rsid w:val="00A824E0"/>
    <w:rsid w:val="00A84C32"/>
    <w:rsid w:val="00A85C0A"/>
    <w:rsid w:val="00A85E4F"/>
    <w:rsid w:val="00A86355"/>
    <w:rsid w:val="00A86548"/>
    <w:rsid w:val="00A87E98"/>
    <w:rsid w:val="00A9019F"/>
    <w:rsid w:val="00A90400"/>
    <w:rsid w:val="00A91AC6"/>
    <w:rsid w:val="00A91EC6"/>
    <w:rsid w:val="00A9379F"/>
    <w:rsid w:val="00A93BC8"/>
    <w:rsid w:val="00A93F0D"/>
    <w:rsid w:val="00A946D8"/>
    <w:rsid w:val="00AA0B95"/>
    <w:rsid w:val="00AA1752"/>
    <w:rsid w:val="00AA20FC"/>
    <w:rsid w:val="00AA3145"/>
    <w:rsid w:val="00AA40E6"/>
    <w:rsid w:val="00AA69F9"/>
    <w:rsid w:val="00AA6E1A"/>
    <w:rsid w:val="00AA6EB5"/>
    <w:rsid w:val="00AB3361"/>
    <w:rsid w:val="00AB44F2"/>
    <w:rsid w:val="00AB7C71"/>
    <w:rsid w:val="00AC2166"/>
    <w:rsid w:val="00AC2790"/>
    <w:rsid w:val="00AC5112"/>
    <w:rsid w:val="00AC68DC"/>
    <w:rsid w:val="00AC746F"/>
    <w:rsid w:val="00AD0004"/>
    <w:rsid w:val="00AD39C4"/>
    <w:rsid w:val="00AD3BD3"/>
    <w:rsid w:val="00AD3F79"/>
    <w:rsid w:val="00AD5E1E"/>
    <w:rsid w:val="00AD750A"/>
    <w:rsid w:val="00AE08F5"/>
    <w:rsid w:val="00AE37D6"/>
    <w:rsid w:val="00AE56D9"/>
    <w:rsid w:val="00AE79EF"/>
    <w:rsid w:val="00AE7BD2"/>
    <w:rsid w:val="00AF0EF7"/>
    <w:rsid w:val="00AF3627"/>
    <w:rsid w:val="00AF38AA"/>
    <w:rsid w:val="00AF596E"/>
    <w:rsid w:val="00B06F5A"/>
    <w:rsid w:val="00B11654"/>
    <w:rsid w:val="00B1177D"/>
    <w:rsid w:val="00B140A9"/>
    <w:rsid w:val="00B15440"/>
    <w:rsid w:val="00B15CFF"/>
    <w:rsid w:val="00B16CA1"/>
    <w:rsid w:val="00B17828"/>
    <w:rsid w:val="00B211C0"/>
    <w:rsid w:val="00B24C38"/>
    <w:rsid w:val="00B26640"/>
    <w:rsid w:val="00B30548"/>
    <w:rsid w:val="00B30A08"/>
    <w:rsid w:val="00B3102B"/>
    <w:rsid w:val="00B32EBA"/>
    <w:rsid w:val="00B37B25"/>
    <w:rsid w:val="00B40DBF"/>
    <w:rsid w:val="00B43CC5"/>
    <w:rsid w:val="00B44649"/>
    <w:rsid w:val="00B44DD5"/>
    <w:rsid w:val="00B45DC6"/>
    <w:rsid w:val="00B461E5"/>
    <w:rsid w:val="00B469E9"/>
    <w:rsid w:val="00B50D8F"/>
    <w:rsid w:val="00B51F46"/>
    <w:rsid w:val="00B56D51"/>
    <w:rsid w:val="00B61EE7"/>
    <w:rsid w:val="00B6279D"/>
    <w:rsid w:val="00B66E10"/>
    <w:rsid w:val="00B725B5"/>
    <w:rsid w:val="00B72769"/>
    <w:rsid w:val="00B76B6B"/>
    <w:rsid w:val="00B76F8B"/>
    <w:rsid w:val="00B7780B"/>
    <w:rsid w:val="00B8089A"/>
    <w:rsid w:val="00B81528"/>
    <w:rsid w:val="00B82A31"/>
    <w:rsid w:val="00B86353"/>
    <w:rsid w:val="00B863F6"/>
    <w:rsid w:val="00B876C8"/>
    <w:rsid w:val="00B90203"/>
    <w:rsid w:val="00B90A38"/>
    <w:rsid w:val="00B9108A"/>
    <w:rsid w:val="00B91C9A"/>
    <w:rsid w:val="00B9716D"/>
    <w:rsid w:val="00BA0B90"/>
    <w:rsid w:val="00BA2DD1"/>
    <w:rsid w:val="00BA37C3"/>
    <w:rsid w:val="00BA76A9"/>
    <w:rsid w:val="00BC39CF"/>
    <w:rsid w:val="00BC5BB0"/>
    <w:rsid w:val="00BD1A7D"/>
    <w:rsid w:val="00BD1B56"/>
    <w:rsid w:val="00BD3655"/>
    <w:rsid w:val="00BD520D"/>
    <w:rsid w:val="00BD765D"/>
    <w:rsid w:val="00BE0DE7"/>
    <w:rsid w:val="00BF0625"/>
    <w:rsid w:val="00BF0B5C"/>
    <w:rsid w:val="00BF31B9"/>
    <w:rsid w:val="00BF51B6"/>
    <w:rsid w:val="00BF6685"/>
    <w:rsid w:val="00BF68E0"/>
    <w:rsid w:val="00C0409B"/>
    <w:rsid w:val="00C13078"/>
    <w:rsid w:val="00C1387C"/>
    <w:rsid w:val="00C16155"/>
    <w:rsid w:val="00C223D3"/>
    <w:rsid w:val="00C22FBA"/>
    <w:rsid w:val="00C2513F"/>
    <w:rsid w:val="00C25291"/>
    <w:rsid w:val="00C25822"/>
    <w:rsid w:val="00C31948"/>
    <w:rsid w:val="00C32541"/>
    <w:rsid w:val="00C33ECC"/>
    <w:rsid w:val="00C349A6"/>
    <w:rsid w:val="00C40D98"/>
    <w:rsid w:val="00C42F47"/>
    <w:rsid w:val="00C4491B"/>
    <w:rsid w:val="00C45596"/>
    <w:rsid w:val="00C56B80"/>
    <w:rsid w:val="00C57454"/>
    <w:rsid w:val="00C57496"/>
    <w:rsid w:val="00C606B6"/>
    <w:rsid w:val="00C60BFE"/>
    <w:rsid w:val="00C61CA2"/>
    <w:rsid w:val="00C61FA0"/>
    <w:rsid w:val="00C6335C"/>
    <w:rsid w:val="00C70B00"/>
    <w:rsid w:val="00C7427A"/>
    <w:rsid w:val="00C75B46"/>
    <w:rsid w:val="00C7638C"/>
    <w:rsid w:val="00C77C15"/>
    <w:rsid w:val="00C8038F"/>
    <w:rsid w:val="00C80453"/>
    <w:rsid w:val="00C85D3D"/>
    <w:rsid w:val="00C87F69"/>
    <w:rsid w:val="00C926E8"/>
    <w:rsid w:val="00C93C6B"/>
    <w:rsid w:val="00C94773"/>
    <w:rsid w:val="00CA29AB"/>
    <w:rsid w:val="00CB212E"/>
    <w:rsid w:val="00CB6793"/>
    <w:rsid w:val="00CC0A7F"/>
    <w:rsid w:val="00CD329B"/>
    <w:rsid w:val="00CD3471"/>
    <w:rsid w:val="00CD5DF2"/>
    <w:rsid w:val="00CD7CBD"/>
    <w:rsid w:val="00CE01A5"/>
    <w:rsid w:val="00CE10FB"/>
    <w:rsid w:val="00CE1280"/>
    <w:rsid w:val="00CE2E52"/>
    <w:rsid w:val="00CE3333"/>
    <w:rsid w:val="00CE61D0"/>
    <w:rsid w:val="00CE7398"/>
    <w:rsid w:val="00CF1B64"/>
    <w:rsid w:val="00CF230B"/>
    <w:rsid w:val="00CF4D68"/>
    <w:rsid w:val="00CF60C1"/>
    <w:rsid w:val="00CF6D02"/>
    <w:rsid w:val="00CF6F15"/>
    <w:rsid w:val="00CF7387"/>
    <w:rsid w:val="00CF7FB5"/>
    <w:rsid w:val="00D00102"/>
    <w:rsid w:val="00D003D7"/>
    <w:rsid w:val="00D02AF8"/>
    <w:rsid w:val="00D02C6F"/>
    <w:rsid w:val="00D0798B"/>
    <w:rsid w:val="00D14760"/>
    <w:rsid w:val="00D152EA"/>
    <w:rsid w:val="00D153FE"/>
    <w:rsid w:val="00D21AF5"/>
    <w:rsid w:val="00D229CC"/>
    <w:rsid w:val="00D268A9"/>
    <w:rsid w:val="00D47103"/>
    <w:rsid w:val="00D478EC"/>
    <w:rsid w:val="00D4799C"/>
    <w:rsid w:val="00D5359B"/>
    <w:rsid w:val="00D54933"/>
    <w:rsid w:val="00D5658D"/>
    <w:rsid w:val="00D60B55"/>
    <w:rsid w:val="00D6143B"/>
    <w:rsid w:val="00D656CB"/>
    <w:rsid w:val="00D6606E"/>
    <w:rsid w:val="00D7118A"/>
    <w:rsid w:val="00D71E54"/>
    <w:rsid w:val="00D75CF3"/>
    <w:rsid w:val="00D774CD"/>
    <w:rsid w:val="00D7797A"/>
    <w:rsid w:val="00D8098E"/>
    <w:rsid w:val="00D81DB2"/>
    <w:rsid w:val="00D83DF6"/>
    <w:rsid w:val="00D84385"/>
    <w:rsid w:val="00D849AA"/>
    <w:rsid w:val="00D8683C"/>
    <w:rsid w:val="00D91499"/>
    <w:rsid w:val="00D93372"/>
    <w:rsid w:val="00D950A1"/>
    <w:rsid w:val="00DA31BD"/>
    <w:rsid w:val="00DA4D77"/>
    <w:rsid w:val="00DA5614"/>
    <w:rsid w:val="00DA7495"/>
    <w:rsid w:val="00DA7AED"/>
    <w:rsid w:val="00DB2A70"/>
    <w:rsid w:val="00DB366B"/>
    <w:rsid w:val="00DB428A"/>
    <w:rsid w:val="00DB4896"/>
    <w:rsid w:val="00DB4DBA"/>
    <w:rsid w:val="00DB58D4"/>
    <w:rsid w:val="00DC29D9"/>
    <w:rsid w:val="00DD0411"/>
    <w:rsid w:val="00DD2A4D"/>
    <w:rsid w:val="00DE17A7"/>
    <w:rsid w:val="00DE4AEC"/>
    <w:rsid w:val="00DE5CF4"/>
    <w:rsid w:val="00DE605E"/>
    <w:rsid w:val="00DF1687"/>
    <w:rsid w:val="00DF17B7"/>
    <w:rsid w:val="00DF317B"/>
    <w:rsid w:val="00DF64A4"/>
    <w:rsid w:val="00E00330"/>
    <w:rsid w:val="00E01D4B"/>
    <w:rsid w:val="00E0316B"/>
    <w:rsid w:val="00E03E2D"/>
    <w:rsid w:val="00E04EF5"/>
    <w:rsid w:val="00E06A28"/>
    <w:rsid w:val="00E1165D"/>
    <w:rsid w:val="00E153E9"/>
    <w:rsid w:val="00E16E54"/>
    <w:rsid w:val="00E21ADD"/>
    <w:rsid w:val="00E27795"/>
    <w:rsid w:val="00E307D2"/>
    <w:rsid w:val="00E30D28"/>
    <w:rsid w:val="00E350D4"/>
    <w:rsid w:val="00E35312"/>
    <w:rsid w:val="00E364B3"/>
    <w:rsid w:val="00E36B1A"/>
    <w:rsid w:val="00E37B4F"/>
    <w:rsid w:val="00E41148"/>
    <w:rsid w:val="00E45E04"/>
    <w:rsid w:val="00E47883"/>
    <w:rsid w:val="00E522CE"/>
    <w:rsid w:val="00E52310"/>
    <w:rsid w:val="00E52505"/>
    <w:rsid w:val="00E55FBE"/>
    <w:rsid w:val="00E60F82"/>
    <w:rsid w:val="00E63DD3"/>
    <w:rsid w:val="00E67D6A"/>
    <w:rsid w:val="00E70398"/>
    <w:rsid w:val="00E71544"/>
    <w:rsid w:val="00E722A1"/>
    <w:rsid w:val="00E73055"/>
    <w:rsid w:val="00E80198"/>
    <w:rsid w:val="00E8427E"/>
    <w:rsid w:val="00E85057"/>
    <w:rsid w:val="00E908D2"/>
    <w:rsid w:val="00E91475"/>
    <w:rsid w:val="00E924E3"/>
    <w:rsid w:val="00EA013B"/>
    <w:rsid w:val="00EA1274"/>
    <w:rsid w:val="00EA3BF5"/>
    <w:rsid w:val="00EA65E8"/>
    <w:rsid w:val="00EA6CAB"/>
    <w:rsid w:val="00EA73DC"/>
    <w:rsid w:val="00EB38EB"/>
    <w:rsid w:val="00EB4F7E"/>
    <w:rsid w:val="00EB56BA"/>
    <w:rsid w:val="00EB5C5F"/>
    <w:rsid w:val="00EB6EC7"/>
    <w:rsid w:val="00EB7381"/>
    <w:rsid w:val="00EC4B2D"/>
    <w:rsid w:val="00EC7B04"/>
    <w:rsid w:val="00ED157A"/>
    <w:rsid w:val="00ED1E2A"/>
    <w:rsid w:val="00ED285C"/>
    <w:rsid w:val="00ED4B33"/>
    <w:rsid w:val="00ED5CCF"/>
    <w:rsid w:val="00ED5D70"/>
    <w:rsid w:val="00ED710C"/>
    <w:rsid w:val="00ED7E5D"/>
    <w:rsid w:val="00EE66DD"/>
    <w:rsid w:val="00EE6E06"/>
    <w:rsid w:val="00EE736E"/>
    <w:rsid w:val="00EF28A2"/>
    <w:rsid w:val="00EF342C"/>
    <w:rsid w:val="00EF4650"/>
    <w:rsid w:val="00EF5B10"/>
    <w:rsid w:val="00F01DE4"/>
    <w:rsid w:val="00F02D9D"/>
    <w:rsid w:val="00F04A80"/>
    <w:rsid w:val="00F05532"/>
    <w:rsid w:val="00F100CA"/>
    <w:rsid w:val="00F10DD5"/>
    <w:rsid w:val="00F16358"/>
    <w:rsid w:val="00F16AC8"/>
    <w:rsid w:val="00F209C3"/>
    <w:rsid w:val="00F20B3B"/>
    <w:rsid w:val="00F213DE"/>
    <w:rsid w:val="00F21C2B"/>
    <w:rsid w:val="00F23B23"/>
    <w:rsid w:val="00F24DD7"/>
    <w:rsid w:val="00F25747"/>
    <w:rsid w:val="00F257EC"/>
    <w:rsid w:val="00F316FC"/>
    <w:rsid w:val="00F31F10"/>
    <w:rsid w:val="00F34D8C"/>
    <w:rsid w:val="00F3511B"/>
    <w:rsid w:val="00F37DF1"/>
    <w:rsid w:val="00F40E95"/>
    <w:rsid w:val="00F54392"/>
    <w:rsid w:val="00F54A93"/>
    <w:rsid w:val="00F575BE"/>
    <w:rsid w:val="00F6387C"/>
    <w:rsid w:val="00F64E9D"/>
    <w:rsid w:val="00F65657"/>
    <w:rsid w:val="00F67A42"/>
    <w:rsid w:val="00F7357C"/>
    <w:rsid w:val="00F75831"/>
    <w:rsid w:val="00F75AFE"/>
    <w:rsid w:val="00F75C35"/>
    <w:rsid w:val="00F77ADE"/>
    <w:rsid w:val="00F91D8C"/>
    <w:rsid w:val="00FA0DB1"/>
    <w:rsid w:val="00FA1612"/>
    <w:rsid w:val="00FA18D7"/>
    <w:rsid w:val="00FA4A82"/>
    <w:rsid w:val="00FA5CFD"/>
    <w:rsid w:val="00FB017A"/>
    <w:rsid w:val="00FB0361"/>
    <w:rsid w:val="00FB268A"/>
    <w:rsid w:val="00FB4DDF"/>
    <w:rsid w:val="00FB7908"/>
    <w:rsid w:val="00FC1797"/>
    <w:rsid w:val="00FC2236"/>
    <w:rsid w:val="00FC342C"/>
    <w:rsid w:val="00FC35EF"/>
    <w:rsid w:val="00FC5769"/>
    <w:rsid w:val="00FC733F"/>
    <w:rsid w:val="00FD086D"/>
    <w:rsid w:val="00FD787E"/>
    <w:rsid w:val="00FE0E13"/>
    <w:rsid w:val="00FE28A2"/>
    <w:rsid w:val="00FE3A4A"/>
    <w:rsid w:val="00FE7E0E"/>
    <w:rsid w:val="00FF0E42"/>
    <w:rsid w:val="00FF245A"/>
    <w:rsid w:val="00FF3552"/>
    <w:rsid w:val="00FF46F3"/>
    <w:rsid w:val="00FF5858"/>
    <w:rsid w:val="00FF6823"/>
    <w:rsid w:val="00FF738D"/>
    <w:rsid w:val="00FF792F"/>
    <w:rsid w:val="020F571C"/>
    <w:rsid w:val="026FBD7E"/>
    <w:rsid w:val="039E95C4"/>
    <w:rsid w:val="0448391E"/>
    <w:rsid w:val="04AB6C9F"/>
    <w:rsid w:val="051B612A"/>
    <w:rsid w:val="053C6285"/>
    <w:rsid w:val="054A7EFC"/>
    <w:rsid w:val="084C8BB8"/>
    <w:rsid w:val="08534067"/>
    <w:rsid w:val="08E1CEF7"/>
    <w:rsid w:val="0A85E2E4"/>
    <w:rsid w:val="0C6EE80C"/>
    <w:rsid w:val="0D0D04EA"/>
    <w:rsid w:val="0E46826A"/>
    <w:rsid w:val="0EDCCAE5"/>
    <w:rsid w:val="0FBE0252"/>
    <w:rsid w:val="120401B3"/>
    <w:rsid w:val="1271AC21"/>
    <w:rsid w:val="14E760F6"/>
    <w:rsid w:val="1645F26A"/>
    <w:rsid w:val="16911CAE"/>
    <w:rsid w:val="16943BF5"/>
    <w:rsid w:val="18D54F62"/>
    <w:rsid w:val="1B0F5719"/>
    <w:rsid w:val="1C696F93"/>
    <w:rsid w:val="1DB738E1"/>
    <w:rsid w:val="1DF3BA67"/>
    <w:rsid w:val="1E3A01E6"/>
    <w:rsid w:val="1E7DC3C7"/>
    <w:rsid w:val="1F61F136"/>
    <w:rsid w:val="21644387"/>
    <w:rsid w:val="221D8D6C"/>
    <w:rsid w:val="223766B2"/>
    <w:rsid w:val="22B910E7"/>
    <w:rsid w:val="22C1A546"/>
    <w:rsid w:val="235B1B06"/>
    <w:rsid w:val="2404A258"/>
    <w:rsid w:val="25227436"/>
    <w:rsid w:val="25453ACE"/>
    <w:rsid w:val="29134714"/>
    <w:rsid w:val="29999285"/>
    <w:rsid w:val="29C1E914"/>
    <w:rsid w:val="2AF5C63E"/>
    <w:rsid w:val="2AF5FA50"/>
    <w:rsid w:val="2BC498F9"/>
    <w:rsid w:val="2C22F190"/>
    <w:rsid w:val="2C3DC4F6"/>
    <w:rsid w:val="2EA90C6E"/>
    <w:rsid w:val="2F5A8604"/>
    <w:rsid w:val="2F943A1F"/>
    <w:rsid w:val="300662B3"/>
    <w:rsid w:val="3056B70B"/>
    <w:rsid w:val="312CD876"/>
    <w:rsid w:val="31641BD0"/>
    <w:rsid w:val="328D4502"/>
    <w:rsid w:val="337C7D1A"/>
    <w:rsid w:val="340A77C7"/>
    <w:rsid w:val="347733AC"/>
    <w:rsid w:val="34C1F151"/>
    <w:rsid w:val="35086769"/>
    <w:rsid w:val="35CD6428"/>
    <w:rsid w:val="37C6A878"/>
    <w:rsid w:val="388FF7EE"/>
    <w:rsid w:val="38B01374"/>
    <w:rsid w:val="38EFA64F"/>
    <w:rsid w:val="3ADC9125"/>
    <w:rsid w:val="3B24EF91"/>
    <w:rsid w:val="3FACE93C"/>
    <w:rsid w:val="41139BC7"/>
    <w:rsid w:val="41656CD1"/>
    <w:rsid w:val="4170F5D2"/>
    <w:rsid w:val="433B9262"/>
    <w:rsid w:val="4349190D"/>
    <w:rsid w:val="450E6728"/>
    <w:rsid w:val="458E750D"/>
    <w:rsid w:val="47877C97"/>
    <w:rsid w:val="48219519"/>
    <w:rsid w:val="48D388CF"/>
    <w:rsid w:val="497EF2FB"/>
    <w:rsid w:val="4A67591D"/>
    <w:rsid w:val="4A8FD9AD"/>
    <w:rsid w:val="4CF2B751"/>
    <w:rsid w:val="4D8E1455"/>
    <w:rsid w:val="501E5688"/>
    <w:rsid w:val="50F07F3C"/>
    <w:rsid w:val="5189654B"/>
    <w:rsid w:val="529CFD3F"/>
    <w:rsid w:val="53017C6F"/>
    <w:rsid w:val="542AE168"/>
    <w:rsid w:val="557E5AC0"/>
    <w:rsid w:val="55CEF6BF"/>
    <w:rsid w:val="57A9F829"/>
    <w:rsid w:val="58495C5E"/>
    <w:rsid w:val="591DA6D3"/>
    <w:rsid w:val="593F34D4"/>
    <w:rsid w:val="5965D18A"/>
    <w:rsid w:val="5A021D6C"/>
    <w:rsid w:val="5ACBD420"/>
    <w:rsid w:val="5B622C79"/>
    <w:rsid w:val="5C9168D0"/>
    <w:rsid w:val="5D180163"/>
    <w:rsid w:val="5F8F8BEE"/>
    <w:rsid w:val="621BD870"/>
    <w:rsid w:val="62AF1343"/>
    <w:rsid w:val="62BADF70"/>
    <w:rsid w:val="6448502B"/>
    <w:rsid w:val="658D006B"/>
    <w:rsid w:val="65DDBA1E"/>
    <w:rsid w:val="661FD9A1"/>
    <w:rsid w:val="68416876"/>
    <w:rsid w:val="689D99A4"/>
    <w:rsid w:val="6C406D26"/>
    <w:rsid w:val="6F34C9CB"/>
    <w:rsid w:val="6FC3DE2A"/>
    <w:rsid w:val="70D50F1C"/>
    <w:rsid w:val="710C6F38"/>
    <w:rsid w:val="71C7DC7E"/>
    <w:rsid w:val="73B1E987"/>
    <w:rsid w:val="73E630D0"/>
    <w:rsid w:val="7406239C"/>
    <w:rsid w:val="74422259"/>
    <w:rsid w:val="744F990B"/>
    <w:rsid w:val="745DA137"/>
    <w:rsid w:val="74D3483C"/>
    <w:rsid w:val="751716AA"/>
    <w:rsid w:val="752566C2"/>
    <w:rsid w:val="7567E817"/>
    <w:rsid w:val="768668C4"/>
    <w:rsid w:val="779B7313"/>
    <w:rsid w:val="789C36F3"/>
    <w:rsid w:val="794D1A14"/>
    <w:rsid w:val="7A946067"/>
    <w:rsid w:val="7AFF555B"/>
    <w:rsid w:val="7F201ED1"/>
    <w:rsid w:val="7F5562D2"/>
    <w:rsid w:val="7FA56E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D5313"/>
  <w15:chartTrackingRefBased/>
  <w15:docId w15:val="{E7EABD62-BB0F-471B-A974-B9AFE7285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qFormat/>
    <w:rsid w:val="0054570F"/>
  </w:style>
  <w:style w:type="paragraph" w:styleId="Nagwek1">
    <w:name w:val="heading 1"/>
    <w:basedOn w:val="Normalny"/>
    <w:next w:val="Normalny"/>
    <w:uiPriority w:val="9"/>
    <w:qFormat/>
    <w:rsid w:val="002D1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uiPriority w:val="9"/>
    <w:semiHidden/>
    <w:unhideWhenUsed/>
    <w:qFormat/>
    <w:rsid w:val="002D1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uiPriority w:val="9"/>
    <w:semiHidden/>
    <w:unhideWhenUsed/>
    <w:qFormat/>
    <w:rsid w:val="002D1E9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uiPriority w:val="9"/>
    <w:semiHidden/>
    <w:unhideWhenUsed/>
    <w:qFormat/>
    <w:rsid w:val="002D1E9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uiPriority w:val="9"/>
    <w:semiHidden/>
    <w:unhideWhenUsed/>
    <w:qFormat/>
    <w:rsid w:val="002D1E9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uiPriority w:val="9"/>
    <w:semiHidden/>
    <w:unhideWhenUsed/>
    <w:qFormat/>
    <w:rsid w:val="002D1E9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uiPriority w:val="9"/>
    <w:semiHidden/>
    <w:unhideWhenUsed/>
    <w:qFormat/>
    <w:rsid w:val="002D1E9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uiPriority w:val="9"/>
    <w:semiHidden/>
    <w:unhideWhenUsed/>
    <w:qFormat/>
    <w:rsid w:val="002D1E9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uiPriority w:val="9"/>
    <w:semiHidden/>
    <w:unhideWhenUsed/>
    <w:qFormat/>
    <w:rsid w:val="002D1E9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D1E94"/>
    <w:pPr>
      <w:ind w:left="720"/>
      <w:contextualSpacing/>
    </w:pPr>
  </w:style>
  <w:style w:type="character" w:styleId="Wyrnienieintensywne">
    <w:name w:val="Intense Emphasis"/>
    <w:basedOn w:val="Domylnaczcionkaakapitu"/>
    <w:uiPriority w:val="21"/>
    <w:qFormat/>
    <w:rsid w:val="002D1E94"/>
    <w:rPr>
      <w:i/>
      <w:iCs/>
      <w:color w:val="0F4761" w:themeColor="accent1" w:themeShade="BF"/>
    </w:rPr>
  </w:style>
  <w:style w:type="character" w:styleId="Odwoanieintensywne">
    <w:name w:val="Intense Reference"/>
    <w:basedOn w:val="Domylnaczcionkaakapitu"/>
    <w:uiPriority w:val="32"/>
    <w:qFormat/>
    <w:rsid w:val="002D1E94"/>
    <w:rPr>
      <w:b/>
      <w:bCs/>
      <w:smallCaps/>
      <w:color w:val="0F4761" w:themeColor="accent1" w:themeShade="BF"/>
      <w:spacing w:val="5"/>
    </w:rPr>
  </w:style>
  <w:style w:type="character" w:styleId="Hipercze">
    <w:name w:val="Hyperlink"/>
    <w:basedOn w:val="Domylnaczcionkaakapitu"/>
    <w:uiPriority w:val="99"/>
    <w:unhideWhenUsed/>
    <w:rsid w:val="003D1096"/>
    <w:rPr>
      <w:color w:val="467886" w:themeColor="hyperlink"/>
      <w:u w:val="single"/>
    </w:rPr>
  </w:style>
  <w:style w:type="character" w:styleId="Nierozpoznanawzmianka">
    <w:name w:val="Unresolved Mention"/>
    <w:basedOn w:val="Domylnaczcionkaakapitu"/>
    <w:uiPriority w:val="99"/>
    <w:semiHidden/>
    <w:unhideWhenUsed/>
    <w:rsid w:val="003D1096"/>
    <w:rPr>
      <w:color w:val="605E5C"/>
      <w:shd w:val="clear" w:color="auto" w:fill="E1DFDD"/>
    </w:rPr>
  </w:style>
  <w:style w:type="character" w:styleId="UyteHipercze">
    <w:name w:val="FollowedHyperlink"/>
    <w:basedOn w:val="Domylnaczcionkaakapitu"/>
    <w:uiPriority w:val="99"/>
    <w:semiHidden/>
    <w:unhideWhenUsed/>
    <w:rsid w:val="00133654"/>
    <w:rPr>
      <w:color w:val="96607D" w:themeColor="followedHyperlink"/>
      <w:u w:val="single"/>
    </w:rPr>
  </w:style>
  <w:style w:type="character" w:customStyle="1" w:styleId="Heading1Char">
    <w:name w:val="Heading 1 Char"/>
    <w:basedOn w:val="Domylnaczcionkaakapitu"/>
    <w:uiPriority w:val="9"/>
    <w:rsid w:val="00193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omylnaczcionkaakapitu"/>
    <w:uiPriority w:val="9"/>
    <w:semiHidden/>
    <w:rsid w:val="00193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omylnaczcionkaakapitu"/>
    <w:uiPriority w:val="9"/>
    <w:semiHidden/>
    <w:rsid w:val="00193272"/>
    <w:rPr>
      <w:rFonts w:eastAsiaTheme="majorEastAsia" w:cstheme="majorBidi"/>
      <w:color w:val="0F4761" w:themeColor="accent1" w:themeShade="BF"/>
      <w:sz w:val="28"/>
      <w:szCs w:val="28"/>
    </w:rPr>
  </w:style>
  <w:style w:type="character" w:customStyle="1" w:styleId="Heading4Char">
    <w:name w:val="Heading 4 Char"/>
    <w:basedOn w:val="Domylnaczcionkaakapitu"/>
    <w:uiPriority w:val="9"/>
    <w:semiHidden/>
    <w:rsid w:val="00193272"/>
    <w:rPr>
      <w:rFonts w:eastAsiaTheme="majorEastAsia" w:cstheme="majorBidi"/>
      <w:i/>
      <w:iCs/>
      <w:color w:val="0F4761" w:themeColor="accent1" w:themeShade="BF"/>
    </w:rPr>
  </w:style>
  <w:style w:type="character" w:customStyle="1" w:styleId="Heading5Char">
    <w:name w:val="Heading 5 Char"/>
    <w:basedOn w:val="Domylnaczcionkaakapitu"/>
    <w:uiPriority w:val="9"/>
    <w:semiHidden/>
    <w:rsid w:val="00193272"/>
    <w:rPr>
      <w:rFonts w:eastAsiaTheme="majorEastAsia" w:cstheme="majorBidi"/>
      <w:color w:val="0F4761" w:themeColor="accent1" w:themeShade="BF"/>
    </w:rPr>
  </w:style>
  <w:style w:type="character" w:customStyle="1" w:styleId="Heading6Char">
    <w:name w:val="Heading 6 Char"/>
    <w:basedOn w:val="Domylnaczcionkaakapitu"/>
    <w:uiPriority w:val="9"/>
    <w:semiHidden/>
    <w:rsid w:val="00193272"/>
    <w:rPr>
      <w:rFonts w:eastAsiaTheme="majorEastAsia" w:cstheme="majorBidi"/>
      <w:i/>
      <w:iCs/>
      <w:color w:val="595959" w:themeColor="text1" w:themeTint="A6"/>
    </w:rPr>
  </w:style>
  <w:style w:type="character" w:customStyle="1" w:styleId="Heading7Char">
    <w:name w:val="Heading 7 Char"/>
    <w:basedOn w:val="Domylnaczcionkaakapitu"/>
    <w:uiPriority w:val="9"/>
    <w:semiHidden/>
    <w:rsid w:val="00193272"/>
    <w:rPr>
      <w:rFonts w:eastAsiaTheme="majorEastAsia" w:cstheme="majorBidi"/>
      <w:color w:val="595959" w:themeColor="text1" w:themeTint="A6"/>
    </w:rPr>
  </w:style>
  <w:style w:type="character" w:customStyle="1" w:styleId="Heading8Char">
    <w:name w:val="Heading 8 Char"/>
    <w:basedOn w:val="Domylnaczcionkaakapitu"/>
    <w:uiPriority w:val="9"/>
    <w:semiHidden/>
    <w:rsid w:val="00193272"/>
    <w:rPr>
      <w:rFonts w:eastAsiaTheme="majorEastAsia" w:cstheme="majorBidi"/>
      <w:i/>
      <w:iCs/>
      <w:color w:val="272727" w:themeColor="text1" w:themeTint="D8"/>
    </w:rPr>
  </w:style>
  <w:style w:type="character" w:customStyle="1" w:styleId="Heading9Char">
    <w:name w:val="Heading 9 Char"/>
    <w:basedOn w:val="Domylnaczcionkaakapitu"/>
    <w:uiPriority w:val="9"/>
    <w:semiHidden/>
    <w:rsid w:val="00193272"/>
    <w:rPr>
      <w:rFonts w:eastAsiaTheme="majorEastAsia" w:cstheme="majorBidi"/>
      <w:color w:val="272727" w:themeColor="text1" w:themeTint="D8"/>
    </w:rPr>
  </w:style>
  <w:style w:type="character" w:customStyle="1" w:styleId="TitleChar">
    <w:name w:val="Title Char"/>
    <w:basedOn w:val="Domylnaczcionkaakapitu"/>
    <w:uiPriority w:val="10"/>
    <w:rsid w:val="00193272"/>
    <w:rPr>
      <w:rFonts w:asciiTheme="majorHAnsi" w:eastAsiaTheme="majorEastAsia" w:hAnsiTheme="majorHAnsi" w:cstheme="majorBidi"/>
      <w:spacing w:val="-10"/>
      <w:kern w:val="28"/>
      <w:sz w:val="56"/>
      <w:szCs w:val="56"/>
    </w:rPr>
  </w:style>
  <w:style w:type="character" w:customStyle="1" w:styleId="SubtitleChar">
    <w:name w:val="Subtitle Char"/>
    <w:basedOn w:val="Domylnaczcionkaakapitu"/>
    <w:uiPriority w:val="11"/>
    <w:rsid w:val="00193272"/>
    <w:rPr>
      <w:rFonts w:eastAsiaTheme="majorEastAsia" w:cstheme="majorBidi"/>
      <w:color w:val="595959" w:themeColor="text1" w:themeTint="A6"/>
      <w:spacing w:val="15"/>
      <w:sz w:val="28"/>
      <w:szCs w:val="28"/>
    </w:rPr>
  </w:style>
  <w:style w:type="character" w:customStyle="1" w:styleId="QuoteChar">
    <w:name w:val="Quote Char"/>
    <w:basedOn w:val="Domylnaczcionkaakapitu"/>
    <w:uiPriority w:val="29"/>
    <w:rsid w:val="00193272"/>
    <w:rPr>
      <w:i/>
      <w:iCs/>
      <w:color w:val="404040" w:themeColor="text1" w:themeTint="BF"/>
    </w:rPr>
  </w:style>
  <w:style w:type="paragraph" w:styleId="Poprawka">
    <w:name w:val="Revision"/>
    <w:hidden/>
    <w:uiPriority w:val="99"/>
    <w:semiHidden/>
    <w:rsid w:val="00AD3BD3"/>
    <w:pPr>
      <w:spacing w:after="0" w:line="240" w:lineRule="auto"/>
    </w:pPr>
  </w:style>
  <w:style w:type="character" w:styleId="Odwoaniedokomentarza">
    <w:name w:val="annotation reference"/>
    <w:basedOn w:val="Domylnaczcionkaakapitu"/>
    <w:uiPriority w:val="99"/>
    <w:semiHidden/>
    <w:unhideWhenUsed/>
    <w:rsid w:val="007D0A18"/>
    <w:rPr>
      <w:sz w:val="16"/>
      <w:szCs w:val="16"/>
    </w:rPr>
  </w:style>
  <w:style w:type="paragraph" w:styleId="Tekstkomentarza">
    <w:name w:val="annotation text"/>
    <w:basedOn w:val="Normalny"/>
    <w:link w:val="TekstkomentarzaZnak"/>
    <w:uiPriority w:val="99"/>
    <w:unhideWhenUsed/>
    <w:rsid w:val="007D0A18"/>
    <w:pPr>
      <w:spacing w:line="240" w:lineRule="auto"/>
    </w:pPr>
    <w:rPr>
      <w:sz w:val="20"/>
      <w:szCs w:val="20"/>
    </w:rPr>
  </w:style>
  <w:style w:type="character" w:customStyle="1" w:styleId="TekstkomentarzaZnak">
    <w:name w:val="Tekst komentarza Znak"/>
    <w:basedOn w:val="Domylnaczcionkaakapitu"/>
    <w:link w:val="Tekstkomentarza"/>
    <w:uiPriority w:val="99"/>
    <w:rsid w:val="007D0A18"/>
    <w:rPr>
      <w:sz w:val="20"/>
      <w:szCs w:val="20"/>
    </w:rPr>
  </w:style>
  <w:style w:type="paragraph" w:styleId="Tematkomentarza">
    <w:name w:val="annotation subject"/>
    <w:basedOn w:val="Tekstkomentarza"/>
    <w:next w:val="Tekstkomentarza"/>
    <w:link w:val="TematkomentarzaZnak"/>
    <w:uiPriority w:val="99"/>
    <w:semiHidden/>
    <w:unhideWhenUsed/>
    <w:rsid w:val="007D0A18"/>
    <w:rPr>
      <w:b/>
      <w:bCs/>
    </w:rPr>
  </w:style>
  <w:style w:type="character" w:customStyle="1" w:styleId="TematkomentarzaZnak">
    <w:name w:val="Temat komentarza Znak"/>
    <w:basedOn w:val="TekstkomentarzaZnak"/>
    <w:link w:val="Tematkomentarza"/>
    <w:uiPriority w:val="99"/>
    <w:semiHidden/>
    <w:rsid w:val="007D0A18"/>
    <w:rPr>
      <w:b/>
      <w:bCs/>
      <w:sz w:val="20"/>
      <w:szCs w:val="20"/>
    </w:rPr>
  </w:style>
  <w:style w:type="paragraph" w:styleId="Nagwek">
    <w:name w:val="header"/>
    <w:basedOn w:val="Normalny"/>
    <w:link w:val="NagwekZnak"/>
    <w:uiPriority w:val="99"/>
    <w:unhideWhenUsed/>
    <w:rsid w:val="000907DF"/>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0907DF"/>
  </w:style>
  <w:style w:type="paragraph" w:styleId="Stopka">
    <w:name w:val="footer"/>
    <w:basedOn w:val="Normalny"/>
    <w:link w:val="StopkaZnak"/>
    <w:uiPriority w:val="99"/>
    <w:unhideWhenUsed/>
    <w:rsid w:val="000907DF"/>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0907DF"/>
  </w:style>
  <w:style w:type="paragraph" w:styleId="NormalnyWeb">
    <w:name w:val="Normal (Web)"/>
    <w:basedOn w:val="Normalny"/>
    <w:uiPriority w:val="99"/>
    <w:semiHidden/>
    <w:unhideWhenUsed/>
    <w:rsid w:val="00863943"/>
    <w:rPr>
      <w:rFonts w:ascii="Times New Roman" w:hAnsi="Times New Roman" w:cs="Times New Roman"/>
    </w:rPr>
  </w:style>
  <w:style w:type="paragraph" w:styleId="Tekstprzypisudolnego">
    <w:name w:val="footnote text"/>
    <w:basedOn w:val="Normalny"/>
    <w:link w:val="TekstprzypisudolnegoZnak"/>
    <w:uiPriority w:val="99"/>
    <w:semiHidden/>
    <w:unhideWhenUsed/>
    <w:rsid w:val="003A2EC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A2EC1"/>
    <w:rPr>
      <w:sz w:val="20"/>
      <w:szCs w:val="20"/>
    </w:rPr>
  </w:style>
  <w:style w:type="character" w:styleId="Odwoanieprzypisudolnego">
    <w:name w:val="footnote reference"/>
    <w:basedOn w:val="Domylnaczcionkaakapitu"/>
    <w:uiPriority w:val="99"/>
    <w:semiHidden/>
    <w:unhideWhenUsed/>
    <w:rsid w:val="003A2EC1"/>
    <w:rPr>
      <w:vertAlign w:val="superscript"/>
    </w:rPr>
  </w:style>
  <w:style w:type="paragraph" w:styleId="Legenda">
    <w:name w:val="caption"/>
    <w:basedOn w:val="Normalny"/>
    <w:next w:val="Normalny"/>
    <w:uiPriority w:val="35"/>
    <w:semiHidden/>
    <w:unhideWhenUsed/>
    <w:qFormat/>
    <w:rsid w:val="001D617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82369">
      <w:bodyDiv w:val="1"/>
      <w:marLeft w:val="0"/>
      <w:marRight w:val="0"/>
      <w:marTop w:val="0"/>
      <w:marBottom w:val="0"/>
      <w:divBdr>
        <w:top w:val="none" w:sz="0" w:space="0" w:color="auto"/>
        <w:left w:val="none" w:sz="0" w:space="0" w:color="auto"/>
        <w:bottom w:val="none" w:sz="0" w:space="0" w:color="auto"/>
        <w:right w:val="none" w:sz="0" w:space="0" w:color="auto"/>
      </w:divBdr>
    </w:div>
    <w:div w:id="150550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mela.tomicka@38pr.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mela.tomicka@38pr.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ywieniemedyczne.pl/raport2026/?_gl=1*si438q*_up*MQ..*_ga*OTI3OTg3NDU3LjE3ODIzNzM5Mjk.*_ga_ZY8VZ38BV0*czE3ODIzNzM5MjkkbzEkZzAkdDE3ODIzNzM5MjkkajYwJGwwJGgw"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D13FE6EF05B546A01B7AA090901033" ma:contentTypeVersion="18" ma:contentTypeDescription="Utwórz nowy dokument." ma:contentTypeScope="" ma:versionID="530199ca38e2cfb7b769711822d160d0">
  <xsd:schema xmlns:xsd="http://www.w3.org/2001/XMLSchema" xmlns:xs="http://www.w3.org/2001/XMLSchema" xmlns:p="http://schemas.microsoft.com/office/2006/metadata/properties" xmlns:ns3="2fcf66f5-f772-4509-bde9-45e203962ad7" xmlns:ns4="a29b72e1-c869-434b-abf8-40936fd5f739" targetNamespace="http://schemas.microsoft.com/office/2006/metadata/properties" ma:root="true" ma:fieldsID="cfe47343a025501ffd311a94d65767b3" ns3:_="" ns4:_="">
    <xsd:import namespace="2fcf66f5-f772-4509-bde9-45e203962ad7"/>
    <xsd:import namespace="a29b72e1-c869-434b-abf8-40936fd5f73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f66f5-f772-4509-bde9-45e203962ad7"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9b72e1-c869-434b-abf8-40936fd5f7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29b72e1-c869-434b-abf8-40936fd5f739" xsi:nil="true"/>
  </documentManagement>
</p:properties>
</file>

<file path=customXml/itemProps1.xml><?xml version="1.0" encoding="utf-8"?>
<ds:datastoreItem xmlns:ds="http://schemas.openxmlformats.org/officeDocument/2006/customXml" ds:itemID="{6E92E022-FD03-4CE1-A2A8-5D45B038D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f66f5-f772-4509-bde9-45e203962ad7"/>
    <ds:schemaRef ds:uri="a29b72e1-c869-434b-abf8-40936fd5f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6DFC6-59CC-4275-8BC9-DBCBBBB838F7}">
  <ds:schemaRefs>
    <ds:schemaRef ds:uri="http://schemas.microsoft.com/sharepoint/v3/contenttype/forms"/>
  </ds:schemaRefs>
</ds:datastoreItem>
</file>

<file path=customXml/itemProps3.xml><?xml version="1.0" encoding="utf-8"?>
<ds:datastoreItem xmlns:ds="http://schemas.openxmlformats.org/officeDocument/2006/customXml" ds:itemID="{EB97AF85-E756-4DDF-9188-35B0372F133E}">
  <ds:schemaRefs>
    <ds:schemaRef ds:uri="http://schemas.openxmlformats.org/officeDocument/2006/bibliography"/>
  </ds:schemaRefs>
</ds:datastoreItem>
</file>

<file path=customXml/itemProps4.xml><?xml version="1.0" encoding="utf-8"?>
<ds:datastoreItem xmlns:ds="http://schemas.openxmlformats.org/officeDocument/2006/customXml" ds:itemID="{29BF8A60-015C-49B1-A84C-CB60B4EBCD54}">
  <ds:schemaRefs>
    <ds:schemaRef ds:uri="http://schemas.microsoft.com/office/2006/metadata/properties"/>
    <ds:schemaRef ds:uri="http://schemas.microsoft.com/office/infopath/2007/PartnerControls"/>
    <ds:schemaRef ds:uri="a29b72e1-c869-434b-abf8-40936fd5f739"/>
  </ds:schemaRefs>
</ds:datastoreItem>
</file>

<file path=docMetadata/LabelInfo.xml><?xml version="1.0" encoding="utf-8"?>
<clbl:labelList xmlns:clbl="http://schemas.microsoft.com/office/2020/mipLabelMetadata">
  <clbl:label id="{a3cceda3-bb16-4686-a971-9fe5d13243fd}" enabled="1" method="Standard" siteId="{4720ed5e-c545-46eb-99a5-958dd333e9f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4720</Characters>
  <Application>Microsoft Office Word</Application>
  <DocSecurity>0</DocSecurity>
  <Lines>39</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Król, Julia</dc:creator>
  <cp:keywords/>
  <dc:description/>
  <cp:lastModifiedBy>Pamela Tomicka</cp:lastModifiedBy>
  <cp:revision>3</cp:revision>
  <dcterms:created xsi:type="dcterms:W3CDTF">2026-09-21T07:15:00Z</dcterms:created>
  <dcterms:modified xsi:type="dcterms:W3CDTF">2026-09-21T07:16:00Z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e82d7c35-6da4-44b7-a470-3fb24c41b3b8</vt:lpwstr>
  </property>
  <property fmtid="{D5CDD505-2E9C-101B-9397-08002B2CF9AE}" pid="3" name="ContentTypeId">
    <vt:lpwstr>0x01010082D13FE6EF05B546A01B7AA090901033</vt:lpwstr>
  </property>
</Properties>
</file>