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4E7AA" w14:textId="77777777" w:rsidR="00025BD6" w:rsidRPr="00025BD6" w:rsidRDefault="00025BD6" w:rsidP="00025BD6">
      <w:pPr>
        <w:spacing w:before="120" w:after="120"/>
        <w:rPr>
          <w:rFonts w:ascii="Noto Sans" w:hAnsi="Noto Sans" w:cs="Noto Sans"/>
          <w:sz w:val="28"/>
          <w:szCs w:val="28"/>
        </w:rPr>
      </w:pPr>
      <w:r w:rsidRPr="00025BD6">
        <w:rPr>
          <w:rFonts w:ascii="Noto Sans" w:hAnsi="Noto Sans" w:cs="Noto Sans"/>
          <w:b/>
          <w:bCs/>
          <w:sz w:val="28"/>
          <w:szCs w:val="28"/>
          <w:lang w:val="pt-PT"/>
        </w:rPr>
        <w:t>Conformidade sem compromissos: Gerir a rastreabilidade de produtos na produção de materiais de construção</w:t>
      </w:r>
    </w:p>
    <w:p w14:paraId="5AA85479" w14:textId="77777777" w:rsidR="00025BD6" w:rsidRPr="00AF7ED5" w:rsidRDefault="00025BD6" w:rsidP="00025BD6">
      <w:pPr>
        <w:spacing w:before="120" w:after="120"/>
        <w:rPr>
          <w:rFonts w:ascii="Noto Sans" w:hAnsi="Noto Sans" w:cs="Noto Sans"/>
          <w:sz w:val="22"/>
        </w:rPr>
      </w:pPr>
      <w:r>
        <w:rPr>
          <w:rFonts w:ascii="Noto Sans" w:hAnsi="Noto Sans" w:cs="Noto Sans"/>
          <w:i/>
          <w:iCs/>
          <w:sz w:val="22"/>
          <w:lang w:val="pt-PT"/>
        </w:rPr>
        <w:t>As linhas de produção de materiais de construção e edificação de ritmo acelerado operam num cenário de margens reduzidas, prazos apertados e uma expansão contínua do setor. Com o receio de que as novas regulamentações possam comprometer a procura pela eficiência, Rob Ellinor, Global Building &amp; Construction Sector Manager da Domino, explica como imprimir códigos 2D GS1 em conformidade com o CPR da UE sem comprometer a produtividade da produção.</w:t>
      </w:r>
    </w:p>
    <w:p w14:paraId="06BD9F92" w14:textId="77777777" w:rsidR="00025BD6" w:rsidRPr="00AF7ED5" w:rsidRDefault="00025BD6" w:rsidP="00025BD6">
      <w:pPr>
        <w:spacing w:before="120" w:after="120"/>
        <w:rPr>
          <w:rFonts w:ascii="Noto Sans" w:hAnsi="Noto Sans" w:cs="Noto Sans"/>
          <w:sz w:val="22"/>
        </w:rPr>
      </w:pPr>
      <w:r>
        <w:rPr>
          <w:rFonts w:ascii="Noto Sans" w:hAnsi="Noto Sans" w:cs="Noto Sans"/>
          <w:b/>
          <w:bCs/>
          <w:sz w:val="22"/>
          <w:lang w:val="pt-PT"/>
        </w:rPr>
        <w:t xml:space="preserve">Regras de produtos de construção para fabricantes </w:t>
      </w:r>
    </w:p>
    <w:p w14:paraId="339F4FF3"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As empresas de produção de materiais de construção estão a avaliar as implicações de regulamentos novos e previstos, incluindo o Regulamento de Produtos de Construção da UE (EU-CPR 2024), que exige uma rastreabilidade de materiais mais avançada, incluindo códigos legíveis por máquinas, para melhorar a segurança, a responsabilidade e a sustentabilidade na construção.</w:t>
      </w:r>
    </w:p>
    <w:p w14:paraId="01CAE1B1" w14:textId="1D9EF59A" w:rsidR="00025BD6" w:rsidRPr="00AF7ED5" w:rsidRDefault="00025BD6" w:rsidP="00025BD6">
      <w:pPr>
        <w:spacing w:before="120" w:after="120"/>
        <w:rPr>
          <w:rFonts w:ascii="Noto Sans" w:hAnsi="Noto Sans" w:cs="Noto Sans"/>
          <w:sz w:val="22"/>
        </w:rPr>
      </w:pPr>
      <w:r>
        <w:rPr>
          <w:rFonts w:ascii="Noto Sans" w:hAnsi="Noto Sans" w:cs="Noto Sans"/>
          <w:sz w:val="22"/>
          <w:lang w:val="pt-PT"/>
        </w:rPr>
        <w:t xml:space="preserve">A adoção de normas globais de dados servirá de base para a identificação e partilha consistentes de dados relacionados com materiais de construção e edifícios ao longo de todo o ciclo de vida de um edifício. Embora não exista atualmente uma regra única aplicável à partilha de informação, </w:t>
      </w:r>
      <w:hyperlink r:id="rId6" w:history="1">
        <w:r w:rsidRPr="00A870EE">
          <w:rPr>
            <w:rStyle w:val="Hyperlink"/>
            <w:rFonts w:ascii="Noto Sans" w:hAnsi="Noto Sans" w:cs="Noto Sans"/>
            <w:sz w:val="22"/>
            <w:lang w:val="pt-PT"/>
          </w:rPr>
          <w:t>os códigos 2D GS1 com tecnologia Digital Link</w:t>
        </w:r>
      </w:hyperlink>
      <w:r>
        <w:rPr>
          <w:rFonts w:ascii="Noto Sans" w:hAnsi="Noto Sans" w:cs="Noto Sans"/>
          <w:sz w:val="22"/>
          <w:lang w:val="pt-PT"/>
        </w:rPr>
        <w:t xml:space="preserve"> oferecem um standard reconhecido universalmente que pode trazer a clareza tão necessária para o setor. </w:t>
      </w:r>
    </w:p>
    <w:p w14:paraId="5F40F08E" w14:textId="0E0A033F" w:rsidR="00025BD6" w:rsidRPr="00AF7ED5" w:rsidRDefault="00025BD6" w:rsidP="00025BD6">
      <w:pPr>
        <w:spacing w:before="120" w:after="120"/>
        <w:rPr>
          <w:rFonts w:ascii="Noto Sans" w:hAnsi="Noto Sans" w:cs="Noto Sans"/>
          <w:sz w:val="22"/>
        </w:rPr>
      </w:pPr>
      <w:r>
        <w:rPr>
          <w:rFonts w:ascii="Noto Sans" w:hAnsi="Noto Sans" w:cs="Noto Sans"/>
          <w:sz w:val="22"/>
          <w:lang w:val="pt-PT"/>
        </w:rPr>
        <w:t>Cada código 2D GS1 (</w:t>
      </w:r>
      <w:hyperlink r:id="rId7" w:history="1">
        <w:r w:rsidRPr="00A870EE">
          <w:rPr>
            <w:rStyle w:val="Hyperlink"/>
            <w:rFonts w:ascii="Noto Sans" w:hAnsi="Noto Sans" w:cs="Noto Sans"/>
            <w:sz w:val="22"/>
            <w:lang w:val="pt-PT"/>
          </w:rPr>
          <w:t>GS1 QR ou GS1 DataMatrix</w:t>
        </w:r>
      </w:hyperlink>
      <w:r>
        <w:rPr>
          <w:rFonts w:ascii="Noto Sans" w:hAnsi="Noto Sans" w:cs="Noto Sans"/>
          <w:sz w:val="22"/>
          <w:lang w:val="pt-PT"/>
        </w:rPr>
        <w:t xml:space="preserve">) associará o nome da marca, os atributos principais e o Número global de item comercial (GTIN) exclusivo do produto. Permitirá também o acesso a outras informações sobre o produto, incluindo a certificação de conformidade, detalhes de rastreabilidade, instruções de utilização e instalação, durabilidade e requisitos de manutenção. </w:t>
      </w:r>
    </w:p>
    <w:p w14:paraId="59596CB3" w14:textId="77777777" w:rsidR="00025BD6" w:rsidRPr="00AF7ED5" w:rsidRDefault="00025BD6" w:rsidP="00025BD6">
      <w:pPr>
        <w:spacing w:before="120" w:after="120"/>
        <w:rPr>
          <w:rFonts w:ascii="Noto Sans" w:hAnsi="Noto Sans" w:cs="Noto Sans"/>
          <w:sz w:val="22"/>
        </w:rPr>
      </w:pPr>
      <w:r>
        <w:rPr>
          <w:rFonts w:ascii="Noto Sans" w:hAnsi="Noto Sans" w:cs="Noto Sans"/>
          <w:b/>
          <w:bCs/>
          <w:sz w:val="22"/>
          <w:lang w:val="pt-PT"/>
        </w:rPr>
        <w:lastRenderedPageBreak/>
        <w:t>Desafios da impressão de códigos 2D GS1 na produção na construção</w:t>
      </w:r>
    </w:p>
    <w:p w14:paraId="56ABFC32"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 xml:space="preserve">Os equipamentos de codificação e as linhas de produção existentes podem não estar otimizados para a impressão de códigos 2D. Os fabricantes que atualizem as suas linhas para gerir códigos 2D de dados variáveis avançados terão de considerar uma série de fatores para garantir uma leitura eficaz em ambientes de produção exigentes e de ritmo acelerado. </w:t>
      </w:r>
    </w:p>
    <w:p w14:paraId="1EF6FCF5"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Os materiais para a indústria da construção, como madeira, agregados e produtos ensacados, podem apresentar variações na textura e consistência da superfície, tornando a codificação fiável mais difícil. Existe também um compromisso entre a velocidade da linha e a resolução de impressão, uma vez que velocidades de linha elevadas podem comprometer a qualidade de impressão e a experiência de leitura. As implicações de uma má qualidade de impressão no setor estendem-se para além do desperdício de matérias-primas, com as paragens a causarem perda de vendas, desperdício de mão-de-obra e interrupções nos processos subsequentes.</w:t>
      </w:r>
    </w:p>
    <w:p w14:paraId="045300F9" w14:textId="77777777" w:rsidR="00025BD6" w:rsidRPr="00AF7ED5" w:rsidRDefault="00025BD6" w:rsidP="00025BD6">
      <w:pPr>
        <w:spacing w:before="120" w:after="120"/>
        <w:rPr>
          <w:rFonts w:ascii="Noto Sans" w:hAnsi="Noto Sans" w:cs="Noto Sans"/>
          <w:sz w:val="22"/>
        </w:rPr>
      </w:pPr>
      <w:r>
        <w:rPr>
          <w:rFonts w:ascii="Noto Sans" w:hAnsi="Noto Sans" w:cs="Noto Sans"/>
          <w:b/>
          <w:bCs/>
          <w:sz w:val="22"/>
          <w:lang w:val="pt-PT"/>
        </w:rPr>
        <w:t xml:space="preserve">Atualizar linhas de produção de materiais de construção para códigos 2D GS1 </w:t>
      </w:r>
    </w:p>
    <w:p w14:paraId="7F590C3F" w14:textId="56DA9F8D" w:rsidR="00025BD6" w:rsidRPr="00AF7ED5" w:rsidRDefault="00025BD6" w:rsidP="00025BD6">
      <w:pPr>
        <w:spacing w:before="120" w:after="120"/>
        <w:rPr>
          <w:rFonts w:ascii="Noto Sans" w:hAnsi="Noto Sans" w:cs="Noto Sans"/>
          <w:sz w:val="22"/>
        </w:rPr>
      </w:pPr>
      <w:r>
        <w:rPr>
          <w:rFonts w:ascii="Noto Sans" w:hAnsi="Noto Sans" w:cs="Noto Sans"/>
          <w:sz w:val="22"/>
          <w:lang w:val="pt-PT"/>
        </w:rPr>
        <w:t xml:space="preserve">A boa notícia para os fabricantes que procuram atualizar a linha é a crescente maturidade das opções de impressão de códigos de barras 2D. A adoção noutras indústrias, como a farmacêutica, acelerou o desenvolvimento e reduziu os custos. Os novos sistemas de codificação são também concebidos especificamente para ambientes exigentes e com poeira, com sistemas modernos de jato de tinta e laser industriais desenvolvidos para aplicar códigos 2D GS1 de forma eficaz em ambientes exigentes, </w:t>
      </w:r>
      <w:hyperlink r:id="rId8" w:anchor="productcomparisoncomponent?utm_medium=non-paid&amp;utm_source=onlinepublication&amp;utm_content=q1-efficiency-blog-sb-pt&amp;utm_campaign=2026-int-pt-global-pr-cm-fy26-q2" w:history="1">
        <w:r w:rsidRPr="00A870EE">
          <w:rPr>
            <w:rStyle w:val="Hyperlink"/>
            <w:rFonts w:ascii="Noto Sans" w:hAnsi="Noto Sans" w:cs="Noto Sans"/>
            <w:sz w:val="22"/>
            <w:lang w:val="pt-PT"/>
          </w:rPr>
          <w:t>reduzindo o risco de paragens</w:t>
        </w:r>
      </w:hyperlink>
      <w:r>
        <w:rPr>
          <w:rFonts w:ascii="Noto Sans" w:hAnsi="Noto Sans" w:cs="Noto Sans"/>
          <w:sz w:val="22"/>
          <w:lang w:val="pt-PT"/>
        </w:rPr>
        <w:t>.</w:t>
      </w:r>
    </w:p>
    <w:p w14:paraId="1637CB25"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 xml:space="preserve">A tecnologia de impressão também evoluiu para permitir a impressão de códigos 2D com maior resolução a altas velocidades. As soluções complementares, tais como sistemas de automatização e de verificação por Visão, melhoram a produtividade e </w:t>
      </w:r>
      <w:r>
        <w:rPr>
          <w:rFonts w:ascii="Noto Sans" w:hAnsi="Noto Sans" w:cs="Noto Sans"/>
          <w:sz w:val="22"/>
          <w:lang w:val="pt-PT"/>
        </w:rPr>
        <w:lastRenderedPageBreak/>
        <w:t xml:space="preserve">reduzem o desperdício, garantindo simultaneamente que os códigos regulamentares são verificados quanto à precisão e legibilidade. </w:t>
      </w:r>
    </w:p>
    <w:p w14:paraId="75790076"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As soluções de automatização da codificação podem simplificar a integração com os sistemas ERP e MES dos fabricantes para automatizar a codificação do produto, reduzindo a necessidade de introdução manual de dados e o risco de erros de codificação. Os sistemas de visão mecânica na linha de produção podem verificar automaticamente códigos 2D a velocidades compatíveis com os codificadores da linha de produção, bem como rejeitar produtos que não cumprem os standards de produção antes de saírem da linha.</w:t>
      </w:r>
    </w:p>
    <w:p w14:paraId="3E13ADA5"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Está também disponível um número crescente de sistemas de codificação personalizáveis que integram codificação, manuseamento de produtos e inspeção. Por exemplo, estações de codificação para produtos extrudidos e soluções com várias combinações de cabeças de impressão que codificam diretamente em produtos empilhados. Estas soluções servem para superar os desafios relacionados com a apresentação irregular do produto perante o codificador e a estabilidade da linha de produção, fatores que podem afetar a qualidade final do código.</w:t>
      </w:r>
    </w:p>
    <w:p w14:paraId="13F979AC"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 xml:space="preserve">Além disso, muitos sistemas de codificação modernos foram desenvolvidos para serem fáceis de utilizar – com interfaces intuitivas, opções de monitorização remota e suporte para realidade aumentada. Isto significa que as atualizações de linha não exigirão conhecimentos complexos de codificação, e os novos sistemas poderão ser simples de utilizar pelos operadores atuais. </w:t>
      </w:r>
    </w:p>
    <w:p w14:paraId="64BD7015" w14:textId="77777777" w:rsidR="00025BD6" w:rsidRPr="00AF7ED5" w:rsidRDefault="00025BD6" w:rsidP="00025BD6">
      <w:pPr>
        <w:spacing w:before="120" w:after="120"/>
        <w:rPr>
          <w:rFonts w:ascii="Noto Sans" w:hAnsi="Noto Sans" w:cs="Noto Sans"/>
          <w:sz w:val="22"/>
        </w:rPr>
      </w:pPr>
      <w:r>
        <w:rPr>
          <w:rFonts w:ascii="Noto Sans" w:hAnsi="Noto Sans" w:cs="Noto Sans"/>
          <w:b/>
          <w:bCs/>
          <w:sz w:val="22"/>
          <w:lang w:val="pt-PT"/>
        </w:rPr>
        <w:t>Além da conformidade: a base para uma produção mais inteligente</w:t>
      </w:r>
    </w:p>
    <w:p w14:paraId="5281C319"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Para muitos, a conformidade é vista simplesmente como um custo de exploração. Na realidade, requisitos de rastreabilidade de produtos mais granulares podem permitir um aumento da eficiência e acrescentar valor à cadeia de abastecimento a jusante.</w:t>
      </w:r>
    </w:p>
    <w:p w14:paraId="57267E62"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lastRenderedPageBreak/>
        <w:t>Quando impresso com um código 2D, cada produto de construção torna-se um objeto inteligente, passível de leitura em qualquer fase do processo de produção ou construção. Uma simples leitura pode aceder a um perfil de produto digital, que indica a data de criação do produto, a linha de produção de origem, a sua composição material e a utilização prevista.</w:t>
      </w:r>
    </w:p>
    <w:p w14:paraId="7ACB4971" w14:textId="77777777" w:rsidR="00025BD6" w:rsidRPr="00AF7ED5" w:rsidRDefault="00025BD6" w:rsidP="00025BD6">
      <w:pPr>
        <w:spacing w:before="120" w:after="120"/>
        <w:rPr>
          <w:rFonts w:ascii="Noto Sans" w:hAnsi="Noto Sans" w:cs="Noto Sans"/>
          <w:sz w:val="22"/>
        </w:rPr>
      </w:pPr>
      <w:r>
        <w:rPr>
          <w:rFonts w:ascii="Noto Sans" w:hAnsi="Noto Sans" w:cs="Noto Sans"/>
          <w:sz w:val="22"/>
          <w:lang w:val="pt-PT"/>
        </w:rPr>
        <w:t>Para os fabricantes, isto pode ser utilizado para fornecer informações sobre a produção, identificar erros e conduzir uma análise precisa da causa dos problemas. Para além da fábrica, esta informação sobre o produto constitui uma porta de entrada para alcançar maior colaboração e eficiência em toda a cadeia de abastecimento.</w:t>
      </w:r>
    </w:p>
    <w:p w14:paraId="63CD7E11" w14:textId="20ADC3EC" w:rsidR="00025BD6" w:rsidRPr="00AF7ED5" w:rsidRDefault="00025BD6" w:rsidP="00025BD6">
      <w:pPr>
        <w:spacing w:before="120" w:after="120"/>
        <w:rPr>
          <w:rFonts w:ascii="Noto Sans" w:hAnsi="Noto Sans" w:cs="Noto Sans"/>
          <w:sz w:val="22"/>
        </w:rPr>
      </w:pPr>
      <w:r>
        <w:rPr>
          <w:rFonts w:ascii="Noto Sans" w:hAnsi="Noto Sans" w:cs="Noto Sans"/>
          <w:sz w:val="22"/>
          <w:lang w:val="pt-PT"/>
        </w:rPr>
        <w:t xml:space="preserve">Existe agora uma oportunidade determinante de olhar para além da conformidade como um custo e reconhecer a oportunidade de contribuir com um valor significativo em toda a cadeia de abastecimento conectada e colaborativa. Com a compreensão adequada e um parceiro que reconheça o potencial mais vasto dos códigos 2D de dados variáveis avançados, os fabricantes de materiais de construção e edifícios podem </w:t>
      </w:r>
      <w:hyperlink r:id="rId9" w:history="1">
        <w:r w:rsidRPr="005C6DAF">
          <w:rPr>
            <w:rStyle w:val="Hyperlink"/>
            <w:rFonts w:ascii="Noto Sans" w:hAnsi="Noto Sans" w:cs="Noto Sans"/>
            <w:sz w:val="22"/>
            <w:lang w:val="pt-PT"/>
          </w:rPr>
          <w:t>transformar a conformidade de um requisito regulamentar numa oportunidade de diferenciação numa indústria altamente competitiva.</w:t>
        </w:r>
      </w:hyperlink>
      <w:r>
        <w:rPr>
          <w:rFonts w:ascii="Noto Sans" w:hAnsi="Noto Sans" w:cs="Noto Sans"/>
          <w:sz w:val="22"/>
          <w:lang w:val="pt-PT"/>
        </w:rPr>
        <w:t xml:space="preserve"> </w:t>
      </w:r>
    </w:p>
    <w:p w14:paraId="5085C054" w14:textId="2C78A89F" w:rsidR="00025BD6" w:rsidRPr="00AF7ED5" w:rsidRDefault="00025BD6" w:rsidP="00025BD6">
      <w:pPr>
        <w:spacing w:before="120" w:after="120"/>
        <w:rPr>
          <w:rFonts w:ascii="Noto Sans" w:hAnsi="Noto Sans" w:cs="Noto Sans"/>
          <w:sz w:val="22"/>
        </w:rPr>
      </w:pPr>
      <w:r>
        <w:rPr>
          <w:rFonts w:ascii="Noto Sans" w:hAnsi="Noto Sans" w:cs="Noto Sans"/>
          <w:sz w:val="22"/>
          <w:lang w:val="pt-PT"/>
        </w:rPr>
        <w:t>&lt;</w:t>
      </w:r>
      <w:r w:rsidRPr="00025BD6">
        <w:rPr>
          <w:rFonts w:ascii="Noto Sans" w:hAnsi="Noto Sans" w:cs="Noto Sans"/>
          <w:b/>
          <w:bCs/>
          <w:sz w:val="22"/>
          <w:lang w:val="pt-PT"/>
        </w:rPr>
        <w:t>FIM</w:t>
      </w:r>
      <w:r>
        <w:rPr>
          <w:rFonts w:ascii="Noto Sans" w:hAnsi="Noto Sans" w:cs="Noto Sans"/>
          <w:sz w:val="22"/>
          <w:lang w:val="pt-PT"/>
        </w:rPr>
        <w:t>&gt;</w:t>
      </w:r>
    </w:p>
    <w:p w14:paraId="73F2213F" w14:textId="77777777" w:rsidR="00025BD6" w:rsidRPr="002B23C7" w:rsidRDefault="00025BD6" w:rsidP="00025BD6">
      <w:pPr>
        <w:spacing w:line="240" w:lineRule="auto"/>
        <w:rPr>
          <w:rFonts w:ascii="Noto Sans" w:eastAsiaTheme="minorHAnsi" w:hAnsi="Noto Sans" w:cs="Noto Sans"/>
          <w:sz w:val="22"/>
          <w:lang w:val="pt-PT"/>
        </w:rPr>
      </w:pPr>
      <w:bookmarkStart w:id="0" w:name="_Hlk531088985"/>
      <w:bookmarkStart w:id="1" w:name="_Hlk61949672"/>
      <w:r w:rsidRPr="002856FD">
        <w:rPr>
          <w:rFonts w:ascii="Noto Sans" w:hAnsi="Noto Sans" w:cs="Noto Sans"/>
          <w:b/>
          <w:bCs/>
          <w:sz w:val="20"/>
          <w:szCs w:val="20"/>
          <w:lang w:val="pt"/>
        </w:rPr>
        <w:t>Isenção de responsabilidade</w:t>
      </w:r>
      <w:bookmarkEnd w:id="0"/>
      <w:r w:rsidRPr="002856FD">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b/>
          <w:bCs/>
          <w:sz w:val="20"/>
          <w:szCs w:val="20"/>
          <w:lang w:val="pt"/>
        </w:rPr>
        <w:t>Tintas</w:t>
      </w:r>
      <w:r w:rsidRPr="002856FD">
        <w:rPr>
          <w:rFonts w:ascii="Noto Sans" w:hAnsi="Noto Sans" w:cs="Noto Sans"/>
          <w:sz w:val="20"/>
          <w:szCs w:val="20"/>
          <w:lang w:val="pt"/>
        </w:rPr>
        <w:br/>
      </w:r>
      <w:r w:rsidRPr="004002D9">
        <w:rPr>
          <w:rFonts w:ascii="Noto Sans" w:hAnsi="Noto Sans" w:cs="Noto Sans"/>
          <w:sz w:val="20"/>
          <w:szCs w:val="20"/>
          <w:lang w:val="pt"/>
        </w:rPr>
        <w:t>As informações que se encontram no presente documento não devem substituir a realização dos testes adequados às suas circunstâncias e usos específicos. A Marque TDI, S.A. e as empresas do grupo Domino não serão, de forma alguma, responsáveis por qualquer tipo de confiança com base neste documento em relação à adequação de qualquer uma das nossas tintas para a sua aplicação em particular. O presente documento não faz parte de quaisquer termos e condições celebrados entre si e a Domino.  Os Termos e Condições de venda da Domino, em particular as garantias e responsabilidades presentes nos mesmos, dever-se-ão aplicar a qualquer uma das suas  compra de produtos.</w:t>
      </w:r>
      <w:r w:rsidRPr="002856FD">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b/>
          <w:bCs/>
          <w:sz w:val="20"/>
          <w:szCs w:val="20"/>
          <w:lang w:val="pt"/>
        </w:rPr>
        <w:t>Geral</w:t>
      </w:r>
      <w:r w:rsidRPr="002856FD">
        <w:rPr>
          <w:rFonts w:ascii="Noto Sans" w:hAnsi="Noto Sans" w:cs="Noto Sans"/>
          <w:sz w:val="20"/>
          <w:szCs w:val="20"/>
          <w:lang w:val="pt"/>
        </w:rPr>
        <w:br/>
        <w:t xml:space="preserve">As informações constantes no presente comunicado de imprensa são consideradas verdadeiras e corretas à data da publicação pela Domino. Qualquer alteração verificada após a data da publicação pode afetar a exatidão destas informações. </w:t>
      </w:r>
      <w:r w:rsidRPr="004002D9">
        <w:rPr>
          <w:rFonts w:ascii="Noto Sans" w:hAnsi="Noto Sans" w:cs="Noto Sans"/>
          <w:sz w:val="20"/>
          <w:szCs w:val="20"/>
          <w:lang w:val="pt"/>
        </w:rPr>
        <w:t xml:space="preserve">Todos os valores em termos de </w:t>
      </w:r>
      <w:r w:rsidRPr="004002D9">
        <w:rPr>
          <w:rFonts w:ascii="Noto Sans" w:hAnsi="Noto Sans" w:cs="Noto Sans"/>
          <w:sz w:val="20"/>
          <w:szCs w:val="20"/>
          <w:lang w:val="pt"/>
        </w:rPr>
        <w:lastRenderedPageBreak/>
        <w:t>desempenho e alegações, citados no presente, documento foram obtidos sob condições específicas e apenas poderão ser repetidos sob condições semelhantes. Para obter detalhes específicos do produto, deve entrar em contacto com o seu Consultor Comercial da Domino. O presente documento não faz parte de quaisquer termos e condições celebrados entre si e a Domino.</w:t>
      </w:r>
      <w:r>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b/>
          <w:bCs/>
          <w:sz w:val="20"/>
          <w:szCs w:val="20"/>
          <w:lang w:val="pt"/>
        </w:rPr>
        <w:t>Imagens</w:t>
      </w:r>
      <w:r w:rsidRPr="002856FD">
        <w:rPr>
          <w:rFonts w:ascii="Noto Sans" w:hAnsi="Noto Sans" w:cs="Noto Sans"/>
          <w:sz w:val="20"/>
          <w:szCs w:val="20"/>
          <w:lang w:val="pt"/>
        </w:rPr>
        <w:br/>
        <w:t xml:space="preserve">As imagens podem incluir melhorias ou extras opcionais. A qualidade de impressão pode variar de acordo com os consumíveis, o equipamento, a superfície e outros fatores. As imagens e fotografias não fazem parte de quaisquer termos e condições celebrados entre si e a Domino Portugal. </w:t>
      </w:r>
      <w:r w:rsidRPr="002856FD">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b/>
          <w:bCs/>
          <w:sz w:val="20"/>
          <w:szCs w:val="20"/>
          <w:lang w:val="pt"/>
        </w:rPr>
        <w:t>Vídeos</w:t>
      </w:r>
      <w:r w:rsidRPr="002856FD">
        <w:rPr>
          <w:rFonts w:ascii="Noto Sans" w:hAnsi="Noto Sans" w:cs="Noto Sans"/>
          <w:sz w:val="20"/>
          <w:szCs w:val="20"/>
          <w:lang w:val="pt"/>
        </w:rPr>
        <w:br/>
        <w:t>Este vídeo é apenas ilustrativo e pode incluir extras opcionais. Os valores relativos ao desempenho foram obtidos sob condições específicas; o desempenho individual pode variar. Os erros e as paragens das linhas de produção podem ser inevitáveis. Nada do que se encontra neste vídeo faz parte de qualquer contrato celebrado entre si e a Domino Portugal.</w:t>
      </w:r>
      <w:r w:rsidRPr="002856FD">
        <w:rPr>
          <w:rFonts w:ascii="Noto Sans" w:eastAsia="Gill Sans" w:hAnsi="Noto Sans" w:cs="Noto Sans"/>
          <w:sz w:val="20"/>
          <w:szCs w:val="20"/>
          <w:lang w:val="es-ES"/>
        </w:rPr>
        <w:br/>
      </w:r>
      <w:r w:rsidRPr="002E0B38">
        <w:rPr>
          <w:rFonts w:ascii="Noto Sans" w:eastAsia="Gill Sans" w:hAnsi="Noto Sans" w:cs="Noto Sans"/>
          <w:b/>
          <w:sz w:val="20"/>
          <w:szCs w:val="20"/>
          <w:lang w:val="es-ES"/>
        </w:rPr>
        <w:br/>
      </w:r>
      <w:r w:rsidRPr="002E0B38">
        <w:rPr>
          <w:rFonts w:ascii="Noto Sans" w:eastAsia="Gill Sans" w:hAnsi="Noto Sans" w:cs="Noto Sans"/>
          <w:b/>
          <w:bCs/>
          <w:sz w:val="20"/>
          <w:szCs w:val="20"/>
          <w:lang w:val="pt-PT"/>
        </w:rPr>
        <w:t>Notas para os editores:</w:t>
      </w:r>
      <w:r w:rsidRPr="002E0B38">
        <w:rPr>
          <w:rFonts w:ascii="Noto Sans" w:eastAsia="Gill Sans" w:hAnsi="Noto Sans" w:cs="Noto Sans"/>
          <w:b/>
          <w:sz w:val="20"/>
          <w:szCs w:val="20"/>
          <w:lang w:val="es-ES"/>
        </w:rPr>
        <w:br/>
      </w:r>
      <w:r w:rsidRPr="002E0B38">
        <w:rPr>
          <w:rFonts w:ascii="Noto Sans" w:eastAsia="Gill Sans" w:hAnsi="Noto Sans" w:cs="Noto Sans"/>
          <w:sz w:val="20"/>
          <w:szCs w:val="20"/>
          <w:lang w:val="es-ES"/>
        </w:rPr>
        <w:br/>
      </w:r>
      <w:r w:rsidRPr="002856FD">
        <w:rPr>
          <w:rFonts w:ascii="Noto Sans" w:hAnsi="Noto Sans" w:cs="Noto Sans"/>
          <w:b/>
          <w:bCs/>
          <w:color w:val="000000" w:themeColor="text1"/>
          <w:sz w:val="20"/>
          <w:szCs w:val="20"/>
          <w:lang w:val="pt"/>
        </w:rPr>
        <w:t>Acerca da Domino</w:t>
      </w:r>
      <w:r>
        <w:rPr>
          <w:rFonts w:ascii="Noto Sans" w:hAnsi="Noto Sans" w:cs="Noto Sans"/>
          <w:b/>
          <w:bCs/>
          <w:color w:val="000000" w:themeColor="text1"/>
          <w:sz w:val="20"/>
          <w:szCs w:val="20"/>
          <w:lang w:val="pt"/>
        </w:rPr>
        <w:br/>
      </w:r>
      <w:r w:rsidRPr="002856FD">
        <w:rPr>
          <w:rFonts w:ascii="Noto Sans" w:hAnsi="Noto Sans" w:cs="Noto Sans"/>
          <w:sz w:val="20"/>
          <w:szCs w:val="20"/>
          <w:lang w:val="pt"/>
        </w:rPr>
        <w:t xml:space="preserve">Desde 1978, a Domino Printing Sciences (Domino) estabeleceu uma reputação global relativamente ao desenvolvimento e fabrico de tecnologias de codificação, marcação e impressão, revelando um idêntico prestígio nos seus produtos de pós-venda e de apoio ao cliente a nível mundial. Atualmente, a Domino oferece uma das mais abrangentes gamas de soluções de codificação, desenvolvidas com o objetivo de satisfazer os requisitos de conformidade e produtividade dos fabricantes em inúmeros setores, incluindo bebidas, produtos alimentares, farmacêuticos e industriais. As principais tecnologias da empresa incluem sistemas inovadores de impressão a jato de tinta, impressão a laser, impressão e aplicação, e impressão por transferência térmica desenvolvidos para a aplicação de dados variáveis, códigos de barras e códigos de rastreabilidade exclusivos em produtos e embalagens. </w:t>
      </w:r>
      <w:r w:rsidRPr="002856FD">
        <w:rPr>
          <w:rFonts w:ascii="Noto Sans" w:hAnsi="Noto Sans" w:cs="Noto Sans"/>
          <w:sz w:val="20"/>
          <w:szCs w:val="20"/>
          <w:lang w:val="pt"/>
        </w:rPr>
        <w:br/>
      </w:r>
      <w:r w:rsidRPr="002856FD">
        <w:rPr>
          <w:rFonts w:ascii="Noto Sans" w:hAnsi="Noto Sans" w:cs="Noto Sans"/>
          <w:sz w:val="20"/>
          <w:szCs w:val="20"/>
          <w:lang w:val="pt"/>
        </w:rPr>
        <w:br/>
        <w:t>A Domino emprega mais de 3 000 pessoas em todo o mundo e comercializa para mais de 120 países através de uma rede global de 29 filiais e mais de 200 distribuidores. As instalações de fabrico da Domino localizam-se na Alemanha, China, EUA, Índia, Reino Unido, Suécia e Suíça.</w:t>
      </w:r>
      <w:r w:rsidRPr="002856FD">
        <w:rPr>
          <w:rFonts w:ascii="Noto Sans" w:hAnsi="Noto Sans" w:cs="Noto Sans"/>
          <w:sz w:val="20"/>
          <w:szCs w:val="20"/>
          <w:lang w:val="pt"/>
        </w:rPr>
        <w:br/>
      </w:r>
      <w:r w:rsidRPr="002856FD">
        <w:rPr>
          <w:rFonts w:ascii="Noto Sans" w:hAnsi="Noto Sans" w:cs="Noto Sans"/>
          <w:sz w:val="20"/>
          <w:szCs w:val="20"/>
          <w:lang w:val="pt"/>
        </w:rPr>
        <w:br/>
        <w:t xml:space="preserve">A Domino tornou-se uma divisão independente da Brother Industries Ltd. a 11 de junho de 2015. </w:t>
      </w:r>
      <w:r w:rsidRPr="002856FD">
        <w:rPr>
          <w:rFonts w:ascii="Noto Sans" w:hAnsi="Noto Sans" w:cs="Noto Sans"/>
          <w:sz w:val="20"/>
          <w:szCs w:val="20"/>
          <w:lang w:val="pt"/>
        </w:rPr>
        <w:br/>
      </w:r>
      <w:r w:rsidRPr="002856FD">
        <w:rPr>
          <w:rFonts w:ascii="Noto Sans" w:hAnsi="Noto Sans" w:cs="Noto Sans"/>
          <w:sz w:val="20"/>
          <w:szCs w:val="20"/>
          <w:lang w:val="pt"/>
        </w:rPr>
        <w:br/>
        <w:t>Para obter mais informações sobre a Domino,</w:t>
      </w:r>
      <w:r w:rsidRPr="002856FD">
        <w:rPr>
          <w:rFonts w:ascii="Noto Sans" w:hAnsi="Noto Sans" w:cs="Noto Sans"/>
          <w:sz w:val="20"/>
          <w:szCs w:val="20"/>
          <w:lang w:val="pt"/>
        </w:rPr>
        <w:br/>
        <w:t xml:space="preserve">visite </w:t>
      </w:r>
      <w:hyperlink r:id="rId10" w:history="1">
        <w:r w:rsidRPr="002856FD">
          <w:rPr>
            <w:rStyle w:val="Hyperlink"/>
            <w:rFonts w:ascii="Noto Sans" w:hAnsi="Noto Sans" w:cs="Noto Sans"/>
            <w:sz w:val="20"/>
            <w:szCs w:val="20"/>
            <w:lang w:val="pt"/>
          </w:rPr>
          <w:t>www.domino-printing.com</w:t>
        </w:r>
      </w:hyperlink>
      <w:r w:rsidRPr="002856FD">
        <w:rPr>
          <w:rFonts w:ascii="Noto Sans" w:hAnsi="Noto Sans" w:cs="Noto Sans"/>
          <w:sz w:val="20"/>
          <w:szCs w:val="20"/>
          <w:lang w:val="pt"/>
        </w:rPr>
        <w:t xml:space="preserve"> </w:t>
      </w:r>
      <w:r w:rsidRPr="002856FD">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b/>
          <w:bCs/>
          <w:sz w:val="20"/>
          <w:szCs w:val="20"/>
          <w:lang w:val="pt"/>
        </w:rPr>
        <w:t>Deverá contactar:</w:t>
      </w:r>
      <w:r w:rsidRPr="002856FD">
        <w:rPr>
          <w:rFonts w:ascii="Noto Sans" w:hAnsi="Noto Sans" w:cs="Noto Sans"/>
          <w:sz w:val="20"/>
          <w:szCs w:val="20"/>
          <w:lang w:val="pt"/>
        </w:rPr>
        <w:br/>
      </w:r>
      <w:r w:rsidRPr="002856FD">
        <w:rPr>
          <w:rFonts w:ascii="Noto Sans" w:hAnsi="Noto Sans" w:cs="Noto Sans"/>
          <w:sz w:val="20"/>
          <w:szCs w:val="20"/>
          <w:lang w:val="pt"/>
        </w:rPr>
        <w:br/>
      </w:r>
      <w:r w:rsidRPr="0085521E">
        <w:rPr>
          <w:rFonts w:ascii="Noto Sans" w:hAnsi="Noto Sans" w:cs="Noto Sans"/>
          <w:sz w:val="20"/>
          <w:szCs w:val="20"/>
          <w:lang w:val="pt"/>
        </w:rPr>
        <w:t>Jade Taylor-Salazar</w:t>
      </w:r>
      <w:r>
        <w:rPr>
          <w:rFonts w:ascii="Noto Sans" w:hAnsi="Noto Sans" w:cs="Noto Sans"/>
          <w:sz w:val="20"/>
          <w:szCs w:val="20"/>
          <w:lang w:val="pt"/>
        </w:rPr>
        <w:br/>
      </w:r>
      <w:r w:rsidRPr="002856FD">
        <w:rPr>
          <w:rFonts w:ascii="Noto Sans" w:hAnsi="Noto Sans" w:cs="Noto Sans"/>
          <w:sz w:val="20"/>
          <w:szCs w:val="20"/>
          <w:lang w:val="pt"/>
        </w:rPr>
        <w:lastRenderedPageBreak/>
        <w:t xml:space="preserve">PR and Content Manager </w:t>
      </w:r>
      <w:r w:rsidRPr="002856FD">
        <w:rPr>
          <w:rFonts w:ascii="Noto Sans" w:hAnsi="Noto Sans" w:cs="Noto Sans"/>
          <w:sz w:val="20"/>
          <w:szCs w:val="20"/>
          <w:lang w:val="pt"/>
        </w:rPr>
        <w:br/>
        <w:t xml:space="preserve">Domino Printing Sciences </w:t>
      </w:r>
      <w:r w:rsidRPr="002856FD">
        <w:rPr>
          <w:rFonts w:ascii="Noto Sans" w:hAnsi="Noto Sans" w:cs="Noto Sans"/>
          <w:sz w:val="20"/>
          <w:szCs w:val="20"/>
          <w:lang w:val="pt"/>
        </w:rPr>
        <w:br/>
        <w:t>Tel.: +44 (0) 1954 778 780</w:t>
      </w:r>
      <w:r w:rsidRPr="002856FD">
        <w:rPr>
          <w:rFonts w:ascii="Noto Sans" w:hAnsi="Noto Sans" w:cs="Noto Sans"/>
          <w:sz w:val="20"/>
          <w:szCs w:val="20"/>
          <w:lang w:val="pt"/>
        </w:rPr>
        <w:br/>
      </w:r>
      <w:hyperlink r:id="rId11" w:history="1">
        <w:r w:rsidRPr="0085521E">
          <w:rPr>
            <w:rStyle w:val="Hyperlink"/>
            <w:rFonts w:ascii="Noto Sans" w:hAnsi="Noto Sans" w:cs="Noto Sans"/>
            <w:sz w:val="20"/>
            <w:szCs w:val="20"/>
            <w:lang w:val="pt"/>
          </w:rPr>
          <w:t>Jade.Taylor-Salazar@domino-uk.com</w:t>
        </w:r>
      </w:hyperlink>
      <w:r w:rsidRPr="0085521E">
        <w:rPr>
          <w:rFonts w:ascii="Noto Sans" w:hAnsi="Noto Sans" w:cs="Noto Sans"/>
          <w:sz w:val="20"/>
          <w:szCs w:val="20"/>
          <w:lang w:val="pt"/>
        </w:rPr>
        <w:t xml:space="preserve"> </w:t>
      </w:r>
      <w:r>
        <w:rPr>
          <w:rFonts w:ascii="Noto Sans" w:hAnsi="Noto Sans" w:cs="Noto Sans"/>
          <w:sz w:val="20"/>
          <w:szCs w:val="20"/>
          <w:lang w:val="pt"/>
        </w:rPr>
        <w:br/>
      </w:r>
      <w:r>
        <w:rPr>
          <w:rFonts w:ascii="Noto Sans" w:hAnsi="Noto Sans" w:cs="Noto Sans"/>
          <w:sz w:val="20"/>
          <w:szCs w:val="20"/>
          <w:lang w:val="pt"/>
        </w:rPr>
        <w:br/>
      </w:r>
      <w:r w:rsidRPr="00A13A74">
        <w:rPr>
          <w:rFonts w:ascii="Noto Sans" w:eastAsiaTheme="minorHAnsi" w:hAnsi="Noto Sans" w:cs="Noto Sans"/>
          <w:sz w:val="20"/>
          <w:szCs w:val="20"/>
          <w:lang w:val="pt-PT"/>
        </w:rPr>
        <w:t>Daniela Ribeiro</w:t>
      </w:r>
      <w:r>
        <w:rPr>
          <w:rFonts w:ascii="Noto Sans" w:eastAsiaTheme="minorHAnsi" w:hAnsi="Noto Sans" w:cs="Noto Sans"/>
          <w:sz w:val="20"/>
          <w:szCs w:val="20"/>
          <w:lang w:val="pt-PT"/>
        </w:rPr>
        <w:br/>
      </w:r>
      <w:r w:rsidRPr="00A13A74">
        <w:rPr>
          <w:rFonts w:ascii="Noto Sans" w:eastAsiaTheme="minorHAnsi" w:hAnsi="Noto Sans" w:cs="Noto Sans"/>
          <w:sz w:val="20"/>
          <w:szCs w:val="20"/>
          <w:lang w:val="pt-PT"/>
        </w:rPr>
        <w:t>Marketing and Communications Executive</w:t>
      </w:r>
      <w:r>
        <w:rPr>
          <w:rFonts w:ascii="Noto Sans" w:eastAsiaTheme="minorHAnsi" w:hAnsi="Noto Sans" w:cs="Noto Sans"/>
          <w:sz w:val="20"/>
          <w:szCs w:val="20"/>
          <w:lang w:val="pt-PT"/>
        </w:rPr>
        <w:br/>
      </w:r>
      <w:r w:rsidRPr="00A13A74">
        <w:rPr>
          <w:rFonts w:ascii="Noto Sans" w:eastAsiaTheme="minorHAnsi" w:hAnsi="Noto Sans" w:cs="Noto Sans"/>
          <w:sz w:val="20"/>
          <w:szCs w:val="20"/>
          <w:lang w:val="pt-PT"/>
        </w:rPr>
        <w:t>Domino Portugal</w:t>
      </w:r>
      <w:r>
        <w:rPr>
          <w:rFonts w:ascii="Noto Sans" w:eastAsiaTheme="minorHAnsi" w:hAnsi="Noto Sans" w:cs="Noto Sans"/>
          <w:sz w:val="20"/>
          <w:szCs w:val="20"/>
          <w:lang w:val="pt-PT"/>
        </w:rPr>
        <w:br/>
      </w:r>
      <w:r w:rsidRPr="00A13A74">
        <w:rPr>
          <w:rFonts w:ascii="Noto Sans" w:eastAsiaTheme="minorHAnsi" w:hAnsi="Noto Sans" w:cs="Noto Sans"/>
          <w:sz w:val="20"/>
          <w:szCs w:val="20"/>
          <w:lang w:val="pt-PT"/>
        </w:rPr>
        <w:t>Tel.: +351 919866148</w:t>
      </w:r>
      <w:r>
        <w:rPr>
          <w:rFonts w:ascii="Noto Sans" w:eastAsiaTheme="minorHAnsi" w:hAnsi="Noto Sans" w:cs="Noto Sans"/>
          <w:sz w:val="20"/>
          <w:szCs w:val="20"/>
          <w:lang w:val="pt-PT"/>
        </w:rPr>
        <w:br/>
      </w:r>
      <w:hyperlink r:id="rId12" w:history="1">
        <w:r w:rsidRPr="00A13A74">
          <w:rPr>
            <w:rStyle w:val="Hyperlink"/>
            <w:rFonts w:ascii="Noto Sans" w:eastAsiaTheme="minorHAnsi" w:hAnsi="Noto Sans" w:cs="Noto Sans"/>
            <w:sz w:val="20"/>
            <w:szCs w:val="20"/>
            <w:lang w:val="pt-PT"/>
          </w:rPr>
          <w:t>Daniela.Ribeiro@domino-portugal.com</w:t>
        </w:r>
      </w:hyperlink>
      <w:r>
        <w:rPr>
          <w:rFonts w:ascii="Noto Sans" w:eastAsiaTheme="minorHAnsi" w:hAnsi="Noto Sans" w:cs="Noto Sans"/>
          <w:sz w:val="22"/>
          <w:lang w:val="pt-PT"/>
        </w:rPr>
        <w:t xml:space="preserve"> </w:t>
      </w:r>
    </w:p>
    <w:bookmarkEnd w:id="1"/>
    <w:p w14:paraId="2AF253DE" w14:textId="77777777" w:rsidR="00025BD6" w:rsidRPr="00A13A74" w:rsidRDefault="00025BD6" w:rsidP="00025BD6">
      <w:pPr>
        <w:spacing w:after="160" w:line="240" w:lineRule="auto"/>
        <w:rPr>
          <w:rFonts w:ascii="Noto Sans" w:eastAsiaTheme="minorHAnsi" w:hAnsi="Noto Sans" w:cs="Noto Sans"/>
          <w:color w:val="0D0D0D" w:themeColor="text1" w:themeTint="F2"/>
          <w:sz w:val="20"/>
          <w:szCs w:val="20"/>
          <w:lang w:val="pt-PT"/>
        </w:rPr>
      </w:pPr>
    </w:p>
    <w:p w14:paraId="53EB7C38" w14:textId="77777777" w:rsidR="005524DB" w:rsidRPr="008E7573" w:rsidRDefault="005524DB" w:rsidP="008E7573"/>
    <w:sectPr w:rsidR="005524DB" w:rsidRPr="008E7573" w:rsidSect="000F6D0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9F098" w14:textId="77777777" w:rsidR="00BD443A" w:rsidRDefault="00BD443A" w:rsidP="00785717">
      <w:pPr>
        <w:spacing w:line="240" w:lineRule="auto"/>
      </w:pPr>
      <w:r>
        <w:separator/>
      </w:r>
    </w:p>
  </w:endnote>
  <w:endnote w:type="continuationSeparator" w:id="0">
    <w:p w14:paraId="7D7BBFEE" w14:textId="77777777" w:rsidR="00BD443A" w:rsidRDefault="00BD443A"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altName w:val="Bahnschrift Light"/>
    <w:panose1 w:val="020B0502040504020204"/>
    <w:charset w:val="00"/>
    <w:family w:val="swiss"/>
    <w:pitch w:val="variable"/>
    <w:sig w:usb0="E00002FF" w:usb1="4000201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30D73" w14:textId="77777777" w:rsidR="00BD443A" w:rsidRDefault="00BD443A" w:rsidP="00785717">
      <w:pPr>
        <w:spacing w:line="240" w:lineRule="auto"/>
      </w:pPr>
      <w:r>
        <w:separator/>
      </w:r>
    </w:p>
  </w:footnote>
  <w:footnote w:type="continuationSeparator" w:id="0">
    <w:p w14:paraId="156EAC18" w14:textId="77777777" w:rsidR="00BD443A" w:rsidRDefault="00BD443A"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25BD6"/>
    <w:rsid w:val="000F6D00"/>
    <w:rsid w:val="00113106"/>
    <w:rsid w:val="001D743C"/>
    <w:rsid w:val="002766D9"/>
    <w:rsid w:val="002C3337"/>
    <w:rsid w:val="00372E92"/>
    <w:rsid w:val="00377EE8"/>
    <w:rsid w:val="005272B1"/>
    <w:rsid w:val="005524DB"/>
    <w:rsid w:val="005741C7"/>
    <w:rsid w:val="005C6DAF"/>
    <w:rsid w:val="0060122E"/>
    <w:rsid w:val="00647055"/>
    <w:rsid w:val="00660F46"/>
    <w:rsid w:val="00682566"/>
    <w:rsid w:val="00785717"/>
    <w:rsid w:val="008220B7"/>
    <w:rsid w:val="00823B77"/>
    <w:rsid w:val="008916A8"/>
    <w:rsid w:val="008B6461"/>
    <w:rsid w:val="008E7573"/>
    <w:rsid w:val="008F3E38"/>
    <w:rsid w:val="008F74D8"/>
    <w:rsid w:val="00931996"/>
    <w:rsid w:val="00943A95"/>
    <w:rsid w:val="009A1716"/>
    <w:rsid w:val="009A1DEC"/>
    <w:rsid w:val="009D6280"/>
    <w:rsid w:val="009E564D"/>
    <w:rsid w:val="00A34918"/>
    <w:rsid w:val="00A870EE"/>
    <w:rsid w:val="00AB11DA"/>
    <w:rsid w:val="00B23C3C"/>
    <w:rsid w:val="00B546C5"/>
    <w:rsid w:val="00BC7C15"/>
    <w:rsid w:val="00BD443A"/>
    <w:rsid w:val="00C063FE"/>
    <w:rsid w:val="00C44603"/>
    <w:rsid w:val="00C541FE"/>
    <w:rsid w:val="00CF1AD5"/>
    <w:rsid w:val="00E03029"/>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pt-pt/products/cx-serie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domino-printing.com/pt-pt/blog/2021/qual-e-a-diferenca-entre-um-c0digo-de-matriz-de-dados-e-um-codigo-qr?utm_medium=non-paid&amp;utm_source=onlinepublication&amp;utm_content=q1-efficiency-blog-sb-pt&amp;utm_campaign=2026-int-pt-global-pr-cm-fy26-q2" TargetMode="External"/><Relationship Id="rId12" Type="http://schemas.openxmlformats.org/officeDocument/2006/relationships/hyperlink" Target="mailto:Daniela.Ribeiro@domino-portugal.com"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domino-printing.com/pt-pt/blog/2023/2d-code-sunrise?utm_medium=non-paid&amp;utm_source=onlinepublication&amp;utm_content=q1-efficiency-blog-sb-pt&amp;utm_campaign=2026-int-pt-global-pr-cm-fy26-q2" TargetMode="External"/><Relationship Id="rId11" Type="http://schemas.openxmlformats.org/officeDocument/2006/relationships/hyperlink" Target="mailto:Jade.Taylor-Salazar@domino-uk.co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www.domino-printing.pt"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omino-printing.com/pt-pt/blog/2026/gs1-2d-codes-in-building-and-construction-materials-manufacturing-compliance-without-compromise?utm_medium=non-paid&amp;utm_source=onlinepublication&amp;utm_content=q1-efficiency-blog-sb-pt&amp;utm_campaign=2026-int-pt-global-pr-cm-fy26-q2"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16</TotalTime>
  <Pages>6</Pages>
  <Words>1724</Words>
  <Characters>9830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3</cp:revision>
  <dcterms:created xsi:type="dcterms:W3CDTF">2026-09-17T15:24:00Z</dcterms:created>
  <dcterms:modified xsi:type="dcterms:W3CDTF">2026-09-17T15:52:00Z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