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469F8" w14:textId="0C4977B6" w:rsidR="004333A4" w:rsidRPr="00FE6D7C" w:rsidRDefault="004333A4" w:rsidP="00B35CEB">
      <w:pPr>
        <w:spacing w:line="240" w:lineRule="auto"/>
        <w:rPr>
          <w:rFonts w:ascii="Noto Sans" w:hAnsi="Noto Sans" w:cs="Noto Sans"/>
          <w:b/>
          <w:bCs/>
          <w:sz w:val="28"/>
          <w:szCs w:val="28"/>
        </w:rPr>
      </w:pPr>
      <w:r w:rsidRPr="00FE6D7C">
        <w:rPr>
          <w:rFonts w:ascii="Noto Sans" w:hAnsi="Noto Sans" w:cs="Noto Sans"/>
          <w:b/>
          <w:bCs/>
          <w:sz w:val="28"/>
          <w:szCs w:val="28"/>
          <w:lang w:val="pt-PT"/>
        </w:rPr>
        <w:t>Domino adota códigos QR GS1 para apoiar a transição dos clientes para códigos 2D</w:t>
      </w:r>
    </w:p>
    <w:p w14:paraId="6733F2A8" w14:textId="5AEC48E7" w:rsidR="00357AA7" w:rsidRPr="001D4D96" w:rsidRDefault="00357AA7" w:rsidP="00A36E09">
      <w:pPr>
        <w:spacing w:line="240" w:lineRule="auto"/>
        <w:jc w:val="center"/>
        <w:rPr>
          <w:rFonts w:ascii="Noto Sans" w:hAnsi="Noto Sans" w:cs="Noto Sans"/>
          <w:b/>
          <w:bCs/>
          <w:sz w:val="24"/>
          <w:szCs w:val="24"/>
        </w:rPr>
      </w:pPr>
    </w:p>
    <w:p w14:paraId="1C4D7EAE" w14:textId="3A50B0A7" w:rsidR="005F138A" w:rsidRPr="00E755C6" w:rsidRDefault="005F138A" w:rsidP="00F13E89">
      <w:pPr>
        <w:spacing w:before="120" w:after="120" w:line="240" w:lineRule="auto"/>
        <w:rPr>
          <w:rFonts w:ascii="Noto Sans" w:hAnsi="Noto Sans" w:cs="Noto Sans"/>
          <w:sz w:val="22"/>
          <w:szCs w:val="28"/>
        </w:rPr>
      </w:pPr>
      <w:r>
        <w:rPr>
          <w:rFonts w:ascii="Noto Sans" w:hAnsi="Noto Sans" w:cs="Noto Sans"/>
          <w:sz w:val="22"/>
          <w:lang w:val="pt-PT"/>
        </w:rPr>
        <w:t>Muitos fabricantes que se estão a preparar para a transição para códigos QR GS1 enfrentam o mesmo desafio: como adotar uma nova forma de ligar os produtos à informação digital sem interromper os processos existentes?</w:t>
      </w:r>
    </w:p>
    <w:p w14:paraId="5CB21285" w14:textId="53CAD72A" w:rsidR="005F138A" w:rsidRDefault="005F138A" w:rsidP="00F13E89">
      <w:pPr>
        <w:spacing w:before="120" w:after="120" w:line="240" w:lineRule="auto"/>
        <w:rPr>
          <w:rFonts w:ascii="Noto Sans" w:hAnsi="Noto Sans" w:cs="Noto Sans"/>
          <w:sz w:val="22"/>
        </w:rPr>
      </w:pPr>
      <w:r>
        <w:rPr>
          <w:rFonts w:ascii="Noto Sans" w:hAnsi="Noto Sans" w:cs="Noto Sans"/>
          <w:sz w:val="22"/>
          <w:szCs w:val="28"/>
          <w:lang w:val="pt-PT"/>
        </w:rPr>
        <w:t xml:space="preserve">Em vez de se limitar a aconselhar os clientes sobre a transição para os códigos 2D, a </w:t>
      </w:r>
      <w:hyperlink r:id="rId10" w:history="1">
        <w:r w:rsidRPr="00505A8D">
          <w:rPr>
            <w:rStyle w:val="Hyperlink"/>
            <w:rFonts w:ascii="Noto Sans" w:hAnsi="Noto Sans" w:cs="Noto Sans"/>
            <w:sz w:val="22"/>
            <w:lang w:val="pt-PT"/>
          </w:rPr>
          <w:t>Domino Printing Sciences</w:t>
        </w:r>
      </w:hyperlink>
      <w:r>
        <w:rPr>
          <w:rFonts w:ascii="Noto Sans" w:hAnsi="Noto Sans" w:cs="Noto Sans"/>
          <w:sz w:val="22"/>
          <w:lang w:val="pt-PT"/>
        </w:rPr>
        <w:t xml:space="preserve"> (Domino) decidiu vivenciar essa mudança em primeira mão. </w:t>
      </w:r>
    </w:p>
    <w:p w14:paraId="19D61B63" w14:textId="47C38143" w:rsidR="00F13E89" w:rsidRPr="005F138A" w:rsidRDefault="005F138A" w:rsidP="6829446A">
      <w:pPr>
        <w:spacing w:before="120" w:after="120" w:line="240" w:lineRule="auto"/>
        <w:rPr>
          <w:rFonts w:ascii="Noto Sans" w:hAnsi="Noto Sans" w:cs="Noto Sans"/>
          <w:sz w:val="22"/>
        </w:rPr>
      </w:pPr>
      <w:r>
        <w:rPr>
          <w:rFonts w:ascii="Noto Sans" w:hAnsi="Noto Sans" w:cs="Noto Sans"/>
          <w:sz w:val="22"/>
          <w:lang w:val="pt-PT"/>
        </w:rPr>
        <w:t>Ao longo do último ano, a Domino implementou códigos QR GS1 em todo o seu portefólio global de produtos e consumíveis. Esta iniciativa proporcionou à empresa experiência prática sobre os desafios e oportunidades que as empresas enfrentam ao preparar-se para a próxima geração de identificação de produtos.</w:t>
      </w:r>
    </w:p>
    <w:p w14:paraId="66DD0FD6" w14:textId="696FEDE1" w:rsidR="00FF7C38" w:rsidRDefault="00FF7C38" w:rsidP="0092038A">
      <w:pPr>
        <w:spacing w:before="120" w:after="120" w:line="240" w:lineRule="auto"/>
        <w:rPr>
          <w:rFonts w:ascii="Noto Sans" w:hAnsi="Noto Sans" w:cs="Noto Sans"/>
          <w:sz w:val="22"/>
        </w:rPr>
      </w:pPr>
      <w:r>
        <w:rPr>
          <w:rFonts w:ascii="Noto Sans" w:hAnsi="Noto Sans" w:cs="Noto Sans"/>
          <w:sz w:val="22"/>
          <w:lang w:val="pt-PT"/>
        </w:rPr>
        <w:t>Para fabricantes como a Domino e os seus clientes globais, a transição para códigos 2D representa uma das mudanças mais significativas na identificação de produtos em décadas. A Norma GS1 Digital Link ajuda as empresas a melhorar a rastreabilidade, a facilitar o acesso à informação do produto e a reforçar a visibilidade da cadeia de abastecimento, mas a implementação também implica novos dados, sistemas e aspetos operacionais a considerar.</w:t>
      </w:r>
    </w:p>
    <w:p w14:paraId="042698B3" w14:textId="4DCF42B8" w:rsidR="00A36E09" w:rsidRPr="00A36E09" w:rsidRDefault="004B63EA" w:rsidP="00A36E09">
      <w:pPr>
        <w:spacing w:before="120" w:after="120" w:line="240" w:lineRule="auto"/>
        <w:rPr>
          <w:rFonts w:ascii="Noto Sans" w:hAnsi="Noto Sans" w:cs="Noto Sans"/>
          <w:sz w:val="22"/>
        </w:rPr>
      </w:pPr>
      <w:r>
        <w:rPr>
          <w:rFonts w:ascii="Noto Sans" w:hAnsi="Noto Sans" w:cs="Noto Sans"/>
          <w:sz w:val="22"/>
          <w:lang w:val="pt-PT"/>
        </w:rPr>
        <w:t>"Os nossos clientes confiam em nós para ir além da própria tecnologia", afirma Craig Stobie, Global Business Development Director da Domino Printing Sciences. "Procuram também o nosso apoio para obter orientação à medida que surgem novas normas e os seus requisitos de codificação evoluem.</w:t>
      </w:r>
    </w:p>
    <w:p w14:paraId="5701BBAA" w14:textId="7D38AFF3" w:rsidR="00A36E09" w:rsidRPr="00A36E09" w:rsidRDefault="004B63EA" w:rsidP="00A36E09">
      <w:pPr>
        <w:spacing w:before="120" w:after="120" w:line="240" w:lineRule="auto"/>
        <w:rPr>
          <w:rFonts w:ascii="Noto Sans" w:hAnsi="Noto Sans" w:cs="Noto Sans"/>
          <w:sz w:val="22"/>
        </w:rPr>
      </w:pPr>
      <w:r>
        <w:rPr>
          <w:rFonts w:ascii="Noto Sans" w:hAnsi="Noto Sans" w:cs="Noto Sans"/>
          <w:sz w:val="22"/>
          <w:lang w:val="pt-PT"/>
        </w:rPr>
        <w:t>Reconhecemos precocemente que os códigos QR GS1 se tornariam cada vez mais importantes para muitos dos nossos clientes. Ao implementar o GS1 Digital Link em todas as nossas operações globais, pudemos experienciar os mesmos problemas que muitos fabricantes enfrentarão, desde a preparação de dados e integração de sistemas até à governação e manutenção a longo prazo. Essas lições ajudam agora a moldar as orientações que a Domino fornece aos clientes que iniciam o mesmo percurso."</w:t>
      </w:r>
    </w:p>
    <w:p w14:paraId="3F16BFAB" w14:textId="05E7759C" w:rsidR="00A36E09" w:rsidRDefault="0092038A" w:rsidP="00A36E09">
      <w:pPr>
        <w:spacing w:before="120" w:after="120" w:line="240" w:lineRule="auto"/>
        <w:rPr>
          <w:rFonts w:ascii="Noto Sans" w:hAnsi="Noto Sans" w:cs="Noto Sans"/>
          <w:sz w:val="22"/>
        </w:rPr>
      </w:pPr>
      <w:r>
        <w:rPr>
          <w:rFonts w:ascii="Noto Sans" w:hAnsi="Noto Sans" w:cs="Noto Sans"/>
          <w:sz w:val="22"/>
          <w:lang w:val="pt-PT"/>
        </w:rPr>
        <w:t>A partir de hoje, todos os produtos e consumíveis produzidos pela Domino virão equipados com um código QR GS1, proporcionando acesso a especificações técnicas, fichas de dados de segurança, certificações e informações de reencomenda com uma única leitura. Esta mudança também promove uma melhor rastreabilidade e reduz a necessidade de múltiplas etiquetas no produto.</w:t>
      </w:r>
    </w:p>
    <w:p w14:paraId="3F0E179B" w14:textId="2AC7AA1E" w:rsidR="00D236EC" w:rsidRDefault="00FF7C38" w:rsidP="00A36E09">
      <w:pPr>
        <w:spacing w:before="120" w:after="120" w:line="240" w:lineRule="auto"/>
        <w:rPr>
          <w:rFonts w:ascii="Noto Sans" w:hAnsi="Noto Sans" w:cs="Noto Sans"/>
          <w:sz w:val="22"/>
        </w:rPr>
      </w:pPr>
      <w:r>
        <w:rPr>
          <w:rFonts w:ascii="Noto Sans" w:hAnsi="Noto Sans" w:cs="Noto Sans"/>
          <w:sz w:val="22"/>
          <w:lang w:val="pt-PT"/>
        </w:rPr>
        <w:t xml:space="preserve">A transição exigiu muito mais do que apenas adicionar um novo código a uma etiqueta. </w:t>
      </w:r>
    </w:p>
    <w:p w14:paraId="3DB5914A" w14:textId="30B9BAA6" w:rsidR="00FF7C38" w:rsidRDefault="00FF7C38" w:rsidP="00A36E09">
      <w:pPr>
        <w:spacing w:before="120" w:after="120" w:line="240" w:lineRule="auto"/>
        <w:rPr>
          <w:rFonts w:ascii="Noto Sans" w:hAnsi="Noto Sans" w:cs="Noto Sans"/>
          <w:sz w:val="22"/>
        </w:rPr>
      </w:pPr>
      <w:r>
        <w:rPr>
          <w:rFonts w:ascii="Noto Sans" w:hAnsi="Noto Sans" w:cs="Noto Sans"/>
          <w:sz w:val="22"/>
          <w:lang w:val="pt-PT"/>
        </w:rPr>
        <w:t xml:space="preserve">Foi necessário rever e standardizar dados dos produtos, atualizar sistemas para suportar GS1 Digital Link, adaptar processos e formar equipas para gerir a nova </w:t>
      </w:r>
      <w:r>
        <w:rPr>
          <w:rFonts w:ascii="Noto Sans" w:hAnsi="Noto Sans" w:cs="Noto Sans"/>
          <w:sz w:val="22"/>
          <w:lang w:val="pt-PT"/>
        </w:rPr>
        <w:lastRenderedPageBreak/>
        <w:t xml:space="preserve">abordagem. O trabalho reforçou uma lição que muitas empresas estão agora a descobrir: a adoção bem-sucedida depende tanto dos dados e da governação como da tecnologia de impressão. </w:t>
      </w:r>
    </w:p>
    <w:p w14:paraId="7441938A" w14:textId="77777777" w:rsidR="00FF7C38" w:rsidRDefault="00FF7C38" w:rsidP="00A36E09">
      <w:pPr>
        <w:spacing w:before="120" w:after="120" w:line="240" w:lineRule="auto"/>
        <w:rPr>
          <w:rFonts w:ascii="Noto Sans" w:hAnsi="Noto Sans" w:cs="Noto Sans"/>
          <w:sz w:val="22"/>
        </w:rPr>
      </w:pPr>
    </w:p>
    <w:p w14:paraId="5F3B22A8" w14:textId="0B050625" w:rsidR="004333A4" w:rsidRPr="00AE07A1" w:rsidRDefault="004333A4" w:rsidP="00AE07A1">
      <w:pPr>
        <w:spacing w:line="240" w:lineRule="auto"/>
        <w:rPr>
          <w:rFonts w:ascii="Noto Sans" w:hAnsi="Noto Sans" w:cs="Noto Sans"/>
          <w:sz w:val="22"/>
        </w:rPr>
      </w:pPr>
      <w:r>
        <w:rPr>
          <w:rFonts w:ascii="Noto Sans" w:hAnsi="Noto Sans" w:cs="Noto Sans"/>
          <w:sz w:val="22"/>
          <w:lang w:val="pt-PT"/>
        </w:rPr>
        <w:t>Magda Dudziak-Ćwieczkowska, Head of QR da GS1 UK, afirma: "A transição para os códigos QR GS1 marca um passo importante na evolução da identificação de produtos, proporcionando às empresas a oportunidade de ligar dados de produtos fiáveis a produtos físicos de uma forma mais flexível e acessível.</w:t>
      </w:r>
    </w:p>
    <w:p w14:paraId="7AAD79AB" w14:textId="77777777" w:rsidR="004333A4" w:rsidRPr="004333A4" w:rsidRDefault="004333A4" w:rsidP="004333A4">
      <w:pPr>
        <w:spacing w:before="120" w:after="120" w:line="240" w:lineRule="auto"/>
        <w:rPr>
          <w:rFonts w:ascii="Noto Sans" w:hAnsi="Noto Sans" w:cs="Noto Sans"/>
          <w:sz w:val="22"/>
        </w:rPr>
      </w:pPr>
      <w:r>
        <w:rPr>
          <w:rFonts w:ascii="Noto Sans" w:hAnsi="Noto Sans" w:cs="Noto Sans"/>
          <w:sz w:val="22"/>
          <w:lang w:val="pt-PT"/>
        </w:rPr>
        <w:t>Como parceiro aprovado pela GS1 UK, a Domino está bem posicionada para compreender as considerações práticas envolvidas na implementação de soluções baseadas em normas. A sua própria implementação de códigos QR GS1 em todo o seu portefólio de produtos e consumíveis confere à empresa experiência direta no trabalho com dados, sistemas e governação que muitos fabricantes terão de considerar à medida que a adoção cresce."</w:t>
      </w:r>
    </w:p>
    <w:p w14:paraId="6563B2A0" w14:textId="29CFE28A" w:rsidR="00D236EC" w:rsidRDefault="00FF7C38" w:rsidP="00D236EC">
      <w:pPr>
        <w:spacing w:before="120" w:after="120" w:line="240" w:lineRule="auto"/>
        <w:rPr>
          <w:rFonts w:ascii="Noto Sans" w:hAnsi="Noto Sans" w:cs="Noto Sans"/>
          <w:sz w:val="22"/>
        </w:rPr>
      </w:pPr>
      <w:r>
        <w:rPr>
          <w:rFonts w:ascii="Noto Sans" w:hAnsi="Noto Sans" w:cs="Noto Sans"/>
          <w:sz w:val="22"/>
          <w:lang w:val="pt-PT"/>
        </w:rPr>
        <w:t xml:space="preserve">Para a Domino, a adoção de códigos QR GS1 vai além da conformidade ou da informação do produto. Reflete uma tendência mais ampla em direção a produtos conectados, maior rastreabilidade, redução de desperdício e cadeias de abastecimento mais inteligentes. À medida que as indústrias se preparam para a adoção generalizada de códigos 2D, a experiência da Domino demonstra que a transição não consiste simplesmente em substituir um código de barras por outro, trata-se de desbloquear novas formas de ligar produtos, dados e pessoas. </w:t>
      </w:r>
    </w:p>
    <w:p w14:paraId="128945C3" w14:textId="0E07C5D0" w:rsidR="00E90338" w:rsidRPr="00E90338" w:rsidRDefault="00E90338" w:rsidP="00E90338">
      <w:pPr>
        <w:spacing w:before="120" w:after="120" w:line="240" w:lineRule="auto"/>
        <w:rPr>
          <w:rFonts w:ascii="Noto Sans" w:hAnsi="Noto Sans" w:cs="Noto Sans"/>
          <w:sz w:val="22"/>
        </w:rPr>
      </w:pPr>
      <w:r>
        <w:rPr>
          <w:rFonts w:ascii="Noto Sans" w:hAnsi="Noto Sans" w:cs="Noto Sans"/>
          <w:sz w:val="22"/>
          <w:lang w:val="pt-PT"/>
        </w:rPr>
        <w:t xml:space="preserve">Pretende saber mais? O percurso da Domino na adoção de códigos QR GS1 oferece lições valiosas para os fabricantes que se preparam para a sua própria transição. </w:t>
      </w:r>
      <w:hyperlink r:id="rId11" w:history="1">
        <w:r w:rsidRPr="00FE6D7C">
          <w:rPr>
            <w:rStyle w:val="Hyperlink"/>
            <w:rFonts w:ascii="Noto Sans" w:hAnsi="Noto Sans" w:cs="Noto Sans"/>
            <w:sz w:val="22"/>
            <w:lang w:val="pt-PT"/>
          </w:rPr>
          <w:t>Saiba mais.</w:t>
        </w:r>
      </w:hyperlink>
      <w:r>
        <w:rPr>
          <w:rFonts w:ascii="Noto Sans" w:hAnsi="Noto Sans" w:cs="Noto Sans"/>
          <w:sz w:val="22"/>
          <w:lang w:val="pt-PT"/>
        </w:rPr>
        <w:t xml:space="preserve"> </w:t>
      </w:r>
    </w:p>
    <w:p w14:paraId="178C0A70" w14:textId="77777777" w:rsidR="00E90338" w:rsidRPr="00D236EC" w:rsidRDefault="00E90338" w:rsidP="00D236EC">
      <w:pPr>
        <w:spacing w:before="120" w:after="120" w:line="240" w:lineRule="auto"/>
        <w:rPr>
          <w:rFonts w:ascii="Noto Sans" w:hAnsi="Noto Sans" w:cs="Noto Sans"/>
          <w:sz w:val="22"/>
        </w:rPr>
      </w:pPr>
    </w:p>
    <w:p w14:paraId="6BE4E7D6" w14:textId="278CA8F2" w:rsidR="00F13E89" w:rsidRPr="008203B6" w:rsidRDefault="00F13E89" w:rsidP="00F13E89">
      <w:pPr>
        <w:spacing w:before="120" w:after="120" w:line="240" w:lineRule="auto"/>
        <w:rPr>
          <w:rFonts w:ascii="Noto Sans" w:hAnsi="Noto Sans" w:cs="Noto Sans"/>
          <w:sz w:val="22"/>
        </w:rPr>
      </w:pPr>
      <w:r>
        <w:rPr>
          <w:rFonts w:ascii="Noto Sans" w:hAnsi="Noto Sans" w:cs="Noto Sans"/>
          <w:b/>
          <w:bCs/>
          <w:sz w:val="22"/>
          <w:lang w:val="pt-PT"/>
        </w:rPr>
        <w:t>&lt;</w:t>
      </w:r>
      <w:r w:rsidR="00FE6D7C">
        <w:rPr>
          <w:rFonts w:ascii="Noto Sans" w:hAnsi="Noto Sans" w:cs="Noto Sans"/>
          <w:b/>
          <w:bCs/>
          <w:sz w:val="22"/>
          <w:lang w:val="pt-PT"/>
        </w:rPr>
        <w:t>FIM</w:t>
      </w:r>
      <w:r>
        <w:rPr>
          <w:rFonts w:ascii="Noto Sans" w:hAnsi="Noto Sans" w:cs="Noto Sans"/>
          <w:b/>
          <w:bCs/>
          <w:sz w:val="22"/>
          <w:lang w:val="pt-PT"/>
        </w:rPr>
        <w:t>&gt;</w:t>
      </w:r>
    </w:p>
    <w:p w14:paraId="53EB7C38" w14:textId="77777777" w:rsidR="005524DB" w:rsidRDefault="005524DB" w:rsidP="008E7573"/>
    <w:p w14:paraId="0336CF19" w14:textId="7A3D2256" w:rsidR="00FE6D7C" w:rsidRPr="002B23C7" w:rsidRDefault="00FE6D7C" w:rsidP="00FE6D7C">
      <w:pPr>
        <w:spacing w:line="240" w:lineRule="auto"/>
        <w:rPr>
          <w:rFonts w:ascii="Noto Sans" w:eastAsiaTheme="minorHAnsi" w:hAnsi="Noto Sans" w:cs="Noto Sans"/>
          <w:sz w:val="22"/>
          <w:lang w:val="pt-PT"/>
        </w:rPr>
      </w:pPr>
      <w:bookmarkStart w:id="0" w:name="_Hlk531088985"/>
      <w:bookmarkStart w:id="1" w:name="_Hlk61949672"/>
      <w:r w:rsidRPr="002856FD">
        <w:rPr>
          <w:rFonts w:ascii="Noto Sans" w:hAnsi="Noto Sans" w:cs="Noto Sans"/>
          <w:b/>
          <w:bCs/>
          <w:sz w:val="20"/>
          <w:szCs w:val="20"/>
          <w:lang w:val="pt"/>
        </w:rPr>
        <w:t>Isenção de responsabilidade</w:t>
      </w:r>
      <w:bookmarkEnd w:id="0"/>
      <w:r w:rsidRPr="002856FD">
        <w:rPr>
          <w:rFonts w:ascii="Noto Sans" w:hAnsi="Noto Sans" w:cs="Noto Sans"/>
          <w:sz w:val="20"/>
          <w:szCs w:val="20"/>
          <w:lang w:val="pt"/>
        </w:rPr>
        <w:br/>
      </w:r>
      <w:r w:rsidRPr="002856FD">
        <w:rPr>
          <w:rFonts w:ascii="Noto Sans" w:hAnsi="Noto Sans" w:cs="Noto Sans"/>
          <w:sz w:val="20"/>
          <w:szCs w:val="20"/>
          <w:lang w:val="pt"/>
        </w:rPr>
        <w:br/>
      </w:r>
      <w:r w:rsidRPr="002856FD">
        <w:rPr>
          <w:rFonts w:ascii="Noto Sans" w:hAnsi="Noto Sans" w:cs="Noto Sans"/>
          <w:b/>
          <w:bCs/>
          <w:sz w:val="20"/>
          <w:szCs w:val="20"/>
          <w:lang w:val="pt"/>
        </w:rPr>
        <w:t>Geral</w:t>
      </w:r>
      <w:r w:rsidRPr="002856FD">
        <w:rPr>
          <w:rFonts w:ascii="Noto Sans" w:hAnsi="Noto Sans" w:cs="Noto Sans"/>
          <w:sz w:val="20"/>
          <w:szCs w:val="20"/>
          <w:lang w:val="pt"/>
        </w:rPr>
        <w:br/>
        <w:t xml:space="preserve">As informações constantes no presente comunicado de imprensa são consideradas verdadeiras e corretas à data da publicação pela Domino. Qualquer alteração verificada após a data da publicação pode afetar a exatidão destas informações. </w:t>
      </w:r>
      <w:r w:rsidRPr="004002D9">
        <w:rPr>
          <w:rFonts w:ascii="Noto Sans" w:hAnsi="Noto Sans" w:cs="Noto Sans"/>
          <w:sz w:val="20"/>
          <w:szCs w:val="20"/>
          <w:lang w:val="pt"/>
        </w:rPr>
        <w:t>Todos os valores em termos de desempenho e alegações, citados no presente, documento foram obtidos sob condições específicas e apenas poderão ser repetidos sob condições semelhantes. Para obter detalhes específicos do produto, deve entrar em contacto com o seu Consultor Comercial da Domino. O presente documento não faz parte de quaisquer termos e condições celebrados entre si e a Domino.</w:t>
      </w:r>
      <w:r>
        <w:rPr>
          <w:rFonts w:ascii="Noto Sans" w:hAnsi="Noto Sans" w:cs="Noto Sans"/>
          <w:sz w:val="20"/>
          <w:szCs w:val="20"/>
          <w:lang w:val="pt"/>
        </w:rPr>
        <w:br/>
      </w:r>
      <w:r w:rsidRPr="002856FD">
        <w:rPr>
          <w:rFonts w:ascii="Noto Sans" w:hAnsi="Noto Sans" w:cs="Noto Sans"/>
          <w:sz w:val="20"/>
          <w:szCs w:val="20"/>
          <w:lang w:val="pt"/>
        </w:rPr>
        <w:br/>
      </w:r>
      <w:r w:rsidRPr="002856FD">
        <w:rPr>
          <w:rFonts w:ascii="Noto Sans" w:hAnsi="Noto Sans" w:cs="Noto Sans"/>
          <w:b/>
          <w:bCs/>
          <w:sz w:val="20"/>
          <w:szCs w:val="20"/>
          <w:lang w:val="pt"/>
        </w:rPr>
        <w:lastRenderedPageBreak/>
        <w:t>Imagens</w:t>
      </w:r>
      <w:r w:rsidRPr="002856FD">
        <w:rPr>
          <w:rFonts w:ascii="Noto Sans" w:hAnsi="Noto Sans" w:cs="Noto Sans"/>
          <w:sz w:val="20"/>
          <w:szCs w:val="20"/>
          <w:lang w:val="pt"/>
        </w:rPr>
        <w:br/>
        <w:t xml:space="preserve">As imagens podem incluir melhorias ou extras opcionais. A qualidade de impressão pode variar de acordo com os consumíveis, o equipamento, a superfície e outros fatores. As imagens e fotografias não fazem parte de quaisquer termos e condições celebrados entre si e a Domino Portugal. </w:t>
      </w:r>
      <w:r w:rsidRPr="002856FD">
        <w:rPr>
          <w:rFonts w:ascii="Noto Sans" w:hAnsi="Noto Sans" w:cs="Noto Sans"/>
          <w:sz w:val="20"/>
          <w:szCs w:val="20"/>
          <w:lang w:val="pt"/>
        </w:rPr>
        <w:br/>
      </w:r>
      <w:r w:rsidRPr="002856FD">
        <w:rPr>
          <w:rFonts w:ascii="Noto Sans" w:hAnsi="Noto Sans" w:cs="Noto Sans"/>
          <w:sz w:val="20"/>
          <w:szCs w:val="20"/>
          <w:lang w:val="pt"/>
        </w:rPr>
        <w:br/>
      </w:r>
      <w:r w:rsidRPr="002E0B38">
        <w:rPr>
          <w:rFonts w:ascii="Noto Sans" w:eastAsia="Gill Sans" w:hAnsi="Noto Sans" w:cs="Noto Sans"/>
          <w:b/>
          <w:bCs/>
          <w:sz w:val="20"/>
          <w:szCs w:val="20"/>
          <w:lang w:val="pt-PT"/>
        </w:rPr>
        <w:t>Notas para os editores:</w:t>
      </w:r>
      <w:r w:rsidRPr="002E0B38">
        <w:rPr>
          <w:rFonts w:ascii="Noto Sans" w:eastAsia="Gill Sans" w:hAnsi="Noto Sans" w:cs="Noto Sans"/>
          <w:b/>
          <w:sz w:val="20"/>
          <w:szCs w:val="20"/>
          <w:lang w:val="es-ES"/>
        </w:rPr>
        <w:br/>
      </w:r>
      <w:r w:rsidRPr="002E0B38">
        <w:rPr>
          <w:rFonts w:ascii="Noto Sans" w:eastAsia="Gill Sans" w:hAnsi="Noto Sans" w:cs="Noto Sans"/>
          <w:sz w:val="20"/>
          <w:szCs w:val="20"/>
          <w:lang w:val="es-ES"/>
        </w:rPr>
        <w:br/>
      </w:r>
      <w:r w:rsidRPr="002856FD">
        <w:rPr>
          <w:rFonts w:ascii="Noto Sans" w:hAnsi="Noto Sans" w:cs="Noto Sans"/>
          <w:b/>
          <w:bCs/>
          <w:color w:val="000000" w:themeColor="text1"/>
          <w:sz w:val="20"/>
          <w:szCs w:val="20"/>
          <w:lang w:val="pt"/>
        </w:rPr>
        <w:t>Acerca da Domino</w:t>
      </w:r>
      <w:r>
        <w:rPr>
          <w:rFonts w:ascii="Noto Sans" w:hAnsi="Noto Sans" w:cs="Noto Sans"/>
          <w:b/>
          <w:bCs/>
          <w:color w:val="000000" w:themeColor="text1"/>
          <w:sz w:val="20"/>
          <w:szCs w:val="20"/>
          <w:lang w:val="pt"/>
        </w:rPr>
        <w:br/>
      </w:r>
      <w:r w:rsidRPr="002856FD">
        <w:rPr>
          <w:rFonts w:ascii="Noto Sans" w:hAnsi="Noto Sans" w:cs="Noto Sans"/>
          <w:sz w:val="20"/>
          <w:szCs w:val="20"/>
          <w:lang w:val="pt"/>
        </w:rPr>
        <w:t xml:space="preserve">Desde 1978, a Domino Printing Sciences (Domino) estabeleceu uma reputação global relativamente ao desenvolvimento e fabrico de tecnologias de codificação, marcação e impressão, revelando um idêntico prestígio nos seus produtos de pós-venda e de apoio ao cliente a nível mundial. Atualmente, a Domino oferece uma das mais abrangentes gamas de soluções de codificação, desenvolvidas com o objetivo de satisfazer os requisitos de conformidade e produtividade dos fabricantes em inúmeros setores, incluindo bebidas, produtos alimentares, farmacêuticos e industriais. As principais tecnologias da empresa incluem sistemas inovadores de impressão a jato de tinta, impressão a laser, impressão e aplicação, e impressão por transferência térmica desenvolvidos para a aplicação de dados variáveis, códigos de barras e códigos de rastreabilidade exclusivos em produtos e embalagens. </w:t>
      </w:r>
      <w:r w:rsidRPr="002856FD">
        <w:rPr>
          <w:rFonts w:ascii="Noto Sans" w:hAnsi="Noto Sans" w:cs="Noto Sans"/>
          <w:sz w:val="20"/>
          <w:szCs w:val="20"/>
          <w:lang w:val="pt"/>
        </w:rPr>
        <w:br/>
      </w:r>
      <w:r w:rsidRPr="002856FD">
        <w:rPr>
          <w:rFonts w:ascii="Noto Sans" w:hAnsi="Noto Sans" w:cs="Noto Sans"/>
          <w:sz w:val="20"/>
          <w:szCs w:val="20"/>
          <w:lang w:val="pt"/>
        </w:rPr>
        <w:br/>
        <w:t>A Domino emprega mais de 3 000 pessoas em todo o mundo e comercializa para mais de 120 países através de uma rede global de 29 filiais e mais de 200 distribuidores. As instalações de fabrico da Domino localizam-se na Alemanha, China, EUA, Índia, Reino Unido, Suécia e Suíça.</w:t>
      </w:r>
      <w:r w:rsidRPr="002856FD">
        <w:rPr>
          <w:rFonts w:ascii="Noto Sans" w:hAnsi="Noto Sans" w:cs="Noto Sans"/>
          <w:sz w:val="20"/>
          <w:szCs w:val="20"/>
          <w:lang w:val="pt"/>
        </w:rPr>
        <w:br/>
      </w:r>
      <w:r w:rsidRPr="002856FD">
        <w:rPr>
          <w:rFonts w:ascii="Noto Sans" w:hAnsi="Noto Sans" w:cs="Noto Sans"/>
          <w:sz w:val="20"/>
          <w:szCs w:val="20"/>
          <w:lang w:val="pt"/>
        </w:rPr>
        <w:br/>
        <w:t xml:space="preserve">A Domino tornou-se uma divisão independente da Brother Industries Ltd. a 11 de junho de 2015. </w:t>
      </w:r>
      <w:r w:rsidRPr="002856FD">
        <w:rPr>
          <w:rFonts w:ascii="Noto Sans" w:hAnsi="Noto Sans" w:cs="Noto Sans"/>
          <w:sz w:val="20"/>
          <w:szCs w:val="20"/>
          <w:lang w:val="pt"/>
        </w:rPr>
        <w:br/>
      </w:r>
      <w:r w:rsidRPr="002856FD">
        <w:rPr>
          <w:rFonts w:ascii="Noto Sans" w:hAnsi="Noto Sans" w:cs="Noto Sans"/>
          <w:sz w:val="20"/>
          <w:szCs w:val="20"/>
          <w:lang w:val="pt"/>
        </w:rPr>
        <w:br/>
        <w:t>Para obter mais informações sobre a Domino,</w:t>
      </w:r>
      <w:r w:rsidRPr="002856FD">
        <w:rPr>
          <w:rFonts w:ascii="Noto Sans" w:hAnsi="Noto Sans" w:cs="Noto Sans"/>
          <w:sz w:val="20"/>
          <w:szCs w:val="20"/>
          <w:lang w:val="pt"/>
        </w:rPr>
        <w:br/>
        <w:t xml:space="preserve">visite </w:t>
      </w:r>
      <w:hyperlink r:id="rId12" w:history="1">
        <w:r w:rsidRPr="002856FD">
          <w:rPr>
            <w:rStyle w:val="Hyperlink"/>
            <w:rFonts w:ascii="Noto Sans" w:hAnsi="Noto Sans" w:cs="Noto Sans"/>
            <w:sz w:val="20"/>
            <w:szCs w:val="20"/>
            <w:lang w:val="pt"/>
          </w:rPr>
          <w:t>www.domino-printing.com</w:t>
        </w:r>
      </w:hyperlink>
      <w:r w:rsidRPr="002856FD">
        <w:rPr>
          <w:rFonts w:ascii="Noto Sans" w:hAnsi="Noto Sans" w:cs="Noto Sans"/>
          <w:sz w:val="20"/>
          <w:szCs w:val="20"/>
          <w:lang w:val="pt"/>
        </w:rPr>
        <w:t xml:space="preserve"> </w:t>
      </w:r>
      <w:r w:rsidRPr="002856FD">
        <w:rPr>
          <w:rFonts w:ascii="Noto Sans" w:hAnsi="Noto Sans" w:cs="Noto Sans"/>
          <w:sz w:val="20"/>
          <w:szCs w:val="20"/>
          <w:lang w:val="pt"/>
        </w:rPr>
        <w:br/>
      </w:r>
      <w:r w:rsidRPr="002856FD">
        <w:rPr>
          <w:rFonts w:ascii="Noto Sans" w:hAnsi="Noto Sans" w:cs="Noto Sans"/>
          <w:sz w:val="20"/>
          <w:szCs w:val="20"/>
          <w:lang w:val="pt"/>
        </w:rPr>
        <w:br/>
      </w:r>
      <w:r w:rsidRPr="002856FD">
        <w:rPr>
          <w:rFonts w:ascii="Noto Sans" w:hAnsi="Noto Sans" w:cs="Noto Sans"/>
          <w:b/>
          <w:bCs/>
          <w:sz w:val="20"/>
          <w:szCs w:val="20"/>
          <w:lang w:val="pt"/>
        </w:rPr>
        <w:t>Deverá contactar:</w:t>
      </w:r>
      <w:r w:rsidRPr="002856FD">
        <w:rPr>
          <w:rFonts w:ascii="Noto Sans" w:hAnsi="Noto Sans" w:cs="Noto Sans"/>
          <w:sz w:val="20"/>
          <w:szCs w:val="20"/>
          <w:lang w:val="pt"/>
        </w:rPr>
        <w:br/>
      </w:r>
      <w:r w:rsidRPr="002856FD">
        <w:rPr>
          <w:rFonts w:ascii="Noto Sans" w:hAnsi="Noto Sans" w:cs="Noto Sans"/>
          <w:sz w:val="20"/>
          <w:szCs w:val="20"/>
          <w:lang w:val="pt"/>
        </w:rPr>
        <w:br/>
      </w:r>
      <w:r w:rsidRPr="0085521E">
        <w:rPr>
          <w:rFonts w:ascii="Noto Sans" w:hAnsi="Noto Sans" w:cs="Noto Sans"/>
          <w:sz w:val="20"/>
          <w:szCs w:val="20"/>
          <w:lang w:val="pt"/>
        </w:rPr>
        <w:t>Jade Taylor-Salazar</w:t>
      </w:r>
      <w:r>
        <w:rPr>
          <w:rFonts w:ascii="Noto Sans" w:hAnsi="Noto Sans" w:cs="Noto Sans"/>
          <w:sz w:val="20"/>
          <w:szCs w:val="20"/>
          <w:lang w:val="pt"/>
        </w:rPr>
        <w:br/>
      </w:r>
      <w:r w:rsidRPr="002856FD">
        <w:rPr>
          <w:rFonts w:ascii="Noto Sans" w:hAnsi="Noto Sans" w:cs="Noto Sans"/>
          <w:sz w:val="20"/>
          <w:szCs w:val="20"/>
          <w:lang w:val="pt"/>
        </w:rPr>
        <w:t xml:space="preserve">PR and Content Manager </w:t>
      </w:r>
      <w:r w:rsidRPr="002856FD">
        <w:rPr>
          <w:rFonts w:ascii="Noto Sans" w:hAnsi="Noto Sans" w:cs="Noto Sans"/>
          <w:sz w:val="20"/>
          <w:szCs w:val="20"/>
          <w:lang w:val="pt"/>
        </w:rPr>
        <w:br/>
        <w:t xml:space="preserve">Domino Printing Sciences </w:t>
      </w:r>
      <w:r w:rsidRPr="002856FD">
        <w:rPr>
          <w:rFonts w:ascii="Noto Sans" w:hAnsi="Noto Sans" w:cs="Noto Sans"/>
          <w:sz w:val="20"/>
          <w:szCs w:val="20"/>
          <w:lang w:val="pt"/>
        </w:rPr>
        <w:br/>
        <w:t>Tel.: +44 (0) 1954 778 780</w:t>
      </w:r>
      <w:r w:rsidRPr="002856FD">
        <w:rPr>
          <w:rFonts w:ascii="Noto Sans" w:hAnsi="Noto Sans" w:cs="Noto Sans"/>
          <w:sz w:val="20"/>
          <w:szCs w:val="20"/>
          <w:lang w:val="pt"/>
        </w:rPr>
        <w:br/>
      </w:r>
      <w:hyperlink r:id="rId13" w:history="1">
        <w:r w:rsidRPr="0085521E">
          <w:rPr>
            <w:rStyle w:val="Hyperlink"/>
            <w:rFonts w:ascii="Noto Sans" w:hAnsi="Noto Sans" w:cs="Noto Sans"/>
            <w:sz w:val="20"/>
            <w:szCs w:val="20"/>
            <w:lang w:val="pt"/>
          </w:rPr>
          <w:t>Jade.Taylor-Salazar@domino-uk.com</w:t>
        </w:r>
      </w:hyperlink>
      <w:r w:rsidRPr="0085521E">
        <w:rPr>
          <w:rFonts w:ascii="Noto Sans" w:hAnsi="Noto Sans" w:cs="Noto Sans"/>
          <w:sz w:val="20"/>
          <w:szCs w:val="20"/>
          <w:lang w:val="pt"/>
        </w:rPr>
        <w:t xml:space="preserve"> </w:t>
      </w:r>
      <w:r>
        <w:rPr>
          <w:rFonts w:ascii="Noto Sans" w:hAnsi="Noto Sans" w:cs="Noto Sans"/>
          <w:sz w:val="20"/>
          <w:szCs w:val="20"/>
          <w:lang w:val="pt"/>
        </w:rPr>
        <w:br/>
      </w:r>
      <w:r>
        <w:rPr>
          <w:rFonts w:ascii="Noto Sans" w:hAnsi="Noto Sans" w:cs="Noto Sans"/>
          <w:sz w:val="20"/>
          <w:szCs w:val="20"/>
          <w:lang w:val="pt"/>
        </w:rPr>
        <w:br/>
      </w:r>
      <w:r w:rsidRPr="00A13A74">
        <w:rPr>
          <w:rFonts w:ascii="Noto Sans" w:eastAsiaTheme="minorHAnsi" w:hAnsi="Noto Sans" w:cs="Noto Sans"/>
          <w:sz w:val="20"/>
          <w:szCs w:val="20"/>
          <w:lang w:val="pt-PT"/>
        </w:rPr>
        <w:t>Daniela Ribeiro</w:t>
      </w:r>
      <w:r>
        <w:rPr>
          <w:rFonts w:ascii="Noto Sans" w:eastAsiaTheme="minorHAnsi" w:hAnsi="Noto Sans" w:cs="Noto Sans"/>
          <w:sz w:val="20"/>
          <w:szCs w:val="20"/>
          <w:lang w:val="pt-PT"/>
        </w:rPr>
        <w:br/>
      </w:r>
      <w:r w:rsidRPr="00A13A74">
        <w:rPr>
          <w:rFonts w:ascii="Noto Sans" w:eastAsiaTheme="minorHAnsi" w:hAnsi="Noto Sans" w:cs="Noto Sans"/>
          <w:sz w:val="20"/>
          <w:szCs w:val="20"/>
          <w:lang w:val="pt-PT"/>
        </w:rPr>
        <w:t>Marketing and Communications Executive</w:t>
      </w:r>
      <w:r>
        <w:rPr>
          <w:rFonts w:ascii="Noto Sans" w:eastAsiaTheme="minorHAnsi" w:hAnsi="Noto Sans" w:cs="Noto Sans"/>
          <w:sz w:val="20"/>
          <w:szCs w:val="20"/>
          <w:lang w:val="pt-PT"/>
        </w:rPr>
        <w:br/>
      </w:r>
      <w:r w:rsidRPr="00A13A74">
        <w:rPr>
          <w:rFonts w:ascii="Noto Sans" w:eastAsiaTheme="minorHAnsi" w:hAnsi="Noto Sans" w:cs="Noto Sans"/>
          <w:sz w:val="20"/>
          <w:szCs w:val="20"/>
          <w:lang w:val="pt-PT"/>
        </w:rPr>
        <w:t>Domino Portugal</w:t>
      </w:r>
      <w:r>
        <w:rPr>
          <w:rFonts w:ascii="Noto Sans" w:eastAsiaTheme="minorHAnsi" w:hAnsi="Noto Sans" w:cs="Noto Sans"/>
          <w:sz w:val="20"/>
          <w:szCs w:val="20"/>
          <w:lang w:val="pt-PT"/>
        </w:rPr>
        <w:br/>
      </w:r>
      <w:r w:rsidRPr="00A13A74">
        <w:rPr>
          <w:rFonts w:ascii="Noto Sans" w:eastAsiaTheme="minorHAnsi" w:hAnsi="Noto Sans" w:cs="Noto Sans"/>
          <w:sz w:val="20"/>
          <w:szCs w:val="20"/>
          <w:lang w:val="pt-PT"/>
        </w:rPr>
        <w:t>Tel.: +351 919866148</w:t>
      </w:r>
      <w:r>
        <w:rPr>
          <w:rFonts w:ascii="Noto Sans" w:eastAsiaTheme="minorHAnsi" w:hAnsi="Noto Sans" w:cs="Noto Sans"/>
          <w:sz w:val="20"/>
          <w:szCs w:val="20"/>
          <w:lang w:val="pt-PT"/>
        </w:rPr>
        <w:br/>
      </w:r>
      <w:hyperlink r:id="rId14" w:history="1">
        <w:r w:rsidRPr="00A13A74">
          <w:rPr>
            <w:rStyle w:val="Hyperlink"/>
            <w:rFonts w:ascii="Noto Sans" w:eastAsiaTheme="minorHAnsi" w:hAnsi="Noto Sans" w:cs="Noto Sans"/>
            <w:sz w:val="20"/>
            <w:szCs w:val="20"/>
            <w:lang w:val="pt-PT"/>
          </w:rPr>
          <w:t>Daniela.Ribeiro@domino-portugal.com</w:t>
        </w:r>
      </w:hyperlink>
      <w:r>
        <w:rPr>
          <w:rFonts w:ascii="Noto Sans" w:eastAsiaTheme="minorHAnsi" w:hAnsi="Noto Sans" w:cs="Noto Sans"/>
          <w:sz w:val="22"/>
          <w:lang w:val="pt-PT"/>
        </w:rPr>
        <w:t xml:space="preserve"> </w:t>
      </w:r>
    </w:p>
    <w:bookmarkEnd w:id="1"/>
    <w:p w14:paraId="68B3A03C" w14:textId="77777777" w:rsidR="00FE6D7C" w:rsidRPr="00A13A74" w:rsidRDefault="00FE6D7C" w:rsidP="00FE6D7C">
      <w:pPr>
        <w:spacing w:after="160" w:line="240" w:lineRule="auto"/>
        <w:rPr>
          <w:rFonts w:ascii="Noto Sans" w:eastAsiaTheme="minorHAnsi" w:hAnsi="Noto Sans" w:cs="Noto Sans"/>
          <w:color w:val="0D0D0D" w:themeColor="text1" w:themeTint="F2"/>
          <w:sz w:val="20"/>
          <w:szCs w:val="20"/>
          <w:lang w:val="pt-PT"/>
        </w:rPr>
      </w:pPr>
    </w:p>
    <w:p w14:paraId="6A56CA91" w14:textId="77777777" w:rsidR="00FE6D7C" w:rsidRDefault="00FE6D7C" w:rsidP="008E7573"/>
    <w:sectPr w:rsidR="00FE6D7C" w:rsidSect="000F6D0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440" w:bottom="1440" w:left="1440" w:header="1531" w:footer="2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870A9" w14:textId="77777777" w:rsidR="0055105E" w:rsidRDefault="0055105E" w:rsidP="00785717">
      <w:pPr>
        <w:spacing w:line="240" w:lineRule="auto"/>
      </w:pPr>
      <w:r>
        <w:separator/>
      </w:r>
    </w:p>
  </w:endnote>
  <w:endnote w:type="continuationSeparator" w:id="0">
    <w:p w14:paraId="1F2B5FF9" w14:textId="77777777" w:rsidR="0055105E" w:rsidRDefault="0055105E" w:rsidP="007857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Gill Sans">
    <w:altName w:val="Arial"/>
    <w:charset w:val="00"/>
    <w:family w:val="auto"/>
    <w:pitch w:val="default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0F32A" w14:textId="77777777" w:rsidR="00EC1C5A" w:rsidRDefault="00EC1C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523E4" w14:textId="77777777" w:rsidR="00785717" w:rsidRDefault="000F6D00" w:rsidP="00785717">
    <w:pPr>
      <w:pStyle w:val="Footer"/>
    </w:pPr>
    <w:r>
      <w:rPr>
        <w:noProof/>
        <w:lang w:val="pt-PT"/>
      </w:rPr>
      <w:drawing>
        <wp:anchor distT="0" distB="0" distL="114300" distR="114300" simplePos="0" relativeHeight="251659264" behindDoc="0" locked="0" layoutInCell="1" allowOverlap="1" wp14:anchorId="5F1A3A08" wp14:editId="0C311E39">
          <wp:simplePos x="0" y="0"/>
          <wp:positionH relativeFrom="column">
            <wp:posOffset>4953000</wp:posOffset>
          </wp:positionH>
          <wp:positionV relativeFrom="paragraph">
            <wp:posOffset>1231440</wp:posOffset>
          </wp:positionV>
          <wp:extent cx="1466850" cy="139350"/>
          <wp:effectExtent l="0" t="0" r="0" b="0"/>
          <wp:wrapNone/>
          <wp:docPr id="2" name="Picture 2">
            <a:extLst xmlns:a="http://schemas.openxmlformats.org/drawingml/2006/main">
              <a:ext uri="{FF2B5EF4-FFF2-40B4-BE49-F238E27FC236}">
                <a16:creationId xmlns:a16="http://schemas.microsoft.com/office/drawing/2014/main" id="{2E55CFA4-DA71-410F-B11E-9D9F0FC84FA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6850" cy="139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pt-PT"/>
      </w:rPr>
      <w:drawing>
        <wp:anchor distT="0" distB="0" distL="114300" distR="114300" simplePos="0" relativeHeight="251658240" behindDoc="1" locked="0" layoutInCell="1" allowOverlap="1" wp14:anchorId="536137F7" wp14:editId="53ACCE9A">
          <wp:simplePos x="0" y="0"/>
          <wp:positionH relativeFrom="page">
            <wp:posOffset>47625</wp:posOffset>
          </wp:positionH>
          <wp:positionV relativeFrom="page">
            <wp:posOffset>9247505</wp:posOffset>
          </wp:positionV>
          <wp:extent cx="7448550" cy="1259840"/>
          <wp:effectExtent l="0" t="0" r="0" b="0"/>
          <wp:wrapNone/>
          <wp:docPr id="1" name="Picture 1" descr="A imagem contém uma faca&#10;&#10;Descrição gerada automaticamente">
            <a:extLst xmlns:a="http://schemas.openxmlformats.org/drawingml/2006/main">
              <a:ext uri="{FF2B5EF4-FFF2-40B4-BE49-F238E27FC236}">
                <a16:creationId xmlns:a16="http://schemas.microsoft.com/office/drawing/2014/main" id="{A02DCB59-7554-4266-B2B5-93504380EE4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knife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8550" cy="1259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3FA95" w14:textId="77777777" w:rsidR="00EC1C5A" w:rsidRDefault="00EC1C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D062F" w14:textId="77777777" w:rsidR="0055105E" w:rsidRDefault="0055105E" w:rsidP="00785717">
      <w:pPr>
        <w:spacing w:line="240" w:lineRule="auto"/>
      </w:pPr>
      <w:r>
        <w:separator/>
      </w:r>
    </w:p>
  </w:footnote>
  <w:footnote w:type="continuationSeparator" w:id="0">
    <w:p w14:paraId="71F91168" w14:textId="77777777" w:rsidR="0055105E" w:rsidRDefault="0055105E" w:rsidP="0078571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7E0BA" w14:textId="77777777" w:rsidR="00EC1C5A" w:rsidRDefault="00EC1C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5D583" w14:textId="77777777" w:rsidR="000F6D00" w:rsidRDefault="002766D9">
    <w:pPr>
      <w:pStyle w:val="Header"/>
    </w:pPr>
    <w:r>
      <w:rPr>
        <w:noProof/>
        <w:lang w:val="pt-PT"/>
      </w:rPr>
      <w:drawing>
        <wp:anchor distT="0" distB="0" distL="114300" distR="114300" simplePos="0" relativeHeight="251661312" behindDoc="0" locked="0" layoutInCell="1" allowOverlap="1" wp14:anchorId="652D8042" wp14:editId="1D9E5B1D">
          <wp:simplePos x="0" y="0"/>
          <wp:positionH relativeFrom="page">
            <wp:posOffset>228600</wp:posOffset>
          </wp:positionH>
          <wp:positionV relativeFrom="paragraph">
            <wp:posOffset>-972185</wp:posOffset>
          </wp:positionV>
          <wp:extent cx="2781300" cy="1096645"/>
          <wp:effectExtent l="0" t="0" r="0" b="0"/>
          <wp:wrapSquare wrapText="bothSides"/>
          <wp:docPr id="3" name="Picture 3" descr="Logótipo, nome da empresa&#10;&#10;Descrição gerada automaticamente">
            <a:extLst xmlns:a="http://schemas.openxmlformats.org/drawingml/2006/main">
              <a:ext uri="{FF2B5EF4-FFF2-40B4-BE49-F238E27FC236}">
                <a16:creationId xmlns:a16="http://schemas.microsoft.com/office/drawing/2014/main" id="{338E8B7F-E746-453F-877F-61C021111E8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, company name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clrChange>
                      <a:clrFrom>
                        <a:srgbClr val="FFFEFD"/>
                      </a:clrFrom>
                      <a:clrTo>
                        <a:srgbClr val="FFFE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1420"/>
                  <a:stretch/>
                </pic:blipFill>
                <pic:spPr bwMode="auto">
                  <a:xfrm>
                    <a:off x="0" y="0"/>
                    <a:ext cx="2781300" cy="10966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1E02A" w14:textId="77777777" w:rsidR="00EC1C5A" w:rsidRDefault="00EC1C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262EA8"/>
    <w:multiLevelType w:val="multilevel"/>
    <w:tmpl w:val="4CB8A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6197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64D"/>
    <w:rsid w:val="0002201E"/>
    <w:rsid w:val="00026056"/>
    <w:rsid w:val="00043D0E"/>
    <w:rsid w:val="0005221B"/>
    <w:rsid w:val="000C2ED2"/>
    <w:rsid w:val="000D3155"/>
    <w:rsid w:val="000E7B78"/>
    <w:rsid w:val="000F6D00"/>
    <w:rsid w:val="00113106"/>
    <w:rsid w:val="00122475"/>
    <w:rsid w:val="001471D7"/>
    <w:rsid w:val="0016601D"/>
    <w:rsid w:val="00182593"/>
    <w:rsid w:val="00184519"/>
    <w:rsid w:val="001B24E8"/>
    <w:rsid w:val="001D4D96"/>
    <w:rsid w:val="001D743C"/>
    <w:rsid w:val="002054A5"/>
    <w:rsid w:val="00251157"/>
    <w:rsid w:val="0027354F"/>
    <w:rsid w:val="002766D9"/>
    <w:rsid w:val="00276BAC"/>
    <w:rsid w:val="002A545C"/>
    <w:rsid w:val="002C3337"/>
    <w:rsid w:val="002E73B9"/>
    <w:rsid w:val="002F51F9"/>
    <w:rsid w:val="00314BA9"/>
    <w:rsid w:val="00340BF4"/>
    <w:rsid w:val="00357AA7"/>
    <w:rsid w:val="00372E92"/>
    <w:rsid w:val="00384C88"/>
    <w:rsid w:val="003B3CBC"/>
    <w:rsid w:val="003E43A6"/>
    <w:rsid w:val="003E6B46"/>
    <w:rsid w:val="003F5B6B"/>
    <w:rsid w:val="0040636D"/>
    <w:rsid w:val="004333A4"/>
    <w:rsid w:val="004351CC"/>
    <w:rsid w:val="00440022"/>
    <w:rsid w:val="004477F5"/>
    <w:rsid w:val="004B63EA"/>
    <w:rsid w:val="00505A8D"/>
    <w:rsid w:val="0051077C"/>
    <w:rsid w:val="005272B1"/>
    <w:rsid w:val="00543FDF"/>
    <w:rsid w:val="0055105E"/>
    <w:rsid w:val="005524DB"/>
    <w:rsid w:val="005741C7"/>
    <w:rsid w:val="005A2A28"/>
    <w:rsid w:val="005A7F34"/>
    <w:rsid w:val="005B27EF"/>
    <w:rsid w:val="005E05AC"/>
    <w:rsid w:val="005F138A"/>
    <w:rsid w:val="0060122E"/>
    <w:rsid w:val="00624050"/>
    <w:rsid w:val="006435B4"/>
    <w:rsid w:val="006443A3"/>
    <w:rsid w:val="00647055"/>
    <w:rsid w:val="006541FE"/>
    <w:rsid w:val="00660F46"/>
    <w:rsid w:val="00672F93"/>
    <w:rsid w:val="00682566"/>
    <w:rsid w:val="006B3E7D"/>
    <w:rsid w:val="00737F0A"/>
    <w:rsid w:val="00757427"/>
    <w:rsid w:val="007636FA"/>
    <w:rsid w:val="00773C15"/>
    <w:rsid w:val="0078102D"/>
    <w:rsid w:val="00785717"/>
    <w:rsid w:val="0078614C"/>
    <w:rsid w:val="007946C8"/>
    <w:rsid w:val="007D2E4B"/>
    <w:rsid w:val="007E2EC7"/>
    <w:rsid w:val="007F4942"/>
    <w:rsid w:val="00805D5F"/>
    <w:rsid w:val="008162EA"/>
    <w:rsid w:val="008220B7"/>
    <w:rsid w:val="00823B77"/>
    <w:rsid w:val="008572E5"/>
    <w:rsid w:val="00862881"/>
    <w:rsid w:val="00880A8E"/>
    <w:rsid w:val="008811EE"/>
    <w:rsid w:val="00883655"/>
    <w:rsid w:val="008916A8"/>
    <w:rsid w:val="00895EC4"/>
    <w:rsid w:val="008B6461"/>
    <w:rsid w:val="008D51FA"/>
    <w:rsid w:val="008E7573"/>
    <w:rsid w:val="008F3E38"/>
    <w:rsid w:val="008F74D8"/>
    <w:rsid w:val="0091125B"/>
    <w:rsid w:val="009168E1"/>
    <w:rsid w:val="009171B1"/>
    <w:rsid w:val="0092038A"/>
    <w:rsid w:val="00931996"/>
    <w:rsid w:val="00943A95"/>
    <w:rsid w:val="00965EE8"/>
    <w:rsid w:val="009A1716"/>
    <w:rsid w:val="009A1DEC"/>
    <w:rsid w:val="009D6280"/>
    <w:rsid w:val="009E564D"/>
    <w:rsid w:val="00A262D2"/>
    <w:rsid w:val="00A31F0F"/>
    <w:rsid w:val="00A34918"/>
    <w:rsid w:val="00A36E09"/>
    <w:rsid w:val="00A66048"/>
    <w:rsid w:val="00A73A27"/>
    <w:rsid w:val="00A82270"/>
    <w:rsid w:val="00AA0CF5"/>
    <w:rsid w:val="00AB1115"/>
    <w:rsid w:val="00AB11DA"/>
    <w:rsid w:val="00AE07A1"/>
    <w:rsid w:val="00AF2330"/>
    <w:rsid w:val="00B23C3C"/>
    <w:rsid w:val="00B35CEB"/>
    <w:rsid w:val="00B546C5"/>
    <w:rsid w:val="00B935D2"/>
    <w:rsid w:val="00BC7C15"/>
    <w:rsid w:val="00C063FE"/>
    <w:rsid w:val="00C44603"/>
    <w:rsid w:val="00C541FE"/>
    <w:rsid w:val="00C70D6E"/>
    <w:rsid w:val="00CA6F73"/>
    <w:rsid w:val="00CF1AD5"/>
    <w:rsid w:val="00CF1BED"/>
    <w:rsid w:val="00D236EC"/>
    <w:rsid w:val="00D25485"/>
    <w:rsid w:val="00D30D05"/>
    <w:rsid w:val="00D5136C"/>
    <w:rsid w:val="00D84595"/>
    <w:rsid w:val="00DE4C19"/>
    <w:rsid w:val="00DF46D7"/>
    <w:rsid w:val="00E03029"/>
    <w:rsid w:val="00E263D3"/>
    <w:rsid w:val="00E55807"/>
    <w:rsid w:val="00E62BC8"/>
    <w:rsid w:val="00E64ADF"/>
    <w:rsid w:val="00E755C6"/>
    <w:rsid w:val="00E90338"/>
    <w:rsid w:val="00E93AEA"/>
    <w:rsid w:val="00EB591F"/>
    <w:rsid w:val="00EC1C5A"/>
    <w:rsid w:val="00F13E89"/>
    <w:rsid w:val="00F33B84"/>
    <w:rsid w:val="00F66010"/>
    <w:rsid w:val="00F82F7D"/>
    <w:rsid w:val="00F8637A"/>
    <w:rsid w:val="00FB1F39"/>
    <w:rsid w:val="00FD5331"/>
    <w:rsid w:val="00FE6D7C"/>
    <w:rsid w:val="00FF1EA8"/>
    <w:rsid w:val="00FF7C38"/>
    <w:rsid w:val="162505F3"/>
    <w:rsid w:val="16F11E62"/>
    <w:rsid w:val="2560B327"/>
    <w:rsid w:val="29B1A894"/>
    <w:rsid w:val="3FD4F36A"/>
    <w:rsid w:val="6829446A"/>
    <w:rsid w:val="6B54FB18"/>
    <w:rsid w:val="6C18D4A4"/>
    <w:rsid w:val="7F16C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C75E0C"/>
  <w15:chartTrackingRefBased/>
  <w15:docId w15:val="{31595647-8871-264C-97D6-F822CA7B5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743C"/>
    <w:pPr>
      <w:spacing w:after="0" w:line="360" w:lineRule="auto"/>
    </w:pPr>
    <w:rPr>
      <w:rFonts w:ascii="Verdana" w:eastAsia="Calibri" w:hAnsi="Verdana" w:cs="Times New Roman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5717"/>
    <w:pPr>
      <w:tabs>
        <w:tab w:val="center" w:pos="4513"/>
        <w:tab w:val="right" w:pos="9026"/>
      </w:tabs>
      <w:spacing w:line="240" w:lineRule="auto"/>
    </w:pPr>
    <w:rPr>
      <w:rFonts w:asciiTheme="minorHAnsi" w:eastAsiaTheme="minorHAnsi" w:hAnsiTheme="minorHAnsi" w:cstheme="minorBidi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785717"/>
  </w:style>
  <w:style w:type="paragraph" w:styleId="Footer">
    <w:name w:val="footer"/>
    <w:basedOn w:val="Normal"/>
    <w:link w:val="FooterChar"/>
    <w:uiPriority w:val="99"/>
    <w:unhideWhenUsed/>
    <w:rsid w:val="00785717"/>
    <w:pPr>
      <w:tabs>
        <w:tab w:val="center" w:pos="4513"/>
        <w:tab w:val="right" w:pos="9026"/>
      </w:tabs>
      <w:spacing w:line="240" w:lineRule="auto"/>
    </w:pPr>
    <w:rPr>
      <w:rFonts w:asciiTheme="minorHAnsi" w:eastAsiaTheme="minorHAnsi" w:hAnsiTheme="minorHAnsi" w:cstheme="minorBidi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785717"/>
  </w:style>
  <w:style w:type="character" w:styleId="Hyperlink">
    <w:name w:val="Hyperlink"/>
    <w:basedOn w:val="DefaultParagraphFont"/>
    <w:uiPriority w:val="99"/>
    <w:rsid w:val="001D743C"/>
    <w:rPr>
      <w:color w:val="0000FF"/>
      <w:u w:val="single"/>
    </w:rPr>
  </w:style>
  <w:style w:type="paragraph" w:styleId="NoSpacing">
    <w:name w:val="No Spacing"/>
    <w:uiPriority w:val="1"/>
    <w:qFormat/>
    <w:rsid w:val="001D743C"/>
    <w:pPr>
      <w:spacing w:after="0" w:line="240" w:lineRule="auto"/>
    </w:pPr>
    <w:rPr>
      <w:rFonts w:ascii="Verdana" w:eastAsia="Calibri" w:hAnsi="Verdana" w:cs="Times New Roman"/>
      <w:sz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93199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F1E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1E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1EA8"/>
    <w:rPr>
      <w:rFonts w:ascii="Verdana" w:eastAsia="Calibri" w:hAnsi="Verdana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1E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1EA8"/>
    <w:rPr>
      <w:rFonts w:ascii="Verdana" w:eastAsia="Calibri" w:hAnsi="Verdana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55807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73C15"/>
    <w:pPr>
      <w:spacing w:after="0" w:line="240" w:lineRule="auto"/>
    </w:pPr>
    <w:rPr>
      <w:rFonts w:ascii="Verdana" w:eastAsia="Calibri" w:hAnsi="Verdana" w:cs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Jade.Taylor-Salazar@domino-uk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://www.domino-printing.pt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domino-printing.com/pt-pt/stories/case-study/domino-demonstra-vantagens-dos-codigos-qr-gs1-atraves-de-uma-implementacao-pratica?utm_medium=non-paid&amp;utm_source=onlinepublication&amp;utm_content=gs1-internal-case-study-pr-pt&amp;utm_campaign=2026-int-pt-global-pr-cm-fy26-q2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www.domino-printing.com/pt-pt/news-and-events/news.aspx?utm_medium=non-paid&amp;utm_source=onlinepublication&amp;utm_content=gs1-internal-case-study-pr-pt&amp;utm_campaign=2026-int-pt-global-pr-cm-fy26-q2" TargetMode="External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Daniela.Ribeiro@domino-portugal.com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287A356FA06F469647904F144D5ACC" ma:contentTypeVersion="18" ma:contentTypeDescription="Create a new document." ma:contentTypeScope="" ma:versionID="a4355ceedbbda7cd3d221178b2d384f4">
  <xsd:schema xmlns:xsd="http://www.w3.org/2001/XMLSchema" xmlns:xs="http://www.w3.org/2001/XMLSchema" xmlns:p="http://schemas.microsoft.com/office/2006/metadata/properties" xmlns:ns3="795dc977-e100-477c-b5ca-8f0da23730f3" xmlns:ns4="e954903a-1ca1-4691-af38-572cb5060311" targetNamespace="http://schemas.microsoft.com/office/2006/metadata/properties" ma:root="true" ma:fieldsID="2a5fe2fe20bb4b0841b4c5972fe9fa7d" ns3:_="" ns4:_="">
    <xsd:import namespace="795dc977-e100-477c-b5ca-8f0da23730f3"/>
    <xsd:import namespace="e954903a-1ca1-4691-af38-572cb506031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5dc977-e100-477c-b5ca-8f0da23730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54903a-1ca1-4691-af38-572cb506031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95dc977-e100-477c-b5ca-8f0da23730f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08146D-20E4-4EB8-8519-1C1A97820E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5dc977-e100-477c-b5ca-8f0da23730f3"/>
    <ds:schemaRef ds:uri="e954903a-1ca1-4691-af38-572cb50603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289912-52E8-4B20-9F81-648EB3BB1201}">
  <ds:schemaRefs>
    <ds:schemaRef ds:uri="http://schemas.microsoft.com/office/2006/metadata/properties"/>
    <ds:schemaRef ds:uri="http://schemas.microsoft.com/office/infopath/2007/PartnerControls"/>
    <ds:schemaRef ds:uri="795dc977-e100-477c-b5ca-8f0da23730f3"/>
  </ds:schemaRefs>
</ds:datastoreItem>
</file>

<file path=customXml/itemProps3.xml><?xml version="1.0" encoding="utf-8"?>
<ds:datastoreItem xmlns:ds="http://schemas.openxmlformats.org/officeDocument/2006/customXml" ds:itemID="{ADB19AE6-E56C-4BD9-B4A8-48694AE2DE8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d9f5526-e1ba-4c7c-a9b0-d6339263e705}" enabled="0" method="" siteId="{bd9f5526-e1ba-4c7c-a9b0-d6339263e70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1117</Words>
  <Characters>6372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Jade Taylor-Salazar</dc:creator>
  <cp:keywords/>
  <dc:description/>
  <cp:lastModifiedBy>Rachael Cooper</cp:lastModifiedBy>
  <cp:revision>3</cp:revision>
  <dcterms:created xsi:type="dcterms:W3CDTF">2026-09-17T11:14:00Z</dcterms:created>
  <dcterms:modified xsi:type="dcterms:W3CDTF">2026-09-17T11:18:00Z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8c460ca5-f23d-4821-b40e-ba4a1f2458c0</vt:lpwstr>
  </property>
  <property fmtid="{D5CDD505-2E9C-101B-9397-08002B2CF9AE}" pid="3" name="ContentTypeId">
    <vt:lpwstr>0x0101009B287A356FA06F469647904F144D5ACC</vt:lpwstr>
  </property>
</Properties>
</file>